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230505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3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1" w:lineRule="exact"/>
        <w:rPr>
          <w:sz w:val="24"/>
          <w:szCs w:val="24"/>
          <w:color w:val="auto"/>
        </w:rPr>
      </w:pPr>
    </w:p>
    <w:p>
      <w:pPr>
        <w:ind w:left="560" w:hanging="541"/>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January 31, 2023</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1" w:lineRule="exact"/>
        <w:rPr>
          <w:sz w:val="24"/>
          <w:szCs w:val="24"/>
          <w:color w:val="auto"/>
        </w:rPr>
      </w:pPr>
    </w:p>
    <w:p>
      <w:pPr>
        <w:ind w:left="580" w:hanging="540"/>
        <w:spacing w:after="0"/>
        <w:tabs>
          <w:tab w:leader="none" w:pos="5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34" w:lineRule="exact"/>
        <w:rPr>
          <w:sz w:val="24"/>
          <w:szCs w:val="24"/>
          <w:color w:val="auto"/>
        </w:rPr>
      </w:pPr>
    </w:p>
    <w:tbl>
      <w:tblPr>
        <w:tblLayout w:type="fixed"/>
        <w:tblInd w:w="3620" w:type="dxa"/>
        <w:tblCellMar>
          <w:top w:w="0" w:type="dxa"/>
          <w:left w:w="0" w:type="dxa"/>
          <w:bottom w:w="0" w:type="dxa"/>
          <w:right w:w="0" w:type="dxa"/>
        </w:tblCellMar>
      </w:tblPr>
      <w:tr>
        <w:trPr>
          <w:trHeight w:val="161"/>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80" w:type="dxa"/>
            <w:vAlign w:val="bottom"/>
            <w:tcBorders>
              <w:bottom w:val="single" w:sz="8" w:color="auto"/>
            </w:tcBorders>
          </w:tcPr>
          <w:p>
            <w:pPr>
              <w:spacing w:after="0"/>
              <w:rPr>
                <w:sz w:val="13"/>
                <w:szCs w:val="13"/>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w:t>
            </w:r>
          </w:p>
        </w:tc>
        <w:tc>
          <w:tcPr>
            <w:tcW w:w="580" w:type="dxa"/>
            <w:vAlign w:val="bottom"/>
            <w:tcBorders>
              <w:bottom w:val="single" w:sz="8" w:color="auto"/>
            </w:tcBorders>
          </w:tcPr>
          <w:p>
            <w:pPr>
              <w:spacing w:after="0"/>
              <w:rPr>
                <w:sz w:val="13"/>
                <w:szCs w:val="13"/>
                <w:color w:val="auto"/>
              </w:rPr>
            </w:pPr>
          </w:p>
        </w:tc>
      </w:tr>
      <w:tr>
        <w:trPr>
          <w:trHeight w:val="194"/>
        </w:trPr>
        <w:tc>
          <w:tcPr>
            <w:tcW w:w="3220" w:type="dxa"/>
            <w:vAlign w:val="bottom"/>
            <w:gridSpan w:val="2"/>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Commission File Number 001-38865</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49"/>
        </w:trPr>
        <w:tc>
          <w:tcPr>
            <w:tcW w:w="406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tc>
      </w:tr>
    </w:tbl>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316"/>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00" w:type="dxa"/>
            <w:vAlign w:val="bottom"/>
            <w:gridSpan w:val="7"/>
          </w:tcPr>
          <w:p>
            <w:pPr>
              <w:jc w:val="center"/>
              <w:ind w:right="200"/>
              <w:spacing w:after="0"/>
              <w:rPr>
                <w:sz w:val="20"/>
                <w:szCs w:val="20"/>
                <w:color w:val="auto"/>
              </w:rPr>
            </w:pPr>
            <w:r>
              <w:rPr>
                <w:rFonts w:ascii="Times New Roman" w:cs="Times New Roman" w:eastAsia="Times New Roman" w:hAnsi="Times New Roman"/>
                <w:sz w:val="25"/>
                <w:szCs w:val="25"/>
                <w:b w:val="1"/>
                <w:bCs w:val="1"/>
                <w:color w:val="auto"/>
              </w:rPr>
              <w:t>Zoom Video Communications, Inc.</w:t>
            </w:r>
          </w:p>
        </w:tc>
        <w:tc>
          <w:tcPr>
            <w:tcW w:w="3520" w:type="dxa"/>
            <w:vAlign w:val="bottom"/>
          </w:tcPr>
          <w:p>
            <w:pPr>
              <w:spacing w:after="0"/>
              <w:rPr>
                <w:sz w:val="24"/>
                <w:szCs w:val="24"/>
                <w:color w:val="auto"/>
              </w:rPr>
            </w:pPr>
          </w:p>
        </w:tc>
      </w:tr>
      <w:tr>
        <w:trPr>
          <w:trHeight w:val="138"/>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40" w:type="dxa"/>
            <w:vAlign w:val="bottom"/>
            <w:gridSpan w:val="6"/>
          </w:tcPr>
          <w:p>
            <w:pPr>
              <w:jc w:val="center"/>
              <w:ind w:right="76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35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4000" w:type="dxa"/>
            <w:vAlign w:val="bottom"/>
            <w:gridSpan w:val="7"/>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tc>
        <w:tc>
          <w:tcPr>
            <w:tcW w:w="352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3720" w:type="dxa"/>
            <w:vAlign w:val="bottom"/>
          </w:tcPr>
          <w:p>
            <w:pPr>
              <w:jc w:val="center"/>
              <w:ind w:left="1858"/>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520" w:type="dxa"/>
            <w:vAlign w:val="bottom"/>
          </w:tcPr>
          <w:p>
            <w:pPr>
              <w:jc w:val="center"/>
              <w:ind w:right="2038"/>
              <w:spacing w:after="0"/>
              <w:rPr>
                <w:sz w:val="20"/>
                <w:szCs w:val="20"/>
                <w:color w:val="auto"/>
              </w:rPr>
            </w:pPr>
            <w:r>
              <w:rPr>
                <w:rFonts w:ascii="Times New Roman" w:cs="Times New Roman" w:eastAsia="Times New Roman" w:hAnsi="Times New Roman"/>
                <w:sz w:val="13"/>
                <w:szCs w:val="13"/>
                <w:b w:val="1"/>
                <w:bCs w:val="1"/>
                <w:color w:val="auto"/>
                <w:w w:val="98"/>
              </w:rPr>
              <w:t>61-1648780</w:t>
            </w:r>
          </w:p>
        </w:tc>
      </w:tr>
      <w:tr>
        <w:trPr>
          <w:trHeight w:val="132"/>
        </w:trPr>
        <w:tc>
          <w:tcPr>
            <w:tcW w:w="20" w:type="dxa"/>
            <w:vAlign w:val="bottom"/>
          </w:tcPr>
          <w:p>
            <w:pPr>
              <w:spacing w:after="0"/>
              <w:rPr>
                <w:sz w:val="11"/>
                <w:szCs w:val="11"/>
                <w:color w:val="auto"/>
              </w:rPr>
            </w:pPr>
          </w:p>
        </w:tc>
        <w:tc>
          <w:tcPr>
            <w:tcW w:w="3720" w:type="dxa"/>
            <w:vAlign w:val="bottom"/>
          </w:tcPr>
          <w:p>
            <w:pPr>
              <w:jc w:val="center"/>
              <w:ind w:left="1858"/>
              <w:spacing w:after="0" w:line="132"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20" w:type="dxa"/>
            <w:vAlign w:val="bottom"/>
          </w:tcPr>
          <w:p>
            <w:pPr>
              <w:jc w:val="center"/>
              <w:ind w:right="2018"/>
              <w:spacing w:after="0" w:line="132"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7"/>
        </w:trPr>
        <w:tc>
          <w:tcPr>
            <w:tcW w:w="20" w:type="dxa"/>
            <w:vAlign w:val="bottom"/>
          </w:tcPr>
          <w:p>
            <w:pPr>
              <w:spacing w:after="0"/>
              <w:rPr>
                <w:sz w:val="14"/>
                <w:szCs w:val="14"/>
                <w:color w:val="auto"/>
              </w:rPr>
            </w:pPr>
          </w:p>
        </w:tc>
        <w:tc>
          <w:tcPr>
            <w:tcW w:w="3720" w:type="dxa"/>
            <w:vAlign w:val="bottom"/>
          </w:tcPr>
          <w:p>
            <w:pPr>
              <w:jc w:val="center"/>
              <w:ind w:left="1858"/>
              <w:spacing w:after="0"/>
              <w:rPr>
                <w:sz w:val="20"/>
                <w:szCs w:val="20"/>
                <w:color w:val="auto"/>
              </w:rPr>
            </w:pPr>
            <w:r>
              <w:rPr>
                <w:rFonts w:ascii="Times New Roman" w:cs="Times New Roman" w:eastAsia="Times New Roman" w:hAnsi="Times New Roman"/>
                <w:sz w:val="13"/>
                <w:szCs w:val="13"/>
                <w:b w:val="1"/>
                <w:bCs w:val="1"/>
                <w:color w:val="auto"/>
                <w:w w:val="97"/>
              </w:rPr>
              <w:t>of incorporation or organization)</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20" w:type="dxa"/>
            <w:vAlign w:val="bottom"/>
          </w:tcPr>
          <w:p>
            <w:pPr>
              <w:jc w:val="center"/>
              <w:ind w:right="2018"/>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61"/>
        </w:trPr>
        <w:tc>
          <w:tcPr>
            <w:tcW w:w="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6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55 Almaden Boulevard, 6</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Floor</w:t>
            </w:r>
          </w:p>
        </w:tc>
        <w:tc>
          <w:tcPr>
            <w:tcW w:w="3520" w:type="dxa"/>
            <w:vAlign w:val="bottom"/>
          </w:tcPr>
          <w:p>
            <w:pPr>
              <w:spacing w:after="0"/>
              <w:rPr>
                <w:sz w:val="22"/>
                <w:szCs w:val="22"/>
                <w:color w:val="auto"/>
              </w:rPr>
            </w:pPr>
          </w:p>
        </w:tc>
      </w:tr>
      <w:tr>
        <w:trPr>
          <w:trHeight w:val="167"/>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San Jose, California 95113</w:t>
            </w:r>
          </w:p>
        </w:tc>
        <w:tc>
          <w:tcPr>
            <w:tcW w:w="3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60" w:type="dxa"/>
            <w:vAlign w:val="bottom"/>
            <w:gridSpan w:val="5"/>
          </w:tcPr>
          <w:p>
            <w:pPr>
              <w:jc w:val="center"/>
              <w:ind w:right="840"/>
              <w:spacing w:after="0"/>
              <w:rPr>
                <w:sz w:val="20"/>
                <w:szCs w:val="20"/>
                <w:color w:val="auto"/>
              </w:rPr>
            </w:pPr>
            <w:r>
              <w:rPr>
                <w:rFonts w:ascii="Times New Roman" w:cs="Times New Roman" w:eastAsia="Times New Roman" w:hAnsi="Times New Roman"/>
                <w:sz w:val="11"/>
                <w:szCs w:val="11"/>
                <w:b w:val="1"/>
                <w:bCs w:val="1"/>
                <w:i w:val="1"/>
                <w:iCs w:val="1"/>
                <w:color w:val="auto"/>
              </w:rPr>
              <w:t>(Address of principal executive offices and Zip Code)</w:t>
            </w:r>
          </w:p>
        </w:tc>
        <w:tc>
          <w:tcPr>
            <w:tcW w:w="352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160" w:type="dxa"/>
            <w:vAlign w:val="bottom"/>
            <w:gridSpan w:val="5"/>
          </w:tcPr>
          <w:p>
            <w:pPr>
              <w:jc w:val="center"/>
              <w:ind w:left="565"/>
              <w:spacing w:after="0"/>
              <w:rPr>
                <w:sz w:val="20"/>
                <w:szCs w:val="20"/>
                <w:color w:val="auto"/>
              </w:rPr>
            </w:pPr>
            <w:r>
              <w:rPr>
                <w:rFonts w:ascii="Times New Roman" w:cs="Times New Roman" w:eastAsia="Times New Roman" w:hAnsi="Times New Roman"/>
                <w:sz w:val="14"/>
                <w:szCs w:val="14"/>
                <w:b w:val="1"/>
                <w:bCs w:val="1"/>
                <w:color w:val="auto"/>
              </w:rPr>
              <w:t>(888) 799-9666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138"/>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5"/>
          </w:tcPr>
          <w:p>
            <w:pPr>
              <w:jc w:val="center"/>
              <w:ind w:right="840"/>
              <w:spacing w:after="0"/>
              <w:rPr>
                <w:sz w:val="20"/>
                <w:szCs w:val="20"/>
                <w:color w:val="auto"/>
              </w:rPr>
            </w:pPr>
            <w:r>
              <w:rPr>
                <w:rFonts w:ascii="Times New Roman" w:cs="Times New Roman" w:eastAsia="Times New Roman" w:hAnsi="Times New Roman"/>
                <w:sz w:val="11"/>
                <w:szCs w:val="11"/>
                <w:b w:val="1"/>
                <w:bCs w:val="1"/>
                <w:i w:val="1"/>
                <w:iCs w:val="1"/>
                <w:color w:val="auto"/>
              </w:rPr>
              <w:t>(Registrant’s telephone number, including area code)</w:t>
            </w:r>
          </w:p>
        </w:tc>
        <w:tc>
          <w:tcPr>
            <w:tcW w:w="35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4000" w:type="dxa"/>
            <w:vAlign w:val="bottom"/>
            <w:gridSpan w:val="7"/>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w:t>
            </w:r>
          </w:p>
        </w:tc>
        <w:tc>
          <w:tcPr>
            <w:tcW w:w="3520" w:type="dxa"/>
            <w:vAlign w:val="bottom"/>
          </w:tcPr>
          <w:p>
            <w:pPr>
              <w:spacing w:after="0"/>
              <w:rPr>
                <w:sz w:val="12"/>
                <w:szCs w:val="12"/>
                <w:color w:val="auto"/>
              </w:rPr>
            </w:pPr>
          </w:p>
        </w:tc>
      </w:tr>
      <w:tr>
        <w:trPr>
          <w:trHeight w:val="206"/>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4000" w:type="dxa"/>
            <w:vAlign w:val="bottom"/>
            <w:gridSpan w:val="7"/>
          </w:tcPr>
          <w:p>
            <w:pPr>
              <w:jc w:val="center"/>
              <w:ind w:right="180"/>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352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3720" w:type="dxa"/>
            <w:vAlign w:val="bottom"/>
          </w:tcPr>
          <w:p>
            <w:pPr>
              <w:jc w:val="center"/>
              <w:ind w:left="498"/>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gridSpan w:val="5"/>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3520" w:type="dxa"/>
            <w:vAlign w:val="bottom"/>
          </w:tcPr>
          <w:p>
            <w:pPr>
              <w:jc w:val="center"/>
              <w:ind w:right="678"/>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140"/>
        </w:trPr>
        <w:tc>
          <w:tcPr>
            <w:tcW w:w="20" w:type="dxa"/>
            <w:vAlign w:val="bottom"/>
          </w:tcPr>
          <w:p>
            <w:pPr>
              <w:spacing w:after="0"/>
              <w:rPr>
                <w:sz w:val="12"/>
                <w:szCs w:val="12"/>
                <w:color w:val="auto"/>
              </w:rPr>
            </w:pPr>
          </w:p>
        </w:tc>
        <w:tc>
          <w:tcPr>
            <w:tcW w:w="3720" w:type="dxa"/>
            <w:vAlign w:val="bottom"/>
            <w:tcBorders>
              <w:top w:val="single" w:sz="8" w:color="auto"/>
            </w:tcBorders>
          </w:tcPr>
          <w:p>
            <w:pPr>
              <w:jc w:val="center"/>
              <w:ind w:left="498"/>
              <w:spacing w:after="0"/>
              <w:rPr>
                <w:sz w:val="20"/>
                <w:szCs w:val="20"/>
                <w:color w:val="auto"/>
              </w:rPr>
            </w:pPr>
            <w:r>
              <w:rPr>
                <w:rFonts w:ascii="Times New Roman" w:cs="Times New Roman" w:eastAsia="Times New Roman" w:hAnsi="Times New Roman"/>
                <w:sz w:val="11"/>
                <w:szCs w:val="11"/>
                <w:color w:val="auto"/>
              </w:rPr>
              <w:t>Class A Common Stock, $0.001 par value per share</w:t>
            </w: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ZM</w:t>
            </w: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tcPr>
          <w:p>
            <w:pPr>
              <w:jc w:val="center"/>
              <w:ind w:right="678"/>
              <w:spacing w:after="0"/>
              <w:rPr>
                <w:sz w:val="20"/>
                <w:szCs w:val="20"/>
                <w:color w:val="auto"/>
              </w:rPr>
            </w:pPr>
            <w:r>
              <w:rPr>
                <w:rFonts w:ascii="Times New Roman" w:cs="Times New Roman" w:eastAsia="Times New Roman" w:hAnsi="Times New Roman"/>
                <w:sz w:val="11"/>
                <w:szCs w:val="11"/>
                <w:color w:val="auto"/>
              </w:rPr>
              <w:t>The Nasdaq Global Select Market</w:t>
            </w:r>
          </w:p>
        </w:tc>
      </w:tr>
      <w:tr>
        <w:trPr>
          <w:trHeight w:val="492"/>
        </w:trPr>
        <w:tc>
          <w:tcPr>
            <w:tcW w:w="3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12(g) of the Act: None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92"/>
        </w:trPr>
        <w:tc>
          <w:tcPr>
            <w:tcW w:w="542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Indicate by check mark if the registrant is a well-known seasoned issuer, as defined in Rule 405 of the Securities Act.</w:t>
            </w:r>
          </w:p>
        </w:tc>
        <w:tc>
          <w:tcPr>
            <w:tcW w:w="420" w:type="dxa"/>
            <w:vAlign w:val="bottom"/>
          </w:tcPr>
          <w:p>
            <w:pPr>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p>
        </w:tc>
        <w:tc>
          <w:tcPr>
            <w:tcW w:w="190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3520" w:type="dxa"/>
            <w:vAlign w:val="bottom"/>
          </w:tcPr>
          <w:p>
            <w:pPr>
              <w:spacing w:after="0"/>
              <w:rPr>
                <w:sz w:val="16"/>
                <w:szCs w:val="16"/>
                <w:color w:val="auto"/>
              </w:rPr>
            </w:pPr>
          </w:p>
        </w:tc>
      </w:tr>
      <w:tr>
        <w:trPr>
          <w:trHeight w:val="191"/>
        </w:trPr>
        <w:tc>
          <w:tcPr>
            <w:tcW w:w="542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Indicate by check mark if the registrant is not required to file reports pursuant to Section 13 or Section 15(d) of the Act.</w:t>
            </w:r>
          </w:p>
        </w:tc>
        <w:tc>
          <w:tcPr>
            <w:tcW w:w="420" w:type="dxa"/>
            <w:vAlign w:val="bottom"/>
          </w:tcPr>
          <w:p>
            <w:pPr>
              <w:jc w:val="center"/>
              <w:spacing w:after="0" w:line="127" w:lineRule="exact"/>
              <w:rPr>
                <w:sz w:val="20"/>
                <w:szCs w:val="20"/>
                <w:color w:val="auto"/>
              </w:rPr>
            </w:pPr>
            <w:r>
              <w:rPr>
                <w:rFonts w:ascii="Times New Roman" w:cs="Times New Roman" w:eastAsia="Times New Roman" w:hAnsi="Times New Roman"/>
                <w:sz w:val="11"/>
                <w:szCs w:val="11"/>
                <w:color w:val="auto"/>
                <w:w w:val="97"/>
              </w:rPr>
              <w:t xml:space="preserve">Yes </w:t>
            </w:r>
            <w:r>
              <w:rPr>
                <w:rFonts w:ascii="MS PGothic" w:cs="MS PGothic" w:eastAsia="MS PGothic" w:hAnsi="MS PGothic"/>
                <w:sz w:val="11"/>
                <w:szCs w:val="11"/>
                <w:color w:val="auto"/>
                <w:w w:val="97"/>
              </w:rPr>
              <w:t>☐</w:t>
            </w:r>
          </w:p>
        </w:tc>
        <w:tc>
          <w:tcPr>
            <w:tcW w:w="1900" w:type="dxa"/>
            <w:vAlign w:val="bottom"/>
            <w:gridSpan w:val="3"/>
          </w:tcPr>
          <w:p>
            <w:pPr>
              <w:ind w:left="10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3520" w:type="dxa"/>
            <w:vAlign w:val="bottom"/>
          </w:tcPr>
          <w:p>
            <w:pPr>
              <w:spacing w:after="0"/>
              <w:rPr>
                <w:sz w:val="16"/>
                <w:szCs w:val="16"/>
                <w:color w:val="auto"/>
              </w:rPr>
            </w:pPr>
          </w:p>
        </w:tc>
      </w:tr>
    </w:tbl>
    <w:p>
      <w:pPr>
        <w:spacing w:after="0" w:line="22" w:lineRule="exact"/>
        <w:rPr>
          <w:sz w:val="24"/>
          <w:szCs w:val="24"/>
          <w:color w:val="auto"/>
        </w:rPr>
      </w:pPr>
    </w:p>
    <w:p>
      <w:pPr>
        <w:jc w:val="both"/>
        <w:spacing w:after="0" w:line="14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2" w:lineRule="exact"/>
        <w:rPr>
          <w:sz w:val="24"/>
          <w:szCs w:val="24"/>
          <w:color w:val="auto"/>
        </w:rPr>
      </w:pPr>
    </w:p>
    <w:p>
      <w:pPr>
        <w:jc w:val="both"/>
        <w:spacing w:after="0" w:line="154"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2" w:lineRule="exact"/>
        <w:rPr>
          <w:sz w:val="24"/>
          <w:szCs w:val="24"/>
          <w:color w:val="auto"/>
        </w:rPr>
      </w:pPr>
    </w:p>
    <w:p>
      <w:pPr>
        <w:jc w:val="both"/>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20" w:type="dxa"/>
        <w:tblCellMar>
          <w:top w:w="0" w:type="dxa"/>
          <w:left w:w="0" w:type="dxa"/>
          <w:bottom w:w="0" w:type="dxa"/>
          <w:right w:w="0" w:type="dxa"/>
        </w:tblCellMar>
      </w:tblPr>
      <w:tr>
        <w:trPr>
          <w:trHeight w:val="159"/>
        </w:trPr>
        <w:tc>
          <w:tcPr>
            <w:tcW w:w="19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520" w:type="dxa"/>
            <w:vAlign w:val="bottom"/>
          </w:tcPr>
          <w:p>
            <w:pPr>
              <w:ind w:left="700"/>
              <w:spacing w:after="0" w:line="111" w:lineRule="exact"/>
              <w:rPr>
                <w:sz w:val="20"/>
                <w:szCs w:val="20"/>
                <w:color w:val="auto"/>
              </w:rPr>
            </w:pPr>
            <w:r>
              <w:rPr>
                <w:rFonts w:ascii="MS PGothic" w:cs="MS PGothic" w:eastAsia="MS PGothic" w:hAnsi="MS PGothic"/>
                <w:sz w:val="11"/>
                <w:szCs w:val="11"/>
                <w:color w:val="auto"/>
              </w:rPr>
              <w:t>☒</w:t>
            </w:r>
          </w:p>
        </w:tc>
        <w:tc>
          <w:tcPr>
            <w:tcW w:w="4660" w:type="dxa"/>
            <w:vAlign w:val="bottom"/>
          </w:tcPr>
          <w:p>
            <w:pPr>
              <w:ind w:left="2720"/>
              <w:spacing w:after="0"/>
              <w:rPr>
                <w:sz w:val="20"/>
                <w:szCs w:val="20"/>
                <w:color w:val="auto"/>
              </w:rPr>
            </w:pPr>
            <w:r>
              <w:rPr>
                <w:rFonts w:ascii="Times New Roman" w:cs="Times New Roman" w:eastAsia="Times New Roman" w:hAnsi="Times New Roman"/>
                <w:sz w:val="11"/>
                <w:szCs w:val="11"/>
                <w:color w:val="auto"/>
              </w:rPr>
              <w:t>Accelerated filer</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9"/>
        </w:trPr>
        <w:tc>
          <w:tcPr>
            <w:tcW w:w="194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520" w:type="dxa"/>
            <w:vAlign w:val="bottom"/>
          </w:tcPr>
          <w:p>
            <w:pPr>
              <w:ind w:left="700"/>
              <w:spacing w:after="0" w:line="111" w:lineRule="exact"/>
              <w:rPr>
                <w:sz w:val="20"/>
                <w:szCs w:val="20"/>
                <w:color w:val="auto"/>
              </w:rPr>
            </w:pPr>
            <w:r>
              <w:rPr>
                <w:rFonts w:ascii="MS PGothic" w:cs="MS PGothic" w:eastAsia="MS PGothic" w:hAnsi="MS PGothic"/>
                <w:sz w:val="11"/>
                <w:szCs w:val="11"/>
                <w:color w:val="auto"/>
              </w:rPr>
              <w:t>☐</w:t>
            </w:r>
          </w:p>
        </w:tc>
        <w:tc>
          <w:tcPr>
            <w:tcW w:w="4660" w:type="dxa"/>
            <w:vAlign w:val="bottom"/>
          </w:tcPr>
          <w:p>
            <w:pPr>
              <w:ind w:left="27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7"/>
        </w:trPr>
        <w:tc>
          <w:tcPr>
            <w:tcW w:w="194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520" w:type="dxa"/>
            <w:vAlign w:val="bottom"/>
          </w:tcPr>
          <w:p>
            <w:pPr>
              <w:ind w:left="700"/>
              <w:spacing w:after="0" w:line="111" w:lineRule="exact"/>
              <w:rPr>
                <w:sz w:val="20"/>
                <w:szCs w:val="20"/>
                <w:color w:val="auto"/>
              </w:rPr>
            </w:pPr>
            <w:r>
              <w:rPr>
                <w:rFonts w:ascii="MS PGothic" w:cs="MS PGothic" w:eastAsia="MS PGothic" w:hAnsi="MS PGothic"/>
                <w:sz w:val="11"/>
                <w:szCs w:val="11"/>
                <w:color w:val="auto"/>
              </w:rPr>
              <w:t>☐</w:t>
            </w:r>
          </w:p>
        </w:tc>
        <w:tc>
          <w:tcPr>
            <w:tcW w:w="466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106"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rPr>
        <w:t>☐</w:t>
      </w:r>
    </w:p>
    <w:p>
      <w:pPr>
        <w:spacing w:after="0" w:line="181" w:lineRule="exact"/>
        <w:rPr>
          <w:sz w:val="24"/>
          <w:szCs w:val="24"/>
          <w:color w:val="auto"/>
        </w:rPr>
      </w:pPr>
    </w:p>
    <w:p>
      <w:pPr>
        <w:spacing w:after="0" w:line="14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25" w:lineRule="exact"/>
        <w:rPr>
          <w:sz w:val="24"/>
          <w:szCs w:val="24"/>
          <w:color w:val="auto"/>
        </w:rPr>
      </w:pPr>
    </w:p>
    <w:p>
      <w:pPr>
        <w:spacing w:after="0" w:line="127" w:lineRule="exact"/>
        <w:tabs>
          <w:tab w:leader="none" w:pos="5240" w:val="left"/>
          <w:tab w:leader="none" w:pos="568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Exchange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72" w:lineRule="exact"/>
        <w:rPr>
          <w:sz w:val="24"/>
          <w:szCs w:val="24"/>
          <w:color w:val="auto"/>
        </w:rPr>
      </w:pPr>
    </w:p>
    <w:p>
      <w:pPr>
        <w:ind w:right="200"/>
        <w:spacing w:after="0" w:line="300" w:lineRule="auto"/>
        <w:rPr>
          <w:sz w:val="20"/>
          <w:szCs w:val="20"/>
          <w:color w:val="auto"/>
        </w:rPr>
      </w:pPr>
      <w:r>
        <w:rPr>
          <w:rFonts w:ascii="Times New Roman" w:cs="Times New Roman" w:eastAsia="Times New Roman" w:hAnsi="Times New Roman"/>
          <w:sz w:val="11"/>
          <w:szCs w:val="11"/>
          <w:color w:val="auto"/>
        </w:rPr>
        <w:t>The aggregate market value of the registrant's Class A common stock held by non-affiliates of the registrant, based on the closing price of a share of the registrant's Class A common stock on July 29, 2022 as reported by the Nasdaq Global Select Market on such date was approximately $26.1 billion. This calculation does not reflect a determination that certain persons are affiliates of the registrant for any other purpose.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215265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As of February 17, 2023, the number of shares of the registrant’s Class A common stock outstanding was 247,166,587 and the number of shares of the registrant’s Class B common stock outstanding was 46,669,799.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52070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1"/>
          <w:szCs w:val="11"/>
          <w:color w:val="auto"/>
        </w:rPr>
        <w:t>DOCUMENTS INCORPORATED BY REFERENCE</w:t>
      </w:r>
    </w:p>
    <w:p>
      <w:pPr>
        <w:spacing w:after="0" w:line="192"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1"/>
          <w:szCs w:val="11"/>
          <w:color w:val="auto"/>
        </w:rPr>
        <w:t>Portions of the registrant's definitive Proxy Statement relating to the 2023 Annual Meeting of Stockholders are incorporated herein by references in Part III of this Annual Report on Form 10-K to the extent stated herein. Such Proxy Statement will be filed with the Securities and Exchange Commission within 120 days of the registrant's fiscal year ended January 31,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Auditor Name: KPMG LLP Auditor Location: San Francisco, California 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254635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754"/>
        </w:trPr>
        <w:tc>
          <w:tcPr>
            <w:tcW w:w="10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40" w:type="dxa"/>
            <w:vAlign w:val="bottom"/>
            <w:gridSpan w:val="7"/>
          </w:tcPr>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2"/>
        </w:trPr>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360" w:type="dxa"/>
            <w:vAlign w:val="bottom"/>
            <w:gridSpan w:val="5"/>
          </w:tcPr>
          <w:p>
            <w:pPr>
              <w:jc w:val="center"/>
              <w:ind w:right="3900"/>
              <w:spacing w:after="0"/>
              <w:rPr>
                <w:sz w:val="20"/>
                <w:szCs w:val="20"/>
                <w:color w:val="auto"/>
              </w:rPr>
            </w:pPr>
            <w:r>
              <w:rPr>
                <w:rFonts w:ascii="Times New Roman" w:cs="Times New Roman" w:eastAsia="Times New Roman" w:hAnsi="Times New Roman"/>
                <w:sz w:val="14"/>
                <w:szCs w:val="14"/>
                <w:b w:val="1"/>
                <w:bCs w:val="1"/>
                <w:color w:val="auto"/>
                <w:w w:val="95"/>
              </w:rPr>
              <w:t>Part I</w:t>
            </w:r>
          </w:p>
        </w:tc>
        <w:tc>
          <w:tcPr>
            <w:tcW w:w="15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40"/>
        </w:trPr>
        <w:tc>
          <w:tcPr>
            <w:tcW w:w="15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4"/>
                <w:szCs w:val="14"/>
                <w:color w:val="auto"/>
              </w:rPr>
              <w:t>Item 1.</w:t>
            </w:r>
          </w:p>
        </w:tc>
        <w:tc>
          <w:tcPr>
            <w:tcW w:w="8260" w:type="dxa"/>
            <w:vAlign w:val="bottom"/>
            <w:gridSpan w:val="18"/>
          </w:tcPr>
          <w:p>
            <w:pPr>
              <w:spacing w:after="0" w:line="140" w:lineRule="exact"/>
              <w:rPr>
                <w:sz w:val="20"/>
                <w:szCs w:val="20"/>
                <w:color w:val="auto"/>
              </w:rPr>
            </w:pPr>
            <w:r>
              <w:rPr>
                <w:rFonts w:ascii="Times New Roman" w:cs="Times New Roman" w:eastAsia="Times New Roman" w:hAnsi="Times New Roman"/>
                <w:sz w:val="14"/>
                <w:szCs w:val="14"/>
                <w:color w:val="0000FF"/>
              </w:rPr>
              <w:t>Business</w:t>
            </w:r>
          </w:p>
        </w:tc>
        <w:tc>
          <w:tcPr>
            <w:tcW w:w="800" w:type="dxa"/>
            <w:vAlign w:val="bottom"/>
            <w:gridSpan w:val="2"/>
          </w:tcPr>
          <w:p>
            <w:pPr>
              <w:jc w:val="center"/>
              <w:ind w:left="649"/>
              <w:spacing w:after="0" w:line="140" w:lineRule="exact"/>
              <w:rPr>
                <w:sz w:val="20"/>
                <w:szCs w:val="20"/>
                <w:color w:val="auto"/>
              </w:rPr>
            </w:pPr>
            <w:r>
              <w:rPr>
                <w:rFonts w:ascii="Times New Roman" w:cs="Times New Roman" w:eastAsia="Times New Roman" w:hAnsi="Times New Roman"/>
                <w:sz w:val="14"/>
                <w:szCs w:val="14"/>
                <w:color w:val="0000FF"/>
              </w:rPr>
              <w:t>6</w:t>
            </w:r>
          </w:p>
        </w:tc>
        <w:tc>
          <w:tcPr>
            <w:tcW w:w="700" w:type="dxa"/>
            <w:vAlign w:val="bottom"/>
          </w:tcPr>
          <w:p>
            <w:pPr>
              <w:spacing w:after="0"/>
              <w:rPr>
                <w:sz w:val="12"/>
                <w:szCs w:val="12"/>
                <w:color w:val="auto"/>
              </w:rPr>
            </w:pPr>
          </w:p>
        </w:tc>
      </w:tr>
      <w:tr>
        <w:trPr>
          <w:trHeight w:val="20"/>
        </w:trPr>
        <w:tc>
          <w:tcPr>
            <w:tcW w:w="152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7540" w:type="dxa"/>
            <w:vAlign w:val="bottom"/>
            <w:gridSpan w:val="15"/>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13</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1B.</w:t>
            </w:r>
          </w:p>
        </w:tc>
        <w:tc>
          <w:tcPr>
            <w:tcW w:w="16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6640" w:type="dxa"/>
            <w:vAlign w:val="bottom"/>
            <w:gridSpan w:val="10"/>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46</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5"/>
              </w:rPr>
              <w:t>Properties</w:t>
            </w:r>
          </w:p>
        </w:tc>
        <w:tc>
          <w:tcPr>
            <w:tcW w:w="1040" w:type="dxa"/>
            <w:vAlign w:val="bottom"/>
            <w:gridSpan w:val="6"/>
          </w:tcPr>
          <w:p>
            <w:pPr>
              <w:spacing w:after="0"/>
              <w:rPr>
                <w:sz w:val="13"/>
                <w:szCs w:val="13"/>
                <w:color w:val="auto"/>
              </w:rPr>
            </w:pPr>
          </w:p>
        </w:tc>
        <w:tc>
          <w:tcPr>
            <w:tcW w:w="6640" w:type="dxa"/>
            <w:vAlign w:val="bottom"/>
            <w:gridSpan w:val="10"/>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46</w:t>
            </w:r>
          </w:p>
        </w:tc>
        <w:tc>
          <w:tcPr>
            <w:tcW w:w="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6"/>
              </w:rPr>
              <w:t>Legal Proceedings</w:t>
            </w:r>
          </w:p>
        </w:tc>
        <w:tc>
          <w:tcPr>
            <w:tcW w:w="7220" w:type="dxa"/>
            <w:vAlign w:val="bottom"/>
            <w:gridSpan w:val="14"/>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46</w:t>
            </w:r>
          </w:p>
        </w:tc>
        <w:tc>
          <w:tcPr>
            <w:tcW w:w="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82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80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0000FF"/>
                <w:w w:val="99"/>
              </w:rPr>
              <w:t>46</w:t>
            </w:r>
          </w:p>
        </w:tc>
        <w:tc>
          <w:tcPr>
            <w:tcW w:w="700" w:type="dxa"/>
            <w:vAlign w:val="bottom"/>
          </w:tcPr>
          <w:p>
            <w:pPr>
              <w:spacing w:after="0"/>
              <w:rPr>
                <w:sz w:val="13"/>
                <w:szCs w:val="13"/>
                <w:color w:val="auto"/>
              </w:rPr>
            </w:pPr>
          </w:p>
        </w:tc>
      </w:tr>
      <w:tr>
        <w:trPr>
          <w:trHeight w:val="188"/>
        </w:trPr>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360" w:type="dxa"/>
            <w:vAlign w:val="bottom"/>
            <w:gridSpan w:val="5"/>
          </w:tcPr>
          <w:p>
            <w:pPr>
              <w:jc w:val="center"/>
              <w:ind w:right="390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7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00" w:type="dxa"/>
            <w:vAlign w:val="bottom"/>
          </w:tcPr>
          <w:p>
            <w:pPr>
              <w:spacing w:after="0"/>
              <w:rPr>
                <w:sz w:val="16"/>
                <w:szCs w:val="16"/>
                <w:color w:val="auto"/>
              </w:rPr>
            </w:pPr>
          </w:p>
        </w:tc>
      </w:tr>
      <w:tr>
        <w:trPr>
          <w:trHeight w:val="153"/>
        </w:trPr>
        <w:tc>
          <w:tcPr>
            <w:tcW w:w="15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5.</w:t>
            </w:r>
          </w:p>
        </w:tc>
        <w:tc>
          <w:tcPr>
            <w:tcW w:w="6380" w:type="dxa"/>
            <w:vAlign w:val="bottom"/>
            <w:gridSpan w:val="17"/>
          </w:tcPr>
          <w:p>
            <w:pPr>
              <w:spacing w:after="0" w:line="153"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0000FF"/>
                <w:w w:val="71"/>
              </w:rPr>
              <w:t>46</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638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[Reserved]</w:t>
            </w:r>
          </w:p>
        </w:tc>
        <w:tc>
          <w:tcPr>
            <w:tcW w:w="1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48</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7.</w:t>
            </w:r>
          </w:p>
        </w:tc>
        <w:tc>
          <w:tcPr>
            <w:tcW w:w="82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80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0000FF"/>
                <w:w w:val="99"/>
              </w:rPr>
              <w:t>48</w:t>
            </w:r>
          </w:p>
        </w:tc>
        <w:tc>
          <w:tcPr>
            <w:tcW w:w="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7A.</w:t>
            </w:r>
          </w:p>
        </w:tc>
        <w:tc>
          <w:tcPr>
            <w:tcW w:w="344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20" w:type="dxa"/>
            <w:vAlign w:val="bottom"/>
            <w:gridSpan w:val="3"/>
          </w:tcPr>
          <w:p>
            <w:pPr>
              <w:spacing w:after="0"/>
              <w:rPr>
                <w:sz w:val="13"/>
                <w:szCs w:val="13"/>
                <w:color w:val="auto"/>
              </w:rPr>
            </w:pPr>
          </w:p>
        </w:tc>
        <w:tc>
          <w:tcPr>
            <w:tcW w:w="320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60</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8.</w:t>
            </w:r>
          </w:p>
        </w:tc>
        <w:tc>
          <w:tcPr>
            <w:tcW w:w="344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4820" w:type="dxa"/>
            <w:vAlign w:val="bottom"/>
            <w:gridSpan w:val="6"/>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62</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w:t>
            </w:r>
          </w:p>
        </w:tc>
        <w:tc>
          <w:tcPr>
            <w:tcW w:w="50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w w:val="99"/>
              </w:rPr>
              <w:t>Changes in and Disagreements with Accountants on Accounting and Financial Disclosure</w:t>
            </w:r>
          </w:p>
        </w:tc>
        <w:tc>
          <w:tcPr>
            <w:tcW w:w="320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96</w:t>
            </w:r>
          </w:p>
        </w:tc>
        <w:tc>
          <w:tcPr>
            <w:tcW w:w="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660" w:type="dxa"/>
            <w:vAlign w:val="bottom"/>
            <w:gridSpan w:val="9"/>
          </w:tcPr>
          <w:p>
            <w:pPr>
              <w:spacing w:after="0"/>
              <w:rPr>
                <w:sz w:val="13"/>
                <w:szCs w:val="13"/>
                <w:color w:val="auto"/>
              </w:rPr>
            </w:pPr>
          </w:p>
        </w:tc>
        <w:tc>
          <w:tcPr>
            <w:tcW w:w="320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96</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7"/>
              </w:rPr>
              <w:t>Other Information</w:t>
            </w:r>
          </w:p>
        </w:tc>
        <w:tc>
          <w:tcPr>
            <w:tcW w:w="360" w:type="dxa"/>
            <w:vAlign w:val="bottom"/>
            <w:gridSpan w:val="2"/>
          </w:tcPr>
          <w:p>
            <w:pPr>
              <w:spacing w:after="0"/>
              <w:rPr>
                <w:sz w:val="13"/>
                <w:szCs w:val="13"/>
                <w:color w:val="auto"/>
              </w:rPr>
            </w:pPr>
          </w:p>
        </w:tc>
        <w:tc>
          <w:tcPr>
            <w:tcW w:w="6860" w:type="dxa"/>
            <w:vAlign w:val="bottom"/>
            <w:gridSpan w:val="12"/>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96</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9C.</w:t>
            </w:r>
          </w:p>
        </w:tc>
        <w:tc>
          <w:tcPr>
            <w:tcW w:w="82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800" w:type="dxa"/>
            <w:vAlign w:val="bottom"/>
            <w:gridSpan w:val="2"/>
          </w:tcPr>
          <w:p>
            <w:pPr>
              <w:jc w:val="center"/>
              <w:ind w:left="589"/>
              <w:spacing w:after="0"/>
              <w:rPr>
                <w:sz w:val="20"/>
                <w:szCs w:val="20"/>
                <w:color w:val="auto"/>
              </w:rPr>
            </w:pPr>
            <w:r>
              <w:rPr>
                <w:rFonts w:ascii="Times New Roman" w:cs="Times New Roman" w:eastAsia="Times New Roman" w:hAnsi="Times New Roman"/>
                <w:sz w:val="14"/>
                <w:szCs w:val="14"/>
                <w:color w:val="0000FF"/>
                <w:w w:val="99"/>
              </w:rPr>
              <w:t>97</w:t>
            </w:r>
          </w:p>
        </w:tc>
        <w:tc>
          <w:tcPr>
            <w:tcW w:w="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20" w:type="dxa"/>
            <w:vAlign w:val="bottom"/>
            <w:gridSpan w:val="6"/>
          </w:tcPr>
          <w:p>
            <w:pPr>
              <w:jc w:val="center"/>
              <w:ind w:right="3440"/>
              <w:spacing w:after="0"/>
              <w:rPr>
                <w:sz w:val="20"/>
                <w:szCs w:val="20"/>
                <w:color w:val="auto"/>
              </w:rPr>
            </w:pPr>
            <w:r>
              <w:rPr>
                <w:rFonts w:ascii="Times New Roman" w:cs="Times New Roman" w:eastAsia="Times New Roman" w:hAnsi="Times New Roman"/>
                <w:sz w:val="14"/>
                <w:szCs w:val="14"/>
                <w:b w:val="1"/>
                <w:bCs w:val="1"/>
                <w:color w:val="auto"/>
                <w:w w:val="99"/>
              </w:rPr>
              <w:t>Part III</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53"/>
        </w:trPr>
        <w:tc>
          <w:tcPr>
            <w:tcW w:w="15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10.</w:t>
            </w:r>
          </w:p>
        </w:tc>
        <w:tc>
          <w:tcPr>
            <w:tcW w:w="8260" w:type="dxa"/>
            <w:vAlign w:val="bottom"/>
            <w:gridSpan w:val="18"/>
          </w:tcPr>
          <w:p>
            <w:pPr>
              <w:spacing w:after="0" w:line="153"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800" w:type="dxa"/>
            <w:vAlign w:val="bottom"/>
            <w:gridSpan w:val="2"/>
          </w:tcPr>
          <w:p>
            <w:pPr>
              <w:jc w:val="center"/>
              <w:ind w:left="589"/>
              <w:spacing w:after="0" w:line="153" w:lineRule="exact"/>
              <w:rPr>
                <w:sz w:val="20"/>
                <w:szCs w:val="20"/>
                <w:color w:val="auto"/>
              </w:rPr>
            </w:pPr>
            <w:r>
              <w:rPr>
                <w:rFonts w:ascii="Times New Roman" w:cs="Times New Roman" w:eastAsia="Times New Roman" w:hAnsi="Times New Roman"/>
                <w:sz w:val="14"/>
                <w:szCs w:val="14"/>
                <w:color w:val="0000FF"/>
                <w:w w:val="99"/>
              </w:rPr>
              <w:t>97</w:t>
            </w:r>
          </w:p>
        </w:tc>
        <w:tc>
          <w:tcPr>
            <w:tcW w:w="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11.</w:t>
            </w:r>
          </w:p>
        </w:tc>
        <w:tc>
          <w:tcPr>
            <w:tcW w:w="322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5040" w:type="dxa"/>
            <w:vAlign w:val="bottom"/>
            <w:gridSpan w:val="7"/>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97</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12.</w:t>
            </w:r>
          </w:p>
        </w:tc>
        <w:tc>
          <w:tcPr>
            <w:tcW w:w="57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52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97</w:t>
            </w:r>
          </w:p>
        </w:tc>
        <w:tc>
          <w:tcPr>
            <w:tcW w:w="700" w:type="dxa"/>
            <w:vAlign w:val="bottom"/>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13.</w:t>
            </w:r>
          </w:p>
        </w:tc>
        <w:tc>
          <w:tcPr>
            <w:tcW w:w="57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252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97</w:t>
            </w:r>
          </w:p>
        </w:tc>
        <w:tc>
          <w:tcPr>
            <w:tcW w:w="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14.</w:t>
            </w:r>
          </w:p>
        </w:tc>
        <w:tc>
          <w:tcPr>
            <w:tcW w:w="428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398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98</w:t>
            </w:r>
          </w:p>
        </w:tc>
        <w:tc>
          <w:tcPr>
            <w:tcW w:w="700" w:type="dxa"/>
            <w:vAlign w:val="bottom"/>
          </w:tcPr>
          <w:p>
            <w:pPr>
              <w:spacing w:after="0"/>
              <w:rPr>
                <w:sz w:val="13"/>
                <w:szCs w:val="13"/>
                <w:color w:val="auto"/>
              </w:rPr>
            </w:pPr>
          </w:p>
        </w:tc>
      </w:tr>
      <w:tr>
        <w:trPr>
          <w:trHeight w:val="188"/>
        </w:trPr>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20" w:type="dxa"/>
            <w:vAlign w:val="bottom"/>
            <w:gridSpan w:val="6"/>
          </w:tcPr>
          <w:p>
            <w:pPr>
              <w:jc w:val="center"/>
              <w:ind w:right="344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7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00" w:type="dxa"/>
            <w:vAlign w:val="bottom"/>
          </w:tcPr>
          <w:p>
            <w:pPr>
              <w:spacing w:after="0"/>
              <w:rPr>
                <w:sz w:val="16"/>
                <w:szCs w:val="16"/>
                <w:color w:val="auto"/>
              </w:rPr>
            </w:pPr>
          </w:p>
        </w:tc>
      </w:tr>
      <w:tr>
        <w:trPr>
          <w:trHeight w:val="153"/>
        </w:trPr>
        <w:tc>
          <w:tcPr>
            <w:tcW w:w="15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Item 15.</w:t>
            </w:r>
          </w:p>
        </w:tc>
        <w:tc>
          <w:tcPr>
            <w:tcW w:w="8260" w:type="dxa"/>
            <w:vAlign w:val="bottom"/>
            <w:gridSpan w:val="18"/>
          </w:tcPr>
          <w:p>
            <w:pPr>
              <w:spacing w:after="0" w:line="153" w:lineRule="exact"/>
              <w:rPr>
                <w:sz w:val="20"/>
                <w:szCs w:val="20"/>
                <w:color w:val="auto"/>
              </w:rPr>
            </w:pPr>
            <w:r>
              <w:rPr>
                <w:rFonts w:ascii="Times New Roman" w:cs="Times New Roman" w:eastAsia="Times New Roman" w:hAnsi="Times New Roman"/>
                <w:sz w:val="14"/>
                <w:szCs w:val="14"/>
                <w:color w:val="0000FF"/>
              </w:rPr>
              <w:t>Exhibits, Financial Statement Schedules</w:t>
            </w:r>
          </w:p>
        </w:tc>
        <w:tc>
          <w:tcPr>
            <w:tcW w:w="800" w:type="dxa"/>
            <w:vAlign w:val="bottom"/>
            <w:gridSpan w:val="2"/>
          </w:tcPr>
          <w:p>
            <w:pPr>
              <w:jc w:val="center"/>
              <w:ind w:left="589"/>
              <w:spacing w:after="0" w:line="153" w:lineRule="exact"/>
              <w:rPr>
                <w:sz w:val="20"/>
                <w:szCs w:val="20"/>
                <w:color w:val="auto"/>
              </w:rPr>
            </w:pPr>
            <w:r>
              <w:rPr>
                <w:rFonts w:ascii="Times New Roman" w:cs="Times New Roman" w:eastAsia="Times New Roman" w:hAnsi="Times New Roman"/>
                <w:sz w:val="14"/>
                <w:szCs w:val="14"/>
                <w:color w:val="0000FF"/>
                <w:w w:val="99"/>
              </w:rPr>
              <w:t>98</w:t>
            </w:r>
          </w:p>
        </w:tc>
        <w:tc>
          <w:tcPr>
            <w:tcW w:w="70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Item 16.</w:t>
            </w:r>
          </w:p>
        </w:tc>
        <w:tc>
          <w:tcPr>
            <w:tcW w:w="228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5980" w:type="dxa"/>
            <w:vAlign w:val="bottom"/>
            <w:gridSpan w:val="9"/>
          </w:tcPr>
          <w:p>
            <w:pPr>
              <w:spacing w:after="0"/>
              <w:rPr>
                <w:sz w:val="13"/>
                <w:szCs w:val="13"/>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100</w:t>
            </w: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7040" w:type="dxa"/>
            <w:vAlign w:val="bottom"/>
            <w:gridSpan w:val="13"/>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r>
        <w:trPr>
          <w:trHeight w:val="160"/>
        </w:trPr>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7040" w:type="dxa"/>
            <w:vAlign w:val="bottom"/>
            <w:gridSpan w:val="13"/>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0000FF"/>
                <w:w w:val="71"/>
              </w:rPr>
              <w:t>101</w:t>
            </w:r>
          </w:p>
        </w:tc>
      </w:tr>
      <w:tr>
        <w:trPr>
          <w:trHeight w:val="20"/>
        </w:trPr>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Annual Report on Form 10-K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our product strategy; our efforts to enhance the security and privacy of our platform; the potential impacts of the COVID-19 pandemic recovery and related public health measures on our business, the business of our customers, suppliers and channel partners, and the economy; our ability to operate our business and effectively manage our scale under evolving macroeconomic conditions, such as high inflation, recessionary or uncertain environments and fluctuations in foreign currency exchange rates; our ability to become the ubiquitous platform for communications and collaboration; our ability to attract new customers and retain existing customers; our ability to successfully expand into our existing markets and into new markets; our ability to effectively manage our growth and future expenses; and the impact of recent accounting pronouncements on our consolidated financial statements.</w:t>
      </w:r>
    </w:p>
    <w:p>
      <w:pPr>
        <w:spacing w:after="0" w:line="6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56"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2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You should read this Annual Report on Form 10-K and the documents that we reference in this Annual Report on Form 10-K and have filed with the Securities and Exchange Commission as exhibits to this Annual Report on Form 10-K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96"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Investing in our Class A common stock involves numerous risks, including the risks described in “Part I—Item 1A. Risk Factors” of this Annual Report on Form 10-K. Below are some of these risks, any one of which could materially adversely affect our business, financial condition, results of operations, and prospects.</w:t>
      </w:r>
    </w:p>
    <w:p>
      <w:pPr>
        <w:spacing w:after="0" w:line="39" w:lineRule="exact"/>
        <w:rPr>
          <w:sz w:val="20"/>
          <w:szCs w:val="20"/>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our ability to attract new customers, retain and upsell additional products and new product categories to existing customers, and upgrade free hosts to our paid offerings. Any decline in new customers, renewals, or upgrades would harm our business.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growth rate has fluctuated in prior periods, and may decline in future periods.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delays, or outages in service from our co-located data centers and a variety of other factors, would impair the delivery of our services, require us to issue credits or pay penalties, and harm our business.</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spacing w:after="0" w:line="5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may be significantly affected by changes in the economy, including any resulting effect on consumer or business spending.</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we increase sales to large organizations, our sales cycles could lengthen, and we could experience greater deployment challenges.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generate revenue from sales of subscriptions to our platform, and any decline in demand for our platform or for communications and collaboration technologies in general would harm our business.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net losses in the past and there are no assurances we will be able to maintain or increase profitability in the future.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respond to rapid technological changes, extend our platform or develop new features.</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at the current scale of our business, which makes it difficult to evaluate our prospects and future results of operations.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were to lose the services of our Chief Executive Officer or other members of our senior management team, we may not be able to execute our business strategy.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significant and expanding operations outside the United States, which may subject us to increased business, regulatory and economic risks that could harm our business.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dual class structure of our common stock as contained in our amended and restated certificate of incorporation has the effect of concentrating voting control with those stockholders who held our stock prior to our initial public</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offering, including our executive officers, employees, and directors and their affiliates, limiting your ability to influence corporate matters.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If we are unable to adequately address these and other risks we face, our business may be harmed.</w:t>
      </w:r>
    </w:p>
    <w:p>
      <w:pPr>
        <w:spacing w:after="0" w:line="200" w:lineRule="exact"/>
        <w:rPr>
          <w:sz w:val="20"/>
          <w:szCs w:val="20"/>
          <w:color w:val="auto"/>
        </w:rPr>
      </w:pPr>
    </w:p>
    <w:p>
      <w:pPr>
        <w:spacing w:after="0" w:line="24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mission is to make communications frictionless and secure.</w:t>
      </w:r>
    </w:p>
    <w:p>
      <w:pPr>
        <w:spacing w:after="0" w:line="83" w:lineRule="exact"/>
        <w:rPr>
          <w:sz w:val="20"/>
          <w:szCs w:val="20"/>
          <w:color w:val="auto"/>
        </w:rPr>
      </w:pPr>
    </w:p>
    <w:p>
      <w:pPr>
        <w:jc w:val="both"/>
        <w:ind w:firstLine="382"/>
        <w:spacing w:after="0" w:line="244" w:lineRule="auto"/>
        <w:rPr>
          <w:sz w:val="20"/>
          <w:szCs w:val="20"/>
          <w:color w:val="auto"/>
        </w:rPr>
      </w:pPr>
      <w:r>
        <w:rPr>
          <w:rFonts w:ascii="Times New Roman" w:cs="Times New Roman" w:eastAsia="Times New Roman" w:hAnsi="Times New Roman"/>
          <w:sz w:val="14"/>
          <w:szCs w:val="14"/>
          <w:color w:val="auto"/>
        </w:rPr>
        <w:t>Zoom enables people to connect to others, share ideas, make plans, and build toward a future limited only by their imagination. Our frictionless communications and collaboration platform started with video as its foundation, and we have set the standard for innovation ever since. That is why Zoom is an intuitive, scalable, and secure choice for large enterprises, small businesses, and individuals alike. We provide a unified communications and collaboration platform that delivers happiness and fundamentally changes how people interact, connecting them through frictionless and secure meetings, phone, chat, content sharing and more. Our Developer Platform enables customers, developers, and service providers to easily build apps and integrations on top of Zoom’s industry-leading video communications and collaboration platform, with opportunities for global discovery and distribution. Our virtual and hybrid event solutions allow users to seamlessly create and manage engaging events.</w:t>
      </w:r>
    </w:p>
    <w:p>
      <w:pPr>
        <w:spacing w:after="0" w:line="68"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Our cloud-native platform delivers reliable, high-quality video and voice solutions that are easy to use, manage, and deploy; provides an attractive return on investment; and is scalable and easily integrates with physical spaces and applications. As businesses around the world navigate a period of significant work transformation, Zoom’s ability to enable meaningful connections whether teams are in the office, at home, on-the-go, or in other locations such as a retail or manufacturing setting, is a critical differentiator. We believe that rich and reliable communications lead to interactions that build greater empathy and trust. We strive to live up to the trust our customers place in us by delivering a communications solution that is secure, reliable, and “just works.”</w:t>
      </w:r>
    </w:p>
    <w:p>
      <w:pPr>
        <w:jc w:val="both"/>
        <w:ind w:firstLine="382"/>
        <w:spacing w:after="0" w:line="236" w:lineRule="auto"/>
        <w:rPr>
          <w:sz w:val="20"/>
          <w:szCs w:val="20"/>
          <w:color w:val="auto"/>
        </w:rPr>
      </w:pPr>
      <w:r>
        <w:rPr>
          <w:rFonts w:ascii="Times New Roman" w:cs="Times New Roman" w:eastAsia="Times New Roman" w:hAnsi="Times New Roman"/>
          <w:sz w:val="14"/>
          <w:szCs w:val="14"/>
          <w:color w:val="auto"/>
        </w:rPr>
        <w:t>A cornerstone of our platform is Zoom Meetings, around which we provide a full suite of products and features designed to give users an easy, reliable, and innovative unified communications experience. Users comprise both hosts, who organize video meetings, and individual attendees, who participate in those video meetings. In 2019, we launched Zoom Phone, a cloud-based PBX system, creating a unique unified communications and collaboration platform. Many customers also choose to implement Zoom Rooms, our software-based conference room system, which enables users to easily experience Zoom Meetings in their physical meeting spaces.</w:t>
      </w:r>
    </w:p>
    <w:p>
      <w:pPr>
        <w:spacing w:after="0" w:line="7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continue to invest resources to enhance the capabilities of our platform. For example, during fiscal year 2023 we announced Zoom Contact Center, an omnichannel contact center solution that is optimized for video and integrated right into the same Zoom experience as well as Zoom Whiteboard, a persistent whiteboard tool for team collaboration in and outside of meetings and Zoom IQ for Sales, a conversation intelligence software for Zoom Meetings, which provides sales teams with meaningful and actionable insights from their customer interactions to improve seller performance and enhance customer experiences. As of February 2023, Zoom Mail and Calendar are generally available, which include both client experiences (Zoom Mail Client, Zoom Calendar Client) and service components (Zoom Mail Service, Zoom Calendar Service). Lastly, we launched Zoom Virtual Agent, an AI-powered chatbot that understands customer questions and provides accurate answers quickly.</w:t>
      </w:r>
    </w:p>
    <w:p>
      <w:pPr>
        <w:spacing w:after="0" w:line="6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happiness we bring is recognized by customers. Zoom has consistently high scores across customer review sites, including Gartner Peer Insights, TrustRadius, and G2 Crowd, including being recognized as a 2022 Gartner Peer Insights Customers’ Choice for Meeting Solutions as well as for Zoom Rooms and Zoom Video Webinars and a TrustRadius Top Rated Web Conferencing Software award along with nine other recognitions. Industry analysts also recognize our market leadership: Gartner has named Zoom a leader in the Magic Quadrant for UCaaS for the third year in a row. Frost &amp; Sullivan recognized Zoom with its 2022 North American Virtual Care Customer Value Leadership Award as well as its 2022 Global SMB Customer Experience Customer Value Leadership Award. In 2022, we were also recognized as a leader in two IDC MarketScapes for Collaboration Tools in Education (North America and Worldwide). In addition, IDC recognized Zoom as a leader in the 2022 APAC Team Collaboration and Videoconferencing MarketScape. Zoom also received Leader recognition in two Aragon Research Globes: Unified Communications and Collaboration as well as Video Conferencing. We also received Aragon’s Innovation Award for Video Conferencing for the third year in a row (2020, 2021 and 2022). Zoom was also named to Fortune’s 2023 Most Admired Companies list for the second year in a row, and Fast Company’s 2022 Next Big Things in Tech list highlighted Zoom Events.</w:t>
      </w:r>
    </w:p>
    <w:p>
      <w:pPr>
        <w:spacing w:after="0" w:line="6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have a unique model that combines viral enthusiasm for our platform with a multipronged go-to-market strategy for optimal efficiency. Viral enthusiasm begins with our users as they experience the simplicity and reliability of our platform – it “gets out of the way” so they can focus on what they need to get done together.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focus on the following elements of our strategy to drive our growth:</w:t>
      </w:r>
    </w:p>
    <w:p>
      <w:pPr>
        <w:spacing w:after="0" w:line="92" w:lineRule="exact"/>
        <w:rPr>
          <w:sz w:val="20"/>
          <w:szCs w:val="20"/>
          <w:color w:val="auto"/>
        </w:rPr>
      </w:pPr>
    </w:p>
    <w:p>
      <w:pPr>
        <w:jc w:val="both"/>
        <w:ind w:left="900" w:hanging="513"/>
        <w:spacing w:after="0" w:line="271" w:lineRule="auto"/>
        <w:tabs>
          <w:tab w:leader="none" w:pos="8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Keep our existing customers happy. </w:t>
      </w:r>
      <w:r>
        <w:rPr>
          <w:rFonts w:ascii="Times New Roman" w:cs="Times New Roman" w:eastAsia="Times New Roman" w:hAnsi="Times New Roman"/>
          <w:sz w:val="14"/>
          <w:szCs w:val="14"/>
          <w:color w:val="auto"/>
        </w:rPr>
        <w:t>We provide happiness to our customers by giving them an experience that delights them. We respond to customer needs with action to drive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positive user experiences. We believe these practices result in our high scores across customer review sites and will continue to generate referrals from our existing customers, providing meaningful viral adoption for the foreseeable future.</w:t>
      </w:r>
    </w:p>
    <w:p>
      <w:pPr>
        <w:spacing w:after="0" w:line="48" w:lineRule="exact"/>
        <w:rPr>
          <w:rFonts w:ascii="Times New Roman" w:cs="Times New Roman" w:eastAsia="Times New Roman" w:hAnsi="Times New Roman"/>
          <w:sz w:val="14"/>
          <w:szCs w:val="14"/>
          <w:color w:val="auto"/>
        </w:rPr>
      </w:pPr>
    </w:p>
    <w:p>
      <w:pPr>
        <w:jc w:val="both"/>
        <w:ind w:left="900" w:hanging="513"/>
        <w:spacing w:after="0" w:line="265" w:lineRule="auto"/>
        <w:tabs>
          <w:tab w:leader="none" w:pos="8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Drive new customer acquisition. </w:t>
      </w:r>
      <w:r>
        <w:rPr>
          <w:rFonts w:ascii="Times New Roman" w:cs="Times New Roman" w:eastAsia="Times New Roman" w:hAnsi="Times New Roman"/>
          <w:sz w:val="14"/>
          <w:szCs w:val="14"/>
          <w:color w:val="auto"/>
        </w:rPr>
        <w:t>Our platform is designed to make it easy to host meetings. By attracting free hosts to use our platform, we promote usage that allows hosts and their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attendees to experience the Zoom difference.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52" w:lineRule="exact"/>
        <w:rPr>
          <w:rFonts w:ascii="Times New Roman" w:cs="Times New Roman" w:eastAsia="Times New Roman" w:hAnsi="Times New Roman"/>
          <w:sz w:val="14"/>
          <w:szCs w:val="14"/>
          <w:color w:val="auto"/>
        </w:rPr>
      </w:pPr>
    </w:p>
    <w:p>
      <w:pPr>
        <w:jc w:val="both"/>
        <w:ind w:left="900" w:hanging="513"/>
        <w:spacing w:after="0" w:line="271" w:lineRule="auto"/>
        <w:tabs>
          <w:tab w:leader="none" w:pos="8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Expand within existing customers. </w:t>
      </w:r>
      <w:r>
        <w:rPr>
          <w:rFonts w:ascii="Times New Roman" w:cs="Times New Roman" w:eastAsia="Times New Roman" w:hAnsi="Times New Roman"/>
          <w:sz w:val="14"/>
          <w:szCs w:val="14"/>
          <w:color w:val="auto"/>
        </w:rPr>
        <w:t>As organizations experience our platform and become familiar with its benefits, more teams and departments within these organizations adopt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Zoom. Our platform may begin in a line of business and then organically expand across departments. This “land and expand” model has led to some of our largest deployments. Customers are also purchasing services for webinars, room solutions, phone, and contact center for a complete and integrated set of communications services.</w:t>
      </w:r>
    </w:p>
    <w:p>
      <w:pPr>
        <w:spacing w:after="0" w:line="48" w:lineRule="exact"/>
        <w:rPr>
          <w:rFonts w:ascii="Times New Roman" w:cs="Times New Roman" w:eastAsia="Times New Roman" w:hAnsi="Times New Roman"/>
          <w:sz w:val="14"/>
          <w:szCs w:val="14"/>
          <w:color w:val="auto"/>
        </w:rPr>
      </w:pPr>
    </w:p>
    <w:p>
      <w:pPr>
        <w:ind w:left="900" w:hanging="513"/>
        <w:spacing w:after="0" w:line="290" w:lineRule="auto"/>
        <w:tabs>
          <w:tab w:leader="none" w:pos="8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Innovate our platform continuously. </w:t>
      </w:r>
      <w:r>
        <w:rPr>
          <w:rFonts w:ascii="Times New Roman" w:cs="Times New Roman" w:eastAsia="Times New Roman" w:hAnsi="Times New Roman"/>
          <w:sz w:val="14"/>
          <w:szCs w:val="14"/>
          <w:color w:val="auto"/>
        </w:rPr>
        <w:t>Our engineers aim to stay on the cutting edge of communication and collaboration technologies. We strive to deliver the best experience to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users by dedicating a portion of engineering capacity to developing on-demand, customer-requested features that would be valuable across our customer base.</w:t>
      </w:r>
    </w:p>
    <w:p>
      <w:pPr>
        <w:spacing w:after="0" w:line="35" w:lineRule="exact"/>
        <w:rPr>
          <w:rFonts w:ascii="Times New Roman" w:cs="Times New Roman" w:eastAsia="Times New Roman" w:hAnsi="Times New Roman"/>
          <w:sz w:val="14"/>
          <w:szCs w:val="14"/>
          <w:color w:val="auto"/>
        </w:rPr>
      </w:pPr>
    </w:p>
    <w:p>
      <w:pPr>
        <w:jc w:val="both"/>
        <w:ind w:left="900" w:hanging="513"/>
        <w:spacing w:after="0" w:line="271" w:lineRule="auto"/>
        <w:tabs>
          <w:tab w:leader="none" w:pos="8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Drive international expansion. </w:t>
      </w:r>
      <w:r>
        <w:rPr>
          <w:rFonts w:ascii="Times New Roman" w:cs="Times New Roman" w:eastAsia="Times New Roman" w:hAnsi="Times New Roman"/>
          <w:sz w:val="14"/>
          <w:szCs w:val="14"/>
          <w:color w:val="auto"/>
        </w:rPr>
        <w:t>With users, offices, and data centers strategically located around the world, we are poised to reach new customers globally. Our platform is intuitively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designed such that localization requirements are minimal. For example, our platform works without intensive translation requirements with only a few language adjustments to our user interface and support systems.</w:t>
      </w:r>
    </w:p>
    <w:p>
      <w:pPr>
        <w:spacing w:after="0" w:line="48" w:lineRule="exact"/>
        <w:rPr>
          <w:rFonts w:ascii="Times New Roman" w:cs="Times New Roman" w:eastAsia="Times New Roman" w:hAnsi="Times New Roman"/>
          <w:sz w:val="14"/>
          <w:szCs w:val="14"/>
          <w:color w:val="auto"/>
        </w:rPr>
      </w:pPr>
    </w:p>
    <w:p>
      <w:pPr>
        <w:jc w:val="both"/>
        <w:ind w:left="900" w:hanging="513"/>
        <w:spacing w:after="0" w:line="262" w:lineRule="auto"/>
        <w:tabs>
          <w:tab w:leader="none" w:pos="8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Grow our developer ecosystem and continue to expand our platform. </w:t>
      </w:r>
      <w:r>
        <w:rPr>
          <w:rFonts w:ascii="Times New Roman" w:cs="Times New Roman" w:eastAsia="Times New Roman" w:hAnsi="Times New Roman"/>
          <w:sz w:val="14"/>
          <w:szCs w:val="14"/>
          <w:color w:val="auto"/>
        </w:rPr>
        <w:t>Through the Zoom Developer Platform, we enable customers and their developers to build their own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solutions with our underlying platform technology, seamlessly embed our UC platform into their own offerings, and integrate their applications across Zoom products using our extensive library of application program interfaces (“APIs”) and selection of software development kits (“SDKs”). Our app marketplace further extends the value and adoption of Zoom with our customers through the development and distribution of apps and integrations. We continue to partner with video conferencing hardware and peripheral providers, and with software providers, including Palo Alto Networks, Zendesk, and Box.</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Platform</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provide a unified communications and collaboration platform that delivers happiness and fundamentally changes how people interact, connecting them through frictionless and secure</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meetings, phone, chat, content sharing and more. Our core products are grouped under the following categories: Zoom One, Zoom Spaces, Zoom Events, Zoom Contact Center, Zoom AI, and Zoom Developers.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Zoom One</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Meetings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Zoom Meetings provides HD video, voice, chat, and content sharing across mobile devices, desktops, laptops, telephones, and conference room systems. Our architecture can support up to 1,000 video participants in a single meeting. Conversations can be one to one, one to many, or many to many. Zoom Meetings feature 49-person video gallery view, virtual backgrounds, MP4/M4A cloud/local recording with transcripts, video breakout rooms, screen sharing with annotation, and integrations with other powerful business applications to help teams get more done together. Zoom Meetings integrate with tools created by companies such as Atlassian, Box, Dropbox, Google, LinkedIn, Microsoft, Salesforce, ServiceNow, and Slack. Our meetings are a flexible tool for on-the-go employees who rely on their mobile device or tablet throughout their business day.</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An end-to-end encryption (“E2EE”) option is available to free and paid Zoom customers globally who host meetings with up to 200 participants. Zoom’s E2EE uses the same 256-bit AES GCM encryption that secures Zoom meetings by default,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but with Zoom’s E2EE, the meeting host generates encryption keys and uses public key cryptography to distribute these keys to the other meeting participants. Additionally, a customer managed key (“CMK”) service allows organizations to provide and manage their own encryption keys for certain customer content stored at rest in the Zoom Cloud. The organization needs to manage the keys in the Amazon Web Services Key Management Service. This allows for encryption of applicable content stored in the Zoom Cloud using the keys that the organization controls.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Translated captions help to remove language barriers, connect people, and promote inclusivity in meetings and webinars. Captions are currently available between English and the following eleven languages: Chinese Mandarin – Simplified (beta), Dutch, French, German, Italian, Japanese (beta), Korean (beta), Portuguese, Russian, Spanish, and Ukrainian.</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Phone</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Zoom Phone is a cloud phone system for businesses that provides powerful private branch exchange (“PBX”) features, such as secure call routing, call queuing, call detail reports, call recording, call quality monitoring, voicemail, switch to video, and much more. Zoom Phone provides inbound and outbound calling via its support for native connectivity to the public switched telephone network (“PSTN”). Available stand-alone, or as an optional add-on to Zoom Meetings, Zoom Phone is a core component of our modern UCaaS strategy that enables customers to replace their existing PBX solution and consolidate all of their business communications and collaboration requirements onto Zoom. As of the fiscal year ended January 31, 2023, Zoom Phone provided native PSTN connectivity in more than 45 countries and territories.</w:t>
      </w:r>
    </w:p>
    <w:p>
      <w:pPr>
        <w:spacing w:after="0" w:line="58"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Zoom Phone also supports Premises Peering and Cloud Peering, which provide customers with the flexibility to keep their current PSTN service providers by redirecting existing third-party voice circuits to the Zoom Phone cloud. Hybrid connectivity is also supported, allowing customers to mix native Zoom Phone calling plans and third-party voice circuits. This unique capability allows customers to enjoy all of the benefits and features of Zoom Phone while keeping their existing service provider contracts, phone numbers, and calling rates with their preferred carrier of record.</w:t>
      </w:r>
    </w:p>
    <w:p>
      <w:pPr>
        <w:spacing w:after="0" w:line="22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Zoom Phone Provider Exchange makes it easier for customers to choose their preferred PSTN provider partners, providing an improved way to connect with cloud peering partners, promote the discovery of new providers, and enable self-service of phone numbers from your selected partner. As of January 31, 2023, there are more than 90 countries and territories included in the Provider Exchange program.</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Team Chat</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Zoom Team Chat, which is included in Zoom One and Zoom Phone plans, enables organizations and teams to communicate and collaborate in groups, channels, or 1-1s and to stay connected by instantly sharing messages, images, files, and other content across desktop, laptop, tablet, and mobile devices. With Zoom Team Chat, users can easily invite people outside their organization to a chat conversation, and quickly switch from a chat to a phone call or video meeting during a conversation. Zoom Team Chat also features content storage for users who want discoverability and the ability to review their conversations or shared files. There are dozens of Zoom Team Chat compatible applications available in the Zoom App Marketplace that provide notifications and improved workflow for other enterprise systems.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Mail and Calendar</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Zoom Mail and Calendar includes both client experiences (Zoom Mail Client, Zoom Calendar Client) and service components (Zoom Mail Service, Zoom Calendar Service). Zoom Mail Client and Zoom Calendar Client can be used with third-party email and calendaring services from Microsoft or Google, or with Zoom Mail Service and Calendar Service. Zoom Mail Service and Zoom Calendar Service are Zoom-hosted offerings targeted at customers with up to 50 employees. Both the Client and Service offerings are generally available as of February 2023.</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Whiteboard</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Zoom Whiteboard is an interactive canvas, allowing teams to collaborate and brainstorm through the use of templates, drag and drop shapes and objects, text, diagramming tools, and integrations with third party services. Zoom Whiteboard is a persistent collaboration tool that works across Zoom Meetings, Zoom Team Chat, Zoom Rooms for Touch, Zoom desktop and mobile apps, and web browsers. Whiteboards can be shared with internal and external participants.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Zoom Spaces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Rooms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Zoom Rooms is our software-based conference room system that transforms every room – from executive offices, huddle rooms, training rooms, to broadcast studios – into a collaboration space that is easy to use, simple to deploy, and low-effort to manage. Designed to increase workforce collaboration across in-room and virtual participants, Zoom Rooms brings one-click to join meetings, wireless multi-sharing, interactive whiteboarding, intuitive room controls and other features to the Zoom Meeting experience.</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Zoom Rooms includes Scheduling Display to simplify the room booking experience, and Digital Signage to share images, video, and URL content that can be managed remotely by role-based admins for multiple displays on the network. Zoom Rooms Kiosk mode enables virtual receptionists and the ability to display content and custom messages to match the environment and purpose.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Workspace Reservation</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Zoom Workspace Reservation is a service that enables the management of physical spaces with tools for customers to reserve and manage their workspace utilization by connecting users to</w:t>
      </w:r>
    </w:p>
    <w:p>
      <w:pPr>
        <w:spacing w:after="0" w:line="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workspaces. It enhances and streamlines hotdesking and hoteling experiences and can provide recommendations for a workspace location or time to reserve. Users can reserve a work location time and duration in advance or on-demand by selecting a location on a floor plan. Administrators can learn more about the utilization of their workspaces to support planning and optimization of their locations.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Zoom Events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Event</w:t>
      </w:r>
      <w:r>
        <w:rPr>
          <w:rFonts w:ascii="Times New Roman" w:cs="Times New Roman" w:eastAsia="Times New Roman" w:hAnsi="Times New Roman"/>
          <w:sz w:val="14"/>
          <w:szCs w:val="14"/>
          <w:color w:val="auto"/>
        </w:rPr>
        <w:t>s</w:t>
      </w:r>
    </w:p>
    <w:p>
      <w:pPr>
        <w:spacing w:after="0" w:line="96"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Zoom Events provide businesses with a virtual event management solution powered by the Zoom platform. Zoom Events enable users to manage and host all types of internal and external virtual events, from small interactive sessions to multi-day and multi-track events like conferences or consumer events. This includes the ability to create a “hub” where all of a business’ events can be listed with corresponding information about each event. It also enables event hosts to provide ticketing and registration for attendees, and the ability to track these activities. OnZoom is a prosumer-focused virtual event platform and marketplace for Zoom users to create, host, and monetize online events. OnZoom is an extension of Zoom’s unified communications and collaboration platform with robust monetization (ticketing and fundraising) and simpler event management capabilities. OnZoom is currently offered as a public beta for United States (“U.S.”) users to host and attend online events.</w:t>
      </w:r>
    </w:p>
    <w:p>
      <w:pPr>
        <w:spacing w:after="0" w:line="3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Sessions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Zoom Sessions became available in January 2023, allowing customers to use the signature features of Zoom Events for a single-session event, including branded registration and event pages, live polling, surveys and chat, advanced reporting and the ability to organize upcoming and past events in one place.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Webinars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Zoom Webinars support interactive video presentations to large audiences from almost anywhere in the world and from many devices. Zoom Webinars scale up to 50,000 people, including up to 1,000 interactive video panelists. With webinars, hosts have control over the video viewing experience and attendees join to listen, learn and interact using chat, Q&amp;A, live polling and more. Our powerful third-party integrations help users maximize usage of their webinars and expand capabilities with paid registration, marketing automation, lead nurturing, and learning management.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Zoom Contact Center</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Contact Center</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Zoom Contact Center helps businesses deliver prompt, accurate and highly personalized customer experience. Zoom Contact Center is an omnichannel contact center solution that is optimized for video and is integrated right into the Zoom client.</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Virtual Agent</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Zoom Virtual Agent is an intelligent conversational AI and chatbot solution that uses natural language processing and machine learning to accurately understand and instantly resolve issues for customers. It became available in January, 2023.</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Zoom AI</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IQ for Sales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Zoom IQ for Sales is conversation intelligence software for Zoom Meetings and Zoom Phone, which provides sales teams with meaningful and actionable insights from their customer interactions to improve seller performance and enhance customer experiences by merging call analytics with CRM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Zoom Developers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Developer Platform</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Zoom Developer Platform enables developers, platform integrators, service providers, and customers to easily build apps and integrations that use Zoom’s video-based communications solutions across video, phone, chat, or integrate Zoom’s core technology into their products and services, with opportunities for co-marketing, discovery and distribution. Our developer platform also allows Zoom customers to administer their accounts including managing app requests and provisioning, as well as optimizing account usage with access to dashboards and usage metrics. With our SDKs, APIs, webhooks and extensive developer resources, Zoom, third-party developers, and partners build applications that integrate our platform with other globally in-demand applications, platforms, websites, and services. Our customers also have access to tools and resources to develop private applications that integrate Zoom and Zoom technology into their workflows and systems.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App Marketplace</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App Marketplace brings together integrations built by Zoom and third-party developers, making it easy for developers to publish their apps and for customers to enhance their Zoom experience with new functionalities. The App Marketplace features third-party integrations of Zoom into best of breed apps, Zoom Apps (third-party apps integrated into the Zoom experience) and SDK apps, including apps built by ISV program partners using our Meeting SDK. Key integrations include Google Workspace, Calendly, Slack, Microsoft Teams, Salesforce, Otter.ai, Hubspot, Asana, Kahoot! and Miro.</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Zoom Apps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Zoom Apps combine users' favorite apps with the power of video communications by allowing users to access them directly in Zoom Meetings. Users can enrich their Zoom experience with a</w:t>
      </w:r>
    </w:p>
    <w:p>
      <w:pPr>
        <w:spacing w:after="0" w:line="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variety of apps that cover many use cases — including whiteboarding, project management, note-taking, gaming, and more. Zoom Essential Apps, launched January 2023, provides access to a curated list of apps at no cost for 1 year after app activation for Zoom One Pro, Business and Business Plus users to enhance their Zoom experience such as through visual agendas, automated tools to keep meetings on track and interactive activities to add energy and fun to meetings .</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Technology and Infrastructure</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unique technology and infrastructure enable best-in-class reliability, scalability, and performance. We designed our communications and collaboration platform to address the most difficult component of communications: video. Video requires intense computing resources for encoding, decoding, multiplexing, and synchronization, as well as higher bandwidth and network performance, to a much higher degree than other forms of communication like voice, chat, and content sharing. Our architecture separates video content processing from the transporting and mixing of streams. We allocate video content processing to intelligent agents that reside on client devices and dynamically encode and decode based upon the performance of client technology, network performance, and bandwidth. We leverage a next-generation multimedia router that operates on commodity hardware and a globally distributed cloud infrastructure to determine the optimal data centers to host a meeting and an optimal set of paths to connect the participants.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Customers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customers of all sizes, from individuals to global Fortune 50 organizations. Our current customer base spans numerous industry categories, including education, entertainment/media, enterprise infrastructure, finance, government, health care, manufacturing, nonprofit/not for profit and social impact, retail/consumer products, and software/internet. No individual customer represented more than 10% of our total revenue in the fiscal year ended January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sales model combines our viral demand generation and our free Zoom Meetings plan with a sales approach optimized for the size of each customer opportunity. Our direct sales force includes our field sales representatives as well as our inside sales team, and it is organized by customer subscription size, region, and vertical. Our channel team coordinates the activities of resellers and strategic partners to build a strong ecosystem that broadens our reach. Our online channel supports high-volume, high-velocity, self-service sales.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w:t>
      </w:r>
    </w:p>
    <w:p>
      <w:pPr>
        <w:spacing w:after="0" w:line="96"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Our marketing team’s primary objective is to create preference for our brand by leveraging our viral growth, enhancing brand perception, and engaging our users with virtual events, content, social media, and customer advisory councils. We complement our viral growth with targeted online and out-of-home advertising. We shifted our events strategy from in-person to online and then to hybrid as the world came out the pandemic, including hosting Zoomtopia, our annual user conference, as hybrid experience featuring both in person and virtual events to tens of thousands of attendees.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drive our business with constant innovation. We have research and development presence in China, India, Singapore and the United States, which we believe is a strategic advantage for us, allowing us to invest more in increasing our product capabilities in an efficient manner with a “follow the sun” strategy.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markets in which we operate are highly competitive. We face competition from legacy web-based meeting services providers, including Cisco Webex and GoTo, bundled productivity solution providers with video functionality, including Google Workspace and Microsoft Teams, and UCaaS and legacy PBX providers, including 8x8, Avaya, and RingCentral, as well as consumer-facing platforms that can support small- or medium-sized businesses, including Amazon, Apple, and Facebook. Additionally, as we build out Zoom Contact Center, we may face additional competition, including from Five9, Inc., Genesys and NICE inContact.</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believe we compete favorably based on the following competitive factors:</w:t>
      </w:r>
    </w:p>
    <w:p>
      <w:pPr>
        <w:spacing w:after="0" w:line="94" w:lineRule="exact"/>
        <w:rPr>
          <w:sz w:val="20"/>
          <w:szCs w:val="20"/>
          <w:color w:val="auto"/>
        </w:rPr>
      </w:pPr>
    </w:p>
    <w:p>
      <w:pPr>
        <w:ind w:left="900" w:hanging="513"/>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video-first platform;</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cloud-native architecture;</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functionality and scalability;</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of use and reliability;</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brand awareness and preference;</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utilize existing infrastructure, such as legacy conference room hardware; and</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 total cost of ownership.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rely on a combination of patents, trademarks, copyrights, and trade secrets, as well as contractual protections, to establish and protect our intellectual property rights. We actively seek patent protection covering inventions originating from our company. We also pursue the registration and enforcement of trademarks and domain names in the United States and in various jurisdictions outside the United States.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control access to and use of our proprietary technology and other confidential information through internal and external controls, including contractual protections with employees, contractors, customers, and partners. Our software is protected by U.S. and international intellectual property laws. Our policy requires employees and independent contractors to sign agreements (1) assigning to us any inventions, trade secrets, works of authorship, and other intellectual property generated by them in the course of their employment, and (2) agreeing to protect our confidential information.</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certain circumstances, we license intellectual property from third parties for use in our products. This may include open source software. We take steps to ensure compliance with the terms of the licenses governing such licensed technology. We believe our business is not materially dependent on any individual patent, trademark, copyright, trade secret, license, or other intellectual property right. For information on the risks associated with our intellectual property, see “Item 1A - Risk Factors.”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“Item 1A - Risk Factors.”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of January 31, 2023, we had 8,484 full-time employees. Of these employees, 4,588 are in the United States and 3,896 are in our international locations. None of our U.S. employees are represented by a labor union. Employees in one of our non-U.S. subsidiaries have the benefit of a collective bargaining agreement and are represented by a workers’ council. We have not experienced interruptions of operations or any work stoppages due to labor disagreements.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Our Culture of Happiness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focused on delivering happiness to our employees and customers. We strive to change the way business is done through our communications technology and our company culture. We take happiness so seriously that we have an employee-led happiness committee and crew to facilitate and amplify our efforts to deliver happiness to our employees and customers.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culture of delivering happiness drives our mission, vision, and values and is fundamental to everything we do at Zoom:</w:t>
      </w:r>
    </w:p>
    <w:p>
      <w:pPr>
        <w:spacing w:after="0" w:line="92" w:lineRule="exact"/>
        <w:rPr>
          <w:sz w:val="20"/>
          <w:szCs w:val="20"/>
          <w:color w:val="auto"/>
        </w:rPr>
      </w:pPr>
    </w:p>
    <w:p>
      <w:pPr>
        <w:ind w:left="900" w:hanging="513"/>
        <w:spacing w:after="0"/>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Mission. </w:t>
      </w:r>
      <w:r>
        <w:rPr>
          <w:rFonts w:ascii="Times New Roman" w:cs="Times New Roman" w:eastAsia="Times New Roman" w:hAnsi="Times New Roman"/>
          <w:sz w:val="14"/>
          <w:szCs w:val="14"/>
          <w:color w:val="auto"/>
        </w:rPr>
        <w:t>Our mission is to make video communications frictionless and secure.</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Vision. </w:t>
      </w:r>
      <w:r>
        <w:rPr>
          <w:rFonts w:ascii="Times New Roman" w:cs="Times New Roman" w:eastAsia="Times New Roman" w:hAnsi="Times New Roman"/>
          <w:sz w:val="14"/>
          <w:szCs w:val="14"/>
          <w:color w:val="auto"/>
        </w:rPr>
        <w:t>Our vision is to empower people to accomplish more through video communications.</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Values. </w:t>
      </w:r>
      <w:r>
        <w:rPr>
          <w:rFonts w:ascii="Times New Roman" w:cs="Times New Roman" w:eastAsia="Times New Roman" w:hAnsi="Times New Roman"/>
          <w:sz w:val="14"/>
          <w:szCs w:val="14"/>
          <w:color w:val="auto"/>
        </w:rPr>
        <w:t>We care for our community, our customers, our company, our teammates, and ourselves.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This culture supports our hiring and serves as a competitive advantage in attracting and retaining top talent. Zoom was prominently featured in the computer software category on Fortune’s ‘Most Admired Companies’ list. Additionally, it was named to the Variety500, an award that recognizes the most influential business leaders shaping the industry. Zoom was also named to Newsweek’s “America's Greatest Workplaces 2023 for Diversity” list.</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Diversity, Equity, and Inclusion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Diversity, equity, and inclusion (“DEI”) at Zoom is an embodiment of our core value of Care. DEI also represents our intentional effort to create an inclusive environment of the brightest minds from a broad set of backgrounds in order to create the most innovative solutions for our customers. Our approach to DEI is driven across four strategic focus areas: workforce (who and how we hire), workplace (how it feels to work at Zoom), marketplace (how we include our customers) and community (how we help to make the world more equitable).</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have taken steps to diversify our candidate outreach through engagements with AfroTech, Merritt College, AnitaB.org, and a five-year strategic partnership with Claflin University. In our workplace, our Zoom Talks initiative creates ongoing spaces for our employees to learn more about one another’s unique backgrounds. We have a number of Employee Resource Groups (“ERGs”) with a focus on Black, Latinx, Women, Asian and Pacific Islander, Veteran, and LGBTQ+ communities. Our ERGs offer our employees support and community building opportunities, and help to foster an inclusive environment and diverse workplace. Our DEI Team continues to partner with teams leading our product design and marketing to invest in making our products even more inclusive and accessible to the diverse set of communities we serve.</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offer fair, competitive compensation and benefits that support our employees’ overall well-being. Our employees’ total compensation packages include base pay, bonuses or sales commissions, and equity. We offer a wide array of benefits including comprehensive healthcare benefits, including mental health and fertility benefits, wellness benefits, a book reimbursement plan to support continuous learning, and charitable gift matching through our Zoom Cares program.</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Over the past several years, we conducted a comprehensive employee survey with regular follow-ups and engaged in peer research to make thoughtful decisions on how to move forward in an evolving world of work. Two priorities were immediately clear: keeping our employees safe and supporting them through a meaningful employee experience. We believe maintaining a flexible working environment for our employees is a key priority. We offer three “workstyles” for our employees (in-person, remote and hybrid) and will be allow most employees to choose their own workstyle.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6th Floor, San Jose, California 95113. Our telephone number is (888) 799-9666. Our website address is https://zoom.com. Information contained on, or that can be accessed through, our website is not incorporated by reference into this Annual Report on Form 10-K. The Zoom design logo, “Zoom,” “Zoom Video Communications,” and our other registered or common law trademarks, service marks or trade names appearing in this Annual Report on Form 10-K are the property of Zoom Video Communications, Inc. Other trade names, trademarks, and service marks used in this Annual Report on Form 10-K are the property of their respective owners.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investors.zoom.us as soon as reasonably practical after we file such material with, or furnish it to, the SEC.</w:t>
      </w:r>
    </w:p>
    <w:p>
      <w:pPr>
        <w:spacing w:after="0" w:line="5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announce material information to the public through a variety of means, including filings with the SEC, press releases, public conference calls, our website (www.zoom.com) and the investor relations section of our website (investors.zoom.us). We use these channels, as well as social media, including our blog (blog.zoom.us), our Twitter account (@zoom_us), our LinkedIn page (linkedin.com/company/zoom-video-communications), our Instagram page (instagram.com/zoom), our TikTok page (tiktok.com/@zoom), and our Facebook page (facebook.com/zoomvideocommunications), 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Information on or that can be accessed through our websites or these social media channels is not part of this Annual Report on Form 10-K, and the inclusion of our website addresses and social media channels are inactive textual references only.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Risks Related to Our Business and Our Industry</w:t>
      </w:r>
    </w:p>
    <w:p>
      <w:pPr>
        <w:spacing w:after="0" w:line="179"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our ability to attract new customers, retain and upsell additional products and new product categories to existing customers, and upgrade free hosts to our paid offerings. Any decline in new customers, renewals, or upgrades would harm our business.</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business depends upon our ability to attract new customers, and maintain and expand our relationships with our existing customers, including upselling additional products and new product categories to our existing customers and upgrading hosts to a paid Zoom Meeting plan. A host is any user of our unified communications and collaboration platform who initiates a Zoom Meeting and invites one or more participants to join that meeting. We refer to hosts who subscribe to a paid Zoom Meeting plan as “paid hosts.”</w:t>
      </w:r>
    </w:p>
    <w:p>
      <w:pPr>
        <w:spacing w:after="0" w:line="5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have tapered, a reduction in customer information technology spending budgets, or a consolidation of spending budgets on our competitors' platforms, during periods of high inflation or recessionary or uncertain economic environments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largely from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6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our platform into other teams and departments within an organization. At the same time, we encourage hosts that subscribe to our free Zoom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Meeting plan to upgrade to a paid Zoom Meeting plan. However, a majority of these hosts, including those that initially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our user growth rate may slow or decline in the future as our market penetration rates increase. If we are not able to continue to expand our user base, our revenue may grow more slowly than expected or decline. While we continue to add paid users to our customer base, we expect our user growth rate to continue to slow or decline during the COVID-19 pandemic recovery, particularly as users return to work or school or are otherwise no longer subject to limitations on in-person meetings.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revenue growth rate has fluctuated in prior periods, and may decline in future periods.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Our revenue growth has fluctuated in prior periods. We have previously experienced periods of significant revenue growth. You should not rely on the revenue growth of any prior quarterly or annual period as an indication of our future performance. Our revenue growth rate over the past year has stabilized but there are no assurances we will be able to sustain or increase it in future periods, and our revenue growth rate may decline in future periods. Many factors may contribute to declines in our growth rate, including higher market penetration, increased competition, macroeconomic conditions, such as high inflation, recessionary or uncertain environments and fluctuating foreign currency exchange rates, slowing demand for our platform, especially during the COVID-19 pandemic recovery, which has led to users returning to work or school or are otherwise no longer being subject to limitations on in-person meetings, a lower than anticipated capitalization on growth opportunities, and the maturation of our business, among others. Our growth rate could adversely affect investors’ perceptions of our business and the trading price of our Class A common stock could be adversely affected.</w:t>
      </w:r>
    </w:p>
    <w:p>
      <w:pPr>
        <w:spacing w:after="0" w:line="145"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61" w:lineRule="exact"/>
        <w:rPr>
          <w:sz w:val="20"/>
          <w:szCs w:val="20"/>
          <w:color w:val="auto"/>
        </w:rPr>
      </w:pPr>
    </w:p>
    <w:p>
      <w:pPr>
        <w:jc w:val="both"/>
        <w:ind w:firstLine="382"/>
        <w:spacing w:after="0" w:line="268" w:lineRule="auto"/>
        <w:rPr>
          <w:sz w:val="20"/>
          <w:szCs w:val="20"/>
          <w:color w:val="auto"/>
        </w:rPr>
      </w:pPr>
      <w:r>
        <w:rPr>
          <w:rFonts w:ascii="Times New Roman" w:cs="Times New Roman" w:eastAsia="Times New Roman" w:hAnsi="Times New Roman"/>
          <w:sz w:val="14"/>
          <w:szCs w:val="14"/>
          <w:color w:val="auto"/>
        </w:rPr>
        <w:t>Additionally, if our data centers are unable to keep up with our increasing needs for capacity, customers may experience delays or interruptions in service as we seek to obtain additional capacity, which could result in the loss of customers who use our unified communications and collaboration platform because of its reliability and performance. We plan to continue our practice of opening new data centers throughout the world to meet increased demand, but we may be unable to bring additional data centers online in a timely manner, including as a result of current shortages</w:t>
      </w:r>
    </w:p>
    <w:p>
      <w:pPr>
        <w:spacing w:after="0" w:line="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certain parts, such as servers. In addition, to meet short-term capacity needs, we may need to rely increasingly on public cloud providers, including Amazon Web Services and Oracle Cloud, which may result in higher variable costs, harming our business, financial condition, and operating results.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other public health related measures,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facilities, the occurrence of a natural disaster, an act of terrorism, or other act of malfeasance, a decision to close the facilities without adequate notice or other unanticipated problems at the facilities would harm our business.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operate in competitive markets, and we must continue to compete effectively.</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39"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legacy web-based meeting providers, including Cisco Webex and GoTo;</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bundled productivity solutions providers with video functionality, including Microsoft Teams and Google G Suite and Meet products;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UCaaS and legacy PBX providers, including Avaya, RingCentral, and 8x8;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consumer-facing platforms that can support small- or medium-sized businesses, including Amazon, Apple, and Facebook.</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Other large established companies may also make investments in video communications tools. In addition, as we introduce new products and services into our platform, and with the introduction of new technologies and market entrants, we expect competition to intensify in the future.</w:t>
      </w:r>
    </w:p>
    <w:p>
      <w:pPr>
        <w:spacing w:after="0" w:line="39"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February 2022, we launched Zoom Contact Center, an omnichannel contact center solution that is optimized for video, which, as we build out our offering, may result in increased competition against companies that offer similar services, such as Five9, Inc., Genesys and NICE inContact, and new competitors that may enter that market in the future. As we continue to build out our platform, we may face increased competition against companies that offer similar services and new competitors that may enter that market in the future. During the COVID-19 pandemic, we saw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spacing w:after="0" w:line="6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results have fluctuated and may in the future fluctuate significantly and may not fully reflect the underlying performance of our business.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results of operations have fluctuated and may in the future fluctuate significantly, and period-to-period comparisons of our results of operations may not be meaningful. Accordingly, the results of any one quarter or period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our results may negatively impact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value of our securities. Factors that may cause fluctuations in our results of operations include, without limitation, those listed below:</w:t>
      </w:r>
    </w:p>
    <w:p>
      <w:pPr>
        <w:spacing w:after="0" w:line="94"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upgrade customers to higher-priced tiers of Zoom Meeting plans;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hosts and upgrade hosts that subscribe to our free Zoom Meeting plan to one of our paid Zoom Meeting plans;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employees, in particular those responsible for the selling or marketing of our platform;</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way we organize and compensate our sales teams;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expenses and recognition of revenue;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increase sales to large organizations;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length of our sales cycles and linearity of our bookings, especially with respect to sales to large enterprises and highly regulated industries, including financial services and U.S. federal and state and foreign governmental agencies;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and effectiveness of new sales and marketing initiatives;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pricing policies or those of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experienced research and development personnel to design new products, features, and functionality that meet our privacy and security standards;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new products, features, and functionality by us or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or delays in our service; network outages; or actual, alleged, or perceived privacy violations or issues or security vulnerabilities, incidents, or breaches;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lawsuits, regulatory actions or investigations; legislator scrutiny; or negative publicity arising from actual, alleged, or perceived privacy violations or issues or security vulnerabilities, incidents, or breaches;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competitive dynamics of our industry, including consolidation among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that impact our business;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large indemnification payments to our users or other third parties;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expenses related to any future acquisitions;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market conditions.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significantly affected by changes in the economy, including any resulting effect on consumer or business spending.</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business may be affected by changes in the economy, such as high inflation, recessionary or uncertain environments, fluctuations in the foreign currency exchange rates and global impacts, including the Russian invasion of Ukraine and the United States' ongoing trade disputes with China and other countries.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could experience a reduction in demand and loss of customers, especially if the effects of the current economic environment have a prolonged impact on various industries that our unified communications and collaboration platform addresses. We would lose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customers as a result of customers ceasing to do business, and we could experience a material increase in longer payment cycles and greater difficulty in collecting accounts receivable from certain customers.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As we increase sales to large organizations, our sales cycles could lengthen, and we could experience greater deployment challenges.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have begun investing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4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51"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awareness of the communications and collaboration technologies category;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products and services that compete with ours;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modes of communications and collaboration that may be developed in the future;</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customer information technology spending budgets, or a consolidation of spending budgets on our competitors' platforms, during periods of high inflation or recessionary or uncertain economic environments;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of adoption and use;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features and platform experience;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reliability of our platform, including frequency of outages;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user support;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net losses in the past and there are no assurances we will be able to maintain or increase profitability in the future.</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addressing security and privacy issues,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new hosts using our platform on a free Basic account have upgraded to a paid Zoom Meeting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increase or maintain profitability in future periods. If we fail to grow our revenue sufficiently to keep pace with our investments and other expenses, our business would be harmed.</w:t>
      </w:r>
    </w:p>
    <w:p>
      <w:pPr>
        <w:spacing w:after="0" w:line="145"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6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respond to rapid technological changes, extend our platform, or develop new features.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enhance privacy and security, and create organic user demand for our platform. There is no assurance that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develop our platform in a manner that satisfies user preferences and requirements in a timely and cost-effective manner, we may fail to retain our existing users or increase demand for our platform.</w:t>
      </w:r>
    </w:p>
    <w:p>
      <w:pPr>
        <w:spacing w:after="0" w:line="9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47"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141"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as our user base grows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Petitions for reconsideration of this decision are pending and could be reversed by the current FCC after Democrats gain control. In addition, a number of states have adopted or are adopting or considering legislation or executive actions that would regulate the conduct of broadband providers. A federal court judge denied a request for a preliminary injunction against California’s state-specific network neutrality law, and as a result, California began enforcing that law on March 25, 2021. The appeal of that decision and a petition for rehearing were denied in January and April 2022, respectively. A number of other states have adopted or are adopting or considering legislation or executive actions that would regulate the conduct of broadband providers. A similar law in Vermont is subject to a pending challenge, but went into effect on April 20, 2022. We cannot predict whether the FCC order or other state initiatives will be enforced, modified, overturned, or vacated by legal action of the court, federal legislation, or the FCC. Under the FCC’s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66"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301"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the ordinary course of our business, we and the third parties upon which we rely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cause security incidents. Security incidents have occurred in the past and may occur in the future, resulting in unauthorized access to, loss or unauthorized disclosure of, or inadvertent disclosure of confidential, proprietary, and sensitive information.</w:t>
      </w:r>
    </w:p>
    <w:p>
      <w:pPr>
        <w:spacing w:after="0" w:line="58"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Cyber-attacks, malicious internet-based activity, online and offline fraud, and other similar activities threaten the confidentiality, integrity, and availability of our proprietary, confidential, and sensitive data and information technology systems, and those of the third parties upon which we rely. Cloud-based platform providers of products and services have been and are expected to continue to be targeted.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provide our services. We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supply-chain attacks, software bugs, server malfunctions, software or hardware failures, loss of data or other information technology assets, adware, telecommunications failures, earthquakes, fires, floods, and other similar threats. Ransomware attacks, including those perpetrated by organized criminal threat actors, nation-states, and nation-state-supported actors, are becoming increasingly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Additionally, our platform, products, and services are relied on by a large number of companies worldwide and as a result, if our platform, products, or solutions are compromised, a significant number or all of our customers and their data could be simultaneously affected. The potential liability and associated consequences we could suffer as a result of such a large-scale event could be catastrophic and result in irreparable harm.</w:t>
      </w:r>
    </w:p>
    <w:p>
      <w:pPr>
        <w:spacing w:after="0" w:line="22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5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6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upon whom we rely. A security incident or other interruption could disrupt our ability (and that of third parties upon whom we rely) to provide our services. We may expend significant resources or modify our business activities to try to protect against security incidents. Additionally, certain privacy, data protection, and information security obligations may require us to implement and maintain specific security measures or industry-standard or reasonable security measures to protect our information technology systems and sensitive data.</w:t>
      </w:r>
    </w:p>
    <w:p>
      <w:pPr>
        <w:spacing w:after="0" w:line="5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If our security measures are compromised, our reputation could be damaged; our data, information or intellectual property, or that of our customers, may be destroyed, stolen, or otherwise compromised; our business may be harmed; and we could incur significant liability.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We have not always been able in the past and may be unable in the future to anticipate or prevent threats or techniques used to detect or exploit vulnerabilities in our services or software or third-party software, or obtain unauthorized access to or compromise our systems.</w:t>
      </w:r>
    </w:p>
    <w:p>
      <w:pPr>
        <w:spacing w:after="0" w:line="6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vulnerabilities in our products and services in the past, and we expect that we will continue to identify vulnerabilities in the future. We cannot be certain that we will be able to address any vulnerabilities in our software products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services that we may become aware of in the future, or there may be delays in developing patches that can be effectively deployed to address vulnerabilities.</w:t>
      </w:r>
    </w:p>
    <w:p>
      <w:pPr>
        <w:spacing w:after="0" w:line="94"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will continue to make prioritization decisions to determine which vulnerabilities or security defects to fix and the timing of these fixes, which could result in an exploit that compromises security. Further, in many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 Security incidents and vulnerabilities, and concerns regarding privacy, data protection, and information security may also cause some of our customers and hosts to stop using our solutions and fail to upgrade or renew their subscriptions.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6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Many governments have enacted laws requiring companies to provide notice of data security incidents involving certain types of personal information. Such laws are inconsistent, and compliance in the event of a widespread data breach is costly. In addition, some of our customers require us to notify them of data security breaches.</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Actual or perceived security compromises experienced in our industry or by our competitors, our customers, a third party upon whom we rely, or us could cause us to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2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believe that maintaining and enhancing the Zoom brand is critical to expanding our base of customers, hosts, and users and, in particular, conveying to users and the public that the Zoom brand consists of a broad communications and collaboration platform, rather than just one distinct product. For example, if users view the Zoom brand primarily as a video conferencing point solution or utility rather than as a platform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any delays or interruptions in service due to capacity constraints stemming from increased usage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cannot assure you that we will successfully manage our growth.</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Since our founding in 2011, our employee headcount, both in the United States and internationally, has increased significantly over time.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our employee base in various countries around the world. Many of our personnel work remotely, which may lead to challenges in productivity and collaboration. Certain members of our management have not previously worked together for an extended period of time, and some do not have prior experience managing a public company, which may affect how they manage our growth effectively.</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from time to time, we implement organizational changes to pursue greater efficiency and realign our business and strategic priorities. In February 2023, we commenced certain restructuring actions (the “Restructuring Plan”), designed to reduce operating costs and continue advancing our ongoing commitment to profitable growth. We may encounter challenges in the execution of these efforts, and these challenges could impact our financial results.</w:t>
      </w:r>
    </w:p>
    <w:p>
      <w:pPr>
        <w:spacing w:after="0" w:line="5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Although we believe that the Restructuring Plan will reduce operating costs and improve operating margins, we cannot guarantee that the Restructuring Plan will achieve or sustain the targeted benefits, or that the benefits, even if achieved, will be adequate to meet our long-term profitability and operational expectations. As a result of these actions, we will incur additional charges in the near term, including those related to employee transition, severance payments, employee benefits, and stock-based compensation. Additional risks associated with the continuing impact of the Restructuring Plan include employee attrition beyond our intended reduction in force and adverse effects on employee morale (which may also be further exacerbated by actual or perceived declining value of equity awards), diversion of management attention, adverse effects to our reputation as an employer (which could make it more difficult for us to hire new employees in the future), and potential failure or delays to meet operational and growth targets due to the loss of qualified employees. If we do not realize the expected benefits of our restructuring efforts on a timely basis or at all, our business, results of operations and financial condition could be adversely affected.</w:t>
      </w:r>
    </w:p>
    <w:p>
      <w:pPr>
        <w:spacing w:after="0" w:line="62"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our historical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sell subscriptions to our platform could be harmed by real or perceived material defects or errors in our platform.</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39"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a reduction in revenue or delay in market acceptance of our platform;</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issue refunds to our customers or expose us to claims for damages;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us to lose existing hosts and make it more difficult to attract new customers and hosts;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 our development resources or require us to make extensive changes to our platform, which would increase our expenses;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technical support costs;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harm our reputation and brand.</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If we were to lose the services of our Chief Executive Officer or other members of our senior management team, we may not be able to execute our business strategy.</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4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may experience employee turnover as a result of our recent 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spacing w:after="0" w:line="64"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Moreover, as we plan to reopen our offices, vaccine mandates and similar government orders and restrictions could result in employee attrition and difficulty in recruiting.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have significant and expanding operations outside the United States, which may subject us to increased business, regulatory and economic risks that could harm our business.</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Our platform addresses the communications and collaboration needs of users worldwide, and we see international expansion as a major opportunity. Our revenue from APAC and EMEA collectively represented 30%, 33%, and 31% of our total revenue for the fiscal years ended January 31, 2023, 2022, and 2021, respectively. We plan to add local sales support in further select international markets over time.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that would impair our ability to operate in or to expand further into certain markets. For example, the Chinese government has at times turned off our service in China without warning and requested that we take certain steps prior to restoring our service, such as designating an in-house contact for law enforcement requests and transferring China-based user data housed in the United States to a data center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Operating internationally subjects us to new risks and increases risks that we currently face, including risks associated with:</w:t>
      </w:r>
    </w:p>
    <w:p>
      <w:pPr>
        <w:spacing w:after="0" w:line="94" w:lineRule="exact"/>
        <w:rPr>
          <w:sz w:val="20"/>
          <w:szCs w:val="20"/>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 foreign jurisdictions where the government may impede or interrupt our ability to provide our services;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of an employee base in jurisdictions that may not give us the same employment and retention flexibility as the United States;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 jurisdictions that do not protect intellectual property rights to the same extent as the United States and the practical enforcement of such intellectual property rights outside of the United States;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with partners outside of the United States;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exchange controls that might require significant lead time in setting up operations in certain geographic territories and might prevent us from repatriating cash earned outside the United States;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instability, including as a result of the United Kingdom's (“U.K.”) withdrawal from the European Union (“EU”), and other political tensions between countries in which we do business;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diplomatic and trade relationships, including the continuing deterioration in diplomatic relations between the United States and China and the continuing war between Russia and Ukraine, which can and has resulted in the imposition of new trade restrictions, trade protection measures, import or export requirements, trade embargoes, and other trade barriers;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longer payment cycles and greater difficulty in collecting accounts receivable, a risk that may increase as a result of recent macroeconomic conditions, such as high inflation, recessionary environments, and fluctuations in foreign currency exchange rates, weighing on our customers' ability to pay for our service on a timely basis;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costs of doing business internationally, including increased accounting, travel, infrastructure, and legal compliance costs.</w:t>
      </w:r>
    </w:p>
    <w:p>
      <w:pPr>
        <w:spacing w:after="0" w:line="9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Geopolitical tension between the United States and China, or between other countries and China, may intensify and lead to increased scrutiny of our business operations in China.</w:t>
      </w:r>
    </w:p>
    <w:p>
      <w:pPr>
        <w:spacing w:after="0" w:line="96"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are and could in the future lead to increased scrutiny of our business operations in China.</w:t>
      </w:r>
    </w:p>
    <w:p>
      <w:pPr>
        <w:spacing w:after="0" w:line="22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relating to videoconference commemorations of the crackdown on the 1989 Tiananmen Square democracy protests.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48"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Any failure to offer high-quality support for our customers and hosts may harm our relationships with our customers and hosts and, consequently, our business.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Increased user demand for support, may result in increased costs that may harm our results of operations. For example, during the COVID-19 pandemic we saw surging demand requiring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As the number of our users has grown significantly, it has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recommendations from our existing customers and hosts. Any failure to maintain high-quality support, or a market perception that we do not maintain high-quality support for our customers and hosts, would harm our business.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which are reported in U.S. dollars, could be adversely affected if currency exchange rates fluctuate substantially in the future.</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sell to customers globally and have international operations primarily in Australia, China, and the U.K. As we continue to expand our international operations, we have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fiscal years ended January 31, 2023, 2022, and 2021, 20.0%, 22.6%, and 20.2% of our revenue, respectively, and 10.8%, 16.8%, and 11.9%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year ended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January 31, 2023, our total revenue was lower than anticipated in part due to the strengthening of the U.S dollar. We do not currently maintain a program to hedge exposures to non-U.S. dollar currencies.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sales to government entities and other government contractors are subject to a number of additional challenges and risks.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 a number of unique challenges and risk including the following:</w:t>
      </w:r>
    </w:p>
    <w:p>
      <w:pPr>
        <w:spacing w:after="0" w:line="51" w:lineRule="exact"/>
        <w:rPr>
          <w:sz w:val="20"/>
          <w:szCs w:val="20"/>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certification requirements may change, or we may be unable to achieve or sustain one or more government certifications, including FedRAMP, which may restrict our ability to sell into the government sector until we have attained such certificates;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with governmental entities and other government contractors, including resellers in the government market, contain terms that differ less favorably from what we generally agree to in our standard agreements, including, terms and conditions required by regulation that are not negotiable with the customer;</w:t>
      </w:r>
    </w:p>
    <w:p>
      <w:pPr>
        <w:spacing w:after="0" w:line="3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demand and payment for our products may be influenced, among other things, by public sector budgetary cycles and funding authorizations, with funding reductions or delays having an adverse impact on public sector demand for our products; and</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government-imposed vaccine mandates could result in increased attrition and difficulties in recruiting, and non-compliance with any such mandates could restrict our ability to do business with governmental entities.</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To the extent that we become more reliant on contracts with government entities and/or other government contractors in the future, our exposure to such risks and challenges could increase, which in turn could adversely impact our business.</w:t>
      </w:r>
    </w:p>
    <w:p>
      <w:pPr>
        <w:spacing w:after="0" w:line="3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4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current platform,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platform,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harm our business in the short term, long term, or both. In addition, our current platform as well as products, features, and functionality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41"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may have exposure to greater than anticipated tax liabilities, which could harm our business.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subject to income taxes in the United States and various jurisdictions outside of the United States. Our effective tax rate could fluctuate due to changes in the proportion of our earnings in countries with differing statutory tax rates. Our tax expense could also be impacted by changes in non-deductible expenses; changes in excess tax benefits of stock-based compensation expense; changes in the valuation of, or our ability to use, deferred tax assets; the applicability of withholding taxes; and effects from acquisitions.</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provision for taxes on our consolidated financial statements could also be impacted by changes in accounting principles; changes in U.S. federal, state, or foreign tax laws applicable to corporate multinationals (including provisions of the recently enacted federal tax legislation titled the Inflation Reduction Act);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Tax Cuts and Jobs Act of 2017 requires the capitalization and amortization of research and development expenses effective for years beginning after December 31, 2021. The mandatory capitalization requirement increased our cash tax liabilities but also decreased our effective tax rate due to increasing the foreign-derived intangible income deduction. There is a possibility that Congress will defer, repeal, or otherwise modify this requirement in future periods. Absent a change in legislation, we expect it will have a material impact on our cash flows beginning the current fiscal year ending January 31, 2023.</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derived from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spacing w:after="0" w:line="12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at the current scale of our business, which makes it difficult to evaluate our prospects and future results of operations.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During fiscal year 2021, we experienced rapid growth in usage of our unified communications and collaboration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The changes the COVID-19 pandemic fostered on the way companies operate, including the shifts to remote and hybrid work have limited our ability to forecast revenue, costs, and expenses due to the uncertainty around how companies choose to operate in the future, including the impacts of a remote and hybrid workplace.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rely on data from tools to calculate certain of our key business metrics. Real or perceived inaccuracies in such metrics may harm our reputation and negatively affect our business.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are continually seeking to improve our ability to measure our key business metrics, and regularly review our processes to assess potential improvements.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Risks Related to Laws and Regulations</w:t>
      </w:r>
    </w:p>
    <w:p>
      <w:pPr>
        <w:spacing w:after="0" w:line="179"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we collect, receive, store, process, generate, use, transfer, disclose, make accessible, protect, secure, dispose of, transmit, and share confidential, proprietary, and sensitive information, including personal information, customer and user content, business data, trade secrets, intellectual property, third-party data, business plans, transactions, financial information Our data processing activities may subject us to numerous privacy, data protection, and information security obligations, such as various laws, regulations, guidance, industry standards, external and internal privacy and security policies, and contractual requirements.</w:t>
      </w:r>
    </w:p>
    <w:p>
      <w:pPr>
        <w:spacing w:after="0" w:line="5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For example, 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videoconference commemorations of the crackdown on the 1989 Tiananmen Square democracy protests.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63"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the United States, federal, state, and local governments have enacted numerous privacy, data protection, and information security laws, including data breach notification laws, personal data privacy laws, consumer protection laws (e.g., Section 5 of the Federal Trade Commission Act), and other similar laws (e.g., wiretapping laws). 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(“CPRA”) expands the CCPA’s requirements, including by adding a new right for individuals to correct their personal information and establishing a new regulatory agency to implement and enforce the law.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information. Virginia, Colorado, Utah and Connecticut have similarly enacted comprehensive privacy, data protection and information security laws, that emulate the CCPA and CPRA in many respects and have taken or will take effect in 2023. These developments may further complicate compliance efforts and increase legal risk and compliance costs for us and the third parties upon whom we rely. Under various laws and other obligations related to privacy, data protection, and information security, we may be required to obtain certain consents to process personal information. Our inability or failure to do so could result in adverse consequences.</w:t>
      </w:r>
    </w:p>
    <w:p>
      <w:pPr>
        <w:spacing w:after="0" w:line="63"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Outside the United States, an increasing number of laws, regulations, and industry standards may govern related to privacy, data protection, and information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or 4% of annual global revenue, whichever is greater; or private litigation related to processing of personal information brought by classes of data subjects or consumer protection organizations authorized at law to represent their interests.</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also target customers in Asia and have operations in Japan and Singapore, and may be subject to new and emerging privacy, data protection, and information security regimes in Asia, including Japan’s Act on the Protection of Personal Information and Singapore’s Personal Data Protection Act.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believe are inadequate.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such as the EEA and UK’s standard contractual clauses, these mechanisms are subject to legal challenges, and there is no assurance that we can satisfy or rely on these measures to lawfully transfer personal information to the United States.</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information out of Europe for allegedly violating the GDPR’s cross-border data transfer limitations.</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Furthermore, several states and localities have enacted measures related to the use of artificial intelligence and machine learning in products and services. For example, in Europe, there is a proposed regulation related to artificial intelligence (“AI”) that, if adopted, could impose onerous obligations related to the use of AI-related systems. We may have to change our business practices to comply with such obligations.</w:t>
      </w:r>
    </w:p>
    <w:p>
      <w:pPr>
        <w:spacing w:after="0" w:line="5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Additionally, regulators are increasingly scrutinizing companies that process children’s data. Numerous laws, regulations, and legally-binding codes, such as the Children’s Online Privacy Protection Act (“COPPA”), California’s Age Appropriate Design Code (effective in July 2024), the CCPA and CPRA, other U.S. state comprehensive privacy laws, the EU and UK GDPR, and the UK Age Appropriate Design Code, impose various obligations on companies that process children’s data, including by requiring certain consents to process such data and extending certain rights to children and their parents with respect that data.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applicable privacy, data protection, and information security laws,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6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personal data for targeted advertising or other purposes.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Partially as a result of these developments, individuals are becoming increasingly resistant to the collection, use, and sharing of personal information 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to data privacy and security laws, we are contractually subject to industry standards adopted by industry groups and may become subject to such obligations in the future. We are also bound by other contractual obligations related to privacy, data protection, and information security, and our efforts to comply with such obligations may not be successful. We publish privacy policies, marketing materials, and other statements, such as compliance with certain certifications or self-regulatory principles, regarding privacy, data protection, and information security privacy, data protection, and information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Obligations related to privacy, data protection, and information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information on our behalf.</w:t>
      </w:r>
    </w:p>
    <w:p>
      <w:pPr>
        <w:spacing w:after="0" w:line="5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may at times fail (or be perceived to have failed) in our efforts to comply with our privacy, data protection, and information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information; and orders to destroy or not use personal information. Any of these events could have a material adverse effect on our reputation, business, or financial condition, including but not limited to: loss of customers;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62"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w:t>
      </w:r>
    </w:p>
    <w:p>
      <w:pPr>
        <w:spacing w:after="0" w:line="5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services and features, possibly in a material manner, which we may be unable to complete and may limit our ability to store and process user data or provide or develop new services and features.</w:t>
      </w:r>
    </w:p>
    <w:p>
      <w:pPr>
        <w:spacing w:after="0" w:line="94"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31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The U.S. or foreign governments may take administrative, legislative, or regulatory action that could materially interfere with our ability to sell products in certain countries. For example, while we stopped selling our products directly in China during the six months ended July 31, 2020, the prior U.S.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new U.S.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6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Further, in recent years, the U.S. Government has expressed concerns with the security of information and communications technology and services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additional liabilities on past sales for taxes, surcharges, and fees.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which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47"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3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may have inadvertently made our software products available to some customers in potential violation of the EAR. As a result, we have submitted and from time to time will continue to submit as warranted voluntary self-disclosures regarding our compliance with U.S. sanctions and export control laws and regulations to OFAC and the U.S. Department of Commerce’s Bureau of Industry and Security (“BIS”). For instance, since March 2022, we have submitted certain reports to BIS detailing the findings from a review of our compliance with certain U.S. export control laws and regulations.</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63"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are also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device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spacing w:after="0" w:line="14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Federal Regulation</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process, would hurt our reputation in the industry, possibly impair our ability to sell Zoom Phone to our customers and harm our business.</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As described above, the FCC could reinstate its prior network neutrality regulations or adopt new regulations. See Part 1A – Failures in internet infrastructure or interference with broadband access could cause current or potential users to believe that our systems are unreliable, possibly leading our customers and hosts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58"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There have been various Congressional and executive efforts to eliminate or modify Section 230 of the Communications Act of 1934, enacted as part of the Communications Decency Act of 1996. President Biden and many Members of Congress from both parties support the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by former President Trump that, if successful, would greatly limit the scope of Section 230. Further, on October 3, 2022, the U.S. Supreme Court agreed to hear a case to determine whether Google should be liable for damages because YouTube’s suggestion algorithm promoted radical Islamic videos that incited a terrorist attack in France. A decision in that case is expected by the end of June 2023.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FCC has proposed to revise its rules requiring reporting of breaches of private customer information, known as CPNI. If adopted, the proposed rules could broaden the types of CPNI breaches that must be reported, but also could limit the number of reports that must be filed by adopting a minimum threshold for the number of customers affected. The proposed rules also would require that breach reports be provided directly to the FCC, which could increase the risk of enforcement action, including fines and behavioral remedies.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FCC has adopted rules that prohibit Chinese companies that are deemed to be a national security risk by other federal agencies from obtaining new authorizations and placed on a list known as the Covered List to sell telecommunications equipment in the U.S. and is considering proposed rules that would ban those companies from selling previously-authorized equipment or could prohibit use of their equipment in the U.S. Zoom does not currently have any equipment from the companies subject to the ban in its network, but if other companies are added to the Covered List and the FCC adopts rules that ban sales or use of equipment from companies on the Covered List, we could be required to find new sources for similar equipment or replace existing equipment entirely.</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State Regulation</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and the California Public Utilities Commission is now taking the position that it can require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2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federal court judge denied a request for a preliminary injunction against California’s state-specific network neutrality law, and as a result, California began enforcing that law on March 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2021. Trade associations representing internet service providers appealed the district court’s ruling denying the preliminary injunction, and the appeal was denied on January 28, 2022. On April 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 the Ninth Circuit declined to rehear the case and the appellants have since announced that they will not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 for an appeal with the U.S. Supreme Court. We cannot predict whether other state initiatives will be enforced, modified, overturned, or vacated.</w:t>
      </w:r>
    </w:p>
    <w:p>
      <w:pPr>
        <w:spacing w:after="0" w:line="9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in 2022, including a bill that has passed the Georgia State Senate and is pending before the Georgia House. Implementation of the Florida and Texas statutes has been stayed by various federal courts, including the U.S. Supreme Court. On August 18, the parties in the Florida case requested, and were granted, a stay of the appeals court mandate pending Supreme Court review, and on September 21, 2022, Florida requested that the Supreme Court review the case. On September 16,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The parties opposing the Texas law requested that the Supreme Court review the case on December 15, 2022. The conflict between the decisions on the two laws increases the likelihood that the Supreme Court will review these statutes. Florida recently amended its statute in an effort to address issues that led the court to issue the stay. It is likely that any other such state legislation also would be challenged under the First Amendment to the U.S. Constitution and on the ground that it is preempted by Section 230. We cannot predict whether any such state legislation will be adopted, enforced, modified, overturned, or vacated.</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International Regulation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are currently, and may be in the future, party to intellectual property rights claims and other litigation matters, which, if resolved adversely, could harm our business.</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failure to protect our intellectual property rights and proprietary information could diminish our brand and other intangible assets.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our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use of third-party open source software could negatively affect our ability to offer and sell subscriptions to our platform and subject us to possible litigation.</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 substantial time and resources to re-engineer some of our software. Any of the foregoing could disrupt and harm our business.</w:t>
      </w:r>
    </w:p>
    <w:p>
      <w:pPr>
        <w:spacing w:after="0" w:line="6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Risks Related to Ownership of Our Class A Common Stock</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our Class A common stock may be volatile, and you could lose all or part of your investment.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trading price of our Class A common stock has been and will likely continue to be volatile and could be subject to fluctuations in response to various factors, some of which are beyond our control. For example, in connection with the COVID-19 pandemic recovery and recent changes in macroeconomic conditions such as high inflation, recessionary or uncertain environments and fluctuations in our currency exchange rates have caused uncertainty in our business and as a result, the trading price of our Class A common stock has significantly decreased along with the broader market. There are no assurances that the trading price of our Class A common stock will continue at this level for any period of time. These fluctuations could cause you to lose all or part of your investment in our Class A common stock. Factors that could cause fluctuations in the trading price of our Class A common stock include the following:</w:t>
      </w:r>
    </w:p>
    <w:p>
      <w:pPr>
        <w:spacing w:after="0" w:line="58"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trading prices and trading volumes of technology stocks;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performance and stock market valuations of other technology companies generally, or those in our industry in particular;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shares of our Class A common stock by us or our stockholders;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maintain coverage of us, changes in financial estimates by securities analysts who follow our company, or our failure to meet these estimates or the expectations of investors;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projections we may provide to the public, any changes in those projections, or our failure to meet those projections;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new products, features, or services;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involving us or other companies in our industry;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our results of operations or fluctuations in our results of operations;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our competitors’ businesses, or the competitive landscape generally;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involving us, our industry, or both, or investigations by regulators into our operations or those of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intellectual property or other proprietary rights;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or completed acquisitions of businesses, products, services, or technologies by us or our competitors;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or regulations applicable to our business;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guidelines, interpretations, or principles;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change in our management;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slow or negative growth of our markets.</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w:t>
      </w:r>
    </w:p>
    <w:p>
      <w:pPr>
        <w:spacing w:after="0" w:line="141"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37"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Class B common stock has 10 votes per share and our Class A common stock has one vote per share. As of January 31, 2023, the holders of our outstanding Class B common stock held 65.4% of the voting power of our outstanding capital stock, with our directors, executive officers and 5% stockholders and their respective affiliates holding 57.9% of such voting power in the aggregate. As of January 31, 2023, our founder, President and Chief Executive Officer, Eric S. Yuan, together with his affiliates, held approximately 7.7% of our outstanding capital stock but controlled approximately 31.6% of the voting power of our outstanding capital stock. Therefore, these holders have significant influence over our management and affairs and over all matters requiring stockholder approval, including election of directors and significant corporate transactions,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 will not be investing in our stock. These policies may depress the valuations of publicly-traded companies excluded from the indices or depress our trading volume compared to those of other similar companies that are included.</w:t>
      </w:r>
    </w:p>
    <w:p>
      <w:pPr>
        <w:spacing w:after="0" w:line="141"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Substantial future sales of shares of our Class A common stock and Class B common stock could cause the market price of our Class A common stock to decline.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2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charter documents also contain other provisions that could have an anti-takeover effect, such as: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1020" w:hanging="379"/>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 classified board of directors so that not all members of our board of directors are elected at one time;</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permitting the board of directors to establish the number of directors and fill any vacancies and newly created directorships;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that directors may only be removed for cause;</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cumulative voting for directors;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super-majority voting to amend some provisions in our certificate of incorporation and bylaws;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authorizing the issuance of “blank check” preferred stock that our board of directors could use to implement a stockholder rights plan;</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eliminating the ability of stockholders to call special meetings of stockholders;</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stockholder action by written consent, which requires all stockholder actions to be taken at a meeting of our stockholders; and</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dual-class common stock structure as described above.</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41"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5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79"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disrupted by catastrophic events.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62" w:lineRule="exact"/>
        <w:rPr>
          <w:sz w:val="20"/>
          <w:szCs w:val="20"/>
          <w:color w:val="auto"/>
        </w:rPr>
      </w:pPr>
    </w:p>
    <w:p>
      <w:pPr>
        <w:jc w:val="both"/>
        <w:ind w:firstLine="382"/>
        <w:spacing w:after="0" w:line="268" w:lineRule="auto"/>
        <w:rPr>
          <w:sz w:val="20"/>
          <w:szCs w:val="20"/>
          <w:color w:val="auto"/>
        </w:rPr>
      </w:pPr>
      <w:r>
        <w:rPr>
          <w:rFonts w:ascii="Times New Roman" w:cs="Times New Roman" w:eastAsia="Times New Roman" w:hAnsi="Times New Roman"/>
          <w:sz w:val="14"/>
          <w:szCs w:val="14"/>
          <w:color w:val="auto"/>
        </w:rPr>
        <w:t>We also face risks related to health epidemics, such as the COVID-19 pandemic, which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While we have seen increased usage of our service globally, a</w:t>
      </w:r>
    </w:p>
    <w:p>
      <w:pPr>
        <w:spacing w:after="0" w:line="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significant portion of such increase is attributable to free Basic accounts, which do not generate any revenue. We cannot make any assurances that we will experience an increase in paid hosts or that new or existing users will continue to utilize our services at the same levels during the COVID-19 pandemic recovery. Furthermore, such increased usage by free Basic account users during this time has required and will continue to require us to expand our network capacity which will increase our operating costs.</w:t>
      </w:r>
    </w:p>
    <w:p>
      <w:pPr>
        <w:spacing w:after="0" w:line="13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our strategic investments, including partial or complete loss of invested capital. Significant changes in the fair value of our investment portfolio could negatively impact our financial results.</w:t>
      </w:r>
    </w:p>
    <w:p>
      <w:pPr>
        <w:spacing w:after="0" w:line="37"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dynamic and the likelihood of successful liquidity events for the companies we have invested in could significantly worsen. In addition, valuations of privately held companies are inherently complex due to the lack of readily available market data.</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record all fair value adjustments of our publicly traded and privately held non-marketable securities through the consolidated statement of operations. As a result, we may experience additional volatility to our statements of operations due to</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Our reported results of operations may be adversely affected by changes in accounting principles generally accepted in the United States.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may need additional capital, and we cannot be certain that additional financing will be available on favorable terms, or at all.</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4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23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3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We incur costs and demands upon management as a result of complying with the laws and regulations affecting public companies in the United States, which may harm our business.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Investors’ and other stakeholders’ expectations of our performance relating to environmental, social and governance factors may impose additional costs and expose us to new risks.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There is an increasing focus from certain investors, customers, employees, and other stakeholders concerning environmental, social and governance matters (“ESG”). Some investors may use these non-financial performance factors to guide their investment strategies and, in some cases, may choose not to invest in us if they believe our policies and actions relating to ESG are inadequate. We may face reputational damage in the event that we do not meet the ESG standards set by various constituencies.</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As ESG best practices and reporting standards continue to develop, we may incur increasing costs relating to ESG monitoring and reporting and complying with ESG initiatives. For example, the SEC has recently proposed climate change and ESG reporting requirements, which, if approved, would increase our compliance costs. We may also face greater costs to comply with new ESG standards or initiatives in the European Union. We recently published our ESG Report for fiscal year 2022, which describes, among other things, the measurement of our greenhouse gas emissions in 2021 and our efforts to reduce emissions. In addition, our ESG Report provides highlights of how we are supporting our workforce, including our efforts to promote diversity, equity, and inclusion. Our disclosures on these matters, or a failure to meet evolving stakeholder expectations for ESG practices and reporting, may potentially harm our reputation and customer relationships. Due to new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regulatory standards and market standards, certain new or existing customers, particularly those in the European Union, may impose stricter ESG guidelines or mandates for, and may scrutinize relationships more closely with, their counterparties, including us, which may lengthen sales cycles or increase our costs.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Furthermore, if our competitors’ ESG performance is perceived to be better than ours, potential or current investors may elect to invest with our competitors instead. In addition, in the event that we communicate certain initiatives or goals regarding ESG matters, we could fail, or be perceived to fail, in our achievement of such initiatives or goals, or we could be criticized for the scope of such initiatives or goals. If we fail to satisfy the expectations of investors, customers, employees and other stakeholders or our initiatives are not executed as planned, our business, financial condition, results of operations, and prospects could be adversely affected.</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Climate change may have an impact on our business.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While we seek to mitigate our business risks associated with climate change (such as drought, wildfires, hurricanes, increased storm severity and sea level rise), we recognize that there are inherent climate-related risks wherever business is conducted. Our primary locations may be vulnerable to the adverse effects of climate change. For example, certain of our offices have experienced, and are projected to continue to experience, climate-related events at an increasing frequency, including drought, heat waves, wildfires and resultant air quality impacts and power shutoffs associated with wildfire prevention. Changing market dynamics, global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corporate headquarters is located in San Jose, California, where we lease approximately 103,000 square feet of commercial space pursuant to operating leases that expire in the fiscal year ending January 31, 2030. In addition, we maintain additional offices in the United States and internationally in APAC and EMEA.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Information with respect to this item may be found in Note 9 - “Commitment and Contingencies” in the accompanying notes to the consolidated financial statements included in Part II, Item 8, “Consolidated Financial Statements and Supplementary Data” of this Annual Report on Form 10-K, under “Legal Proceedings,” which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2" w:lineRule="exact"/>
        <w:rPr>
          <w:sz w:val="20"/>
          <w:szCs w:val="20"/>
          <w:color w:val="auto"/>
        </w:rPr>
      </w:pPr>
    </w:p>
    <w:p>
      <w:pPr>
        <w:ind w:right="1300"/>
        <w:spacing w:after="0" w:line="444" w:lineRule="auto"/>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Class A common stock is listed on the Nasdaq Global Select Market under the symbol “ZM.”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Record</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of January 31, 2023, we had 56 holders of record of our Class A common stock and 16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9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37"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following graph compares (i) the cumulative total stockholder return on our Class A common stock from April 18, 2019 (the date our Class A common stock commenced trading on the Nasdaq Global Select Market) through January 31, 2023 with (ii) the cumulative total return of the Russell 2000 Index (“RUT”) and the Nasdaq Computer Index (“IXCO”) over the same period, assuming the investment of $100 in our Class A common stock and in both of the other indices on April 18, 2019 and the reinvestment of dividends. The graph uses the closing market price on April 18, 2019 of $62.00 per share as the initial value of our Class A common stock. As discussed above, we have never declared or paid a cash dividend on our Class A common stock and do not anticipate declaring or paying a cash dividend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396875</wp:posOffset>
            </wp:positionV>
            <wp:extent cx="4130040" cy="256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3004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information with respect to our repurchases of Class A common stock during the three months ended January 31,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Period</w:t>
            </w:r>
          </w:p>
        </w:tc>
        <w:tc>
          <w:tcPr>
            <w:tcW w:w="224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Total Number of Shares Purchased</w:t>
            </w:r>
            <w:r>
              <w:rPr>
                <w:rFonts w:ascii="Times New Roman" w:cs="Times New Roman" w:eastAsia="Times New Roman" w:hAnsi="Times New Roman"/>
                <w:sz w:val="16"/>
                <w:szCs w:val="16"/>
                <w:color w:val="auto"/>
                <w:vertAlign w:val="superscript"/>
              </w:rPr>
              <w:t>(1)</w:t>
            </w:r>
          </w:p>
        </w:tc>
        <w:tc>
          <w:tcPr>
            <w:tcW w:w="240" w:type="dxa"/>
            <w:vAlign w:val="bottom"/>
          </w:tcPr>
          <w:p>
            <w:pPr>
              <w:spacing w:after="0"/>
              <w:rPr>
                <w:sz w:val="16"/>
                <w:szCs w:val="16"/>
                <w:color w:val="auto"/>
              </w:rPr>
            </w:pPr>
          </w:p>
        </w:tc>
        <w:tc>
          <w:tcPr>
            <w:tcW w:w="200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rPr>
              <w:t>Average Price Paid per Share</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Total Number of Shares Purchased as Part</w:t>
            </w:r>
          </w:p>
        </w:tc>
        <w:tc>
          <w:tcPr>
            <w:tcW w:w="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Approximate Dollar Value of Shares that</w:t>
            </w:r>
          </w:p>
        </w:tc>
      </w:tr>
      <w:tr>
        <w:trPr>
          <w:trHeight w:val="127"/>
        </w:trPr>
        <w:tc>
          <w:tcPr>
            <w:tcW w:w="23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40" w:type="dxa"/>
            <w:vAlign w:val="bottom"/>
          </w:tcPr>
          <w:p>
            <w:pPr>
              <w:jc w:val="right"/>
              <w:ind w:right="178"/>
              <w:spacing w:after="0" w:line="127" w:lineRule="exact"/>
              <w:rPr>
                <w:sz w:val="20"/>
                <w:szCs w:val="20"/>
                <w:color w:val="auto"/>
              </w:rPr>
            </w:pPr>
            <w:r>
              <w:rPr>
                <w:rFonts w:ascii="Times New Roman" w:cs="Times New Roman" w:eastAsia="Times New Roman" w:hAnsi="Times New Roman"/>
                <w:sz w:val="11"/>
                <w:szCs w:val="11"/>
                <w:color w:val="auto"/>
              </w:rPr>
              <w:t>of Publicly Announced Program</w:t>
            </w:r>
            <w:r>
              <w:rPr>
                <w:rFonts w:ascii="Times New Roman" w:cs="Times New Roman" w:eastAsia="Times New Roman" w:hAnsi="Times New Roman"/>
                <w:sz w:val="14"/>
                <w:szCs w:val="14"/>
                <w:color w:val="auto"/>
                <w:vertAlign w:val="superscript"/>
              </w:rPr>
              <w:t>(1)</w:t>
            </w:r>
          </w:p>
        </w:tc>
        <w:tc>
          <w:tcPr>
            <w:tcW w:w="80" w:type="dxa"/>
            <w:vAlign w:val="bottom"/>
          </w:tcPr>
          <w:p>
            <w:pPr>
              <w:spacing w:after="0"/>
              <w:rPr>
                <w:sz w:val="11"/>
                <w:szCs w:val="11"/>
                <w:color w:val="auto"/>
              </w:rPr>
            </w:pPr>
          </w:p>
        </w:tc>
        <w:tc>
          <w:tcPr>
            <w:tcW w:w="218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color w:val="auto"/>
                <w:w w:val="97"/>
              </w:rPr>
              <w:t>May Yet Be Purchased Under Publicly</w:t>
            </w:r>
          </w:p>
        </w:tc>
      </w:tr>
      <w:tr>
        <w:trPr>
          <w:trHeight w:val="180"/>
        </w:trPr>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jc w:val="center"/>
              <w:ind w:right="16"/>
              <w:spacing w:after="0" w:line="181" w:lineRule="exact"/>
              <w:rPr>
                <w:sz w:val="20"/>
                <w:szCs w:val="20"/>
                <w:color w:val="auto"/>
              </w:rPr>
            </w:pPr>
            <w:r>
              <w:rPr>
                <w:rFonts w:ascii="Times New Roman" w:cs="Times New Roman" w:eastAsia="Times New Roman" w:hAnsi="Times New Roman"/>
                <w:sz w:val="13"/>
                <w:szCs w:val="13"/>
                <w:color w:val="auto"/>
                <w:w w:val="96"/>
              </w:rPr>
              <w:t>Announced Program (in thousands)</w:t>
            </w:r>
            <w:r>
              <w:rPr>
                <w:rFonts w:ascii="Times New Roman" w:cs="Times New Roman" w:eastAsia="Times New Roman" w:hAnsi="Times New Roman"/>
                <w:sz w:val="16"/>
                <w:szCs w:val="16"/>
                <w:color w:val="auto"/>
                <w:w w:val="96"/>
                <w:vertAlign w:val="superscript"/>
              </w:rPr>
              <w:t>(1)</w:t>
            </w:r>
          </w:p>
        </w:tc>
      </w:tr>
      <w:tr>
        <w:trPr>
          <w:trHeight w:val="17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1 - 30, 2022</w:t>
            </w:r>
          </w:p>
        </w:tc>
        <w:tc>
          <w:tcPr>
            <w:tcW w:w="24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 $</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9,222</w:t>
            </w:r>
          </w:p>
        </w:tc>
      </w:tr>
      <w:tr>
        <w:trPr>
          <w:trHeight w:val="168"/>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1 – 31, 2022</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126,407</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72.98</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126,407</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1 – 31, 2023</w:t>
            </w:r>
          </w:p>
        </w:tc>
        <w:tc>
          <w:tcPr>
            <w:tcW w:w="24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 $</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126,407</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72.98</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126,407</w:t>
            </w:r>
          </w:p>
        </w:tc>
        <w:tc>
          <w:tcPr>
            <w:tcW w:w="8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3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firstLine="5"/>
        <w:spacing w:after="0" w:line="216" w:lineRule="auto"/>
        <w:tabs>
          <w:tab w:leader="none" w:pos="16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February 2022, our Board of Directors authorized a stock repurchase program of up to $1.0 billion of our Class A common stock, which was completed in December 2022. See Note 10 "Stockholders’ Equity and Equity Incentive Plans" of this Annual Report on Form 10-K for additional information related to share repurchases.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Omitted at registrant's option.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Annual Report on Form 10-K.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mission is to make communications frictionless and secure.</w:t>
      </w:r>
    </w:p>
    <w:p>
      <w:pPr>
        <w:spacing w:after="0" w:line="9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Zoom enables people to connect to others, share ideas, make plans, and build toward a future limited only by their imagination. Our frictionless communications and collaboration platform started with video as its foundation, and we have set the standard for innovation ever since. That is why Zoom is an intuitive, scalable, and secure choice for large enterprises, small businesses, and individuals alike. We provide a unified communications and collaboration platform that delivers happiness and fundamentally changes how people interact, connecting them through frictionless and secure meetings, phone, chat, content sharing and more. Our Developer Platform enables customers, developers, and service providers to easily build apps and integrations on top of Zoom’s industry-leading video communications and collaboration platform, with opportunities for global discovery and distribution. Our virtual and hybrid event solutions allow users to seamlessly create and manage engaging events.</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believe that face-to-face communications build greater empathy and trust. We strive to live up to the trust our customers place in us by delivering a communications solution while prioritizing their privacy and security. Our 28 co-located data centers worldwide and the public cloud in conjunction with our proprietary adaptive rate codec enable us to provide both high-quality and high-definition, real-time video to our customers even in low-bandwidth environments.</w:t>
      </w:r>
    </w:p>
    <w:p>
      <w:pPr>
        <w:spacing w:after="0" w:line="5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generate revenue from the sale of subscriptions to our unified communications and collaboration platform. Subscription revenue is driven primarily by the number of paid hosts as well as purchases of additional products, including Zoom Phone, Zoom Spaces, Zoom Events, Zoom Contact Center and Zoom IQ for Sales. A host is any user of our unified communications and collaboration platform who initiates a Zoom Meeting and invites one or more participants to join that meeting. We refer to hosts who subscribe to a paid Zoom Meeting plan as “paid hosts.” We define a customer as a separate and distinct buying entity, which can be a single paid user or host or an organization of any size (including a distinct unit of an organization) that has multiple paid hosts. Our Zoom One Basic offering is free and gives hosts access to Zoom Meetings with core features but with the limitation that meetings time-out at 40 minutes. Our core paid offerings are available with our Zoom One bundles: Zoom One Pro, Business, Business Plus, Enterprise, and Enterprise Plus. The Zoom One bundles are designed for different business needs and are composed of Zoom Meetings, Zoom Team Chat, Zoom Whiteboard and Mail and Calendar as well as Zoom Phone, Zoom Webinars and Zoom Rooms for our Enterprise plans. We also offer vertical-specific plans for Education, Healthcare and Government which provide incremental features and functionality, such as different participant limits, administrative controls, and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four specific markets (Australia/New Zealand, Japan, United Kingdom/Ireland and United States/Canada). In addition, we introduced the Global Select plan in August 2020, which allows customers to select from local numbers and domestic calling in more than 45 countries and territories where Zoom has local public switched telephone network (“PSTN”) coverage.</w:t>
      </w:r>
    </w:p>
    <w:p>
      <w:pPr>
        <w:spacing w:after="0" w:line="56"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Our revenue was $4,393.0 million, $4,099.9 million, and $2,651.4 million for the fiscal years ended January 31, 2023, 2022, and 2021, respectively, representing period-over-period growth rate of 7% and 55% for fiscal year 2023 and fiscal year 2022, respectively. We had net income of $103.7 million, $1,375.6 million, and $672.3 million for the fiscal years ended January 31, 2023, 2022, and 2021, respectively. Net cash provided by operating activities was $1,290.3 million, $1,605.3 million, and $1,471.2 million for the fiscal years ended January 31, 2023, 2022, and 2021, respectively.</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Macroeconomic Conditions and other Factors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Recent changes in macroeconomic conditions such as high inflation, recessionary and uncertain environments, and fluctuations in foreign currency exchange rates, have and may continue to cause uncertainty in our business. For the year ended January 31, 2023, we experienced continued growth in total revenue and revenue from Enterprise customers. However, macroeconomic conditions, including high inflation and continued uncertainty regarding the current and future political and economic environment, have and may continue to impact the future demand for subscriptions to our unified communications and collaboration platform. For example, for the year ended January 31, 2023, we experienced unfavorable foreign currency impact as a result of the continued strengthening of the U.S. dollar compared to certain foreign jurisdictions where we do a significant amount of business, which resulted in a $69.1 million negative impact on revenue for the year ended January 31, 2023.</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During the onset of the COVID-19 pandemic, many organizations resorted to mandating employees to work from home, which resulted in these organizations seeking out video communication solutions like ours to keep employees as productive as possible, even while working from home. There is no assurance that we will experience an increase in paid hosts or that new or existing users will continue to utilize our service after the COVID-19 pandemic has tapered globally. As reported in prior periods we experienced significant revenue growth. This revenue growth has declined and we expect our revenue growth to generally decline as compared to prior periods. Many factors may contribute to declines in our growth rate, among other things, higher market penetration, increased competition, slowing demand for our platform from the tapering of the COVID-19 pandemic, a slower than anticipated capitalization on growth opportunities, and the maturation of our business.</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continue to monitor the impacts of the COVID-19 pandemic on our business. The effects of the COVID-19 pandemic have been widespread, and while the COVID-19 pandemic has tapered, it continues to fluctuate in severity. Our recent declines in revenue growth are primarily attributable to the tapering of the COVID-19 pandemic along with other macroeconomic factors. At the same time, it is starting to become clear that some of the behavioral trends the COVID-19 pandemic fostered, including the shift to remote and hybrid work, may remain in place for an indeterminate amount of time. Given this, it is not possible for us to quantify how the tapering of the COVID-19 pandemic has impacted our current and future operations.</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the global impacts of the Russian invasion of Ukraine, including various sanctions and export restrictions on Russia and Belarus by the United States, the United Kingdom, the European Union, and other governmental authorities remain highly uncertain. The Russia-Ukraine war impacted our EMEA revenue for the year ended January 31, 2023. Our customers in Russia, Belarus, and Ukraine represented less than 1% of our net assets and total consolidated revenue as of the year ended January 31, 2023. If the Russia-Ukraine war continues or worsens, leading to additional sanctions, tightened export restrictions, and greater global economic disruptions and uncertainty, our business and results of operations could be materially impacted.</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continuously monitoring the impact of these circumstances on our business and financial results, as well as the overall global economy and geopolitical landscape. The implications of macroeconomic conditions on our business, results of operations and overall financial position, particularly in the long term, remain uncertain. On February 7, 2023, as a result of the economic environment, we announced a restructuring plan intended to reduce operating costs and continue advancing our ongoing commitment to profitable growth. The restructuring plan includes a reduction of our current workforce by approximately 15%.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Acquiring New Customers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focused on continuing to grow the number of customers that use our platform. Our operating results and growth prospects will depend, in part, on our ability to attract new customers. While we believe there is a significant market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Expansion of Zoom Across Existing Enterprise Customers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believe that there is a large opportunity for growth with many of our existing customers. Many customers have increased the size of their subscriptions as they have expanded their use of our platform across their operations. Some of our larger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for Home, Rooms at each office location, Developer Platform solutions, Spaces, Events, Contact Center and IQ for Sales. In order for us to address this opportunity to expand the use of our products with our existing customers, we will need to maintain the reliability of our platform and produce new features and functionality that are responsive to our customers’ requirements for enterprise-grade solutions.</w:t>
      </w:r>
    </w:p>
    <w:p>
      <w:pPr>
        <w:spacing w:after="0" w:line="6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54.8%, 47.6% and 45.6% of total revenue for the year ending January 31, 2023, 2022 and 2021, respectively. Our net dollar expansion rate includes the increase in user adoption within our Enterprise customers, as our subscription revenue is primarily driven by the number of paid hosts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12-month net dollar expansion rate for Enterprise customers was 115%, 130%, and 152% as of January 31, 2023, 2022 and 2021, respectively.</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Retention of Online Customers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In addition to Enterprise customers, we also have a significant number of customers that subscribe to our services directly through our website (“Online customers”). Online customers represent a diverse customer base, ranging from individual consumers to small and medium size businesses. We continue to focus on acquisition and retention of our online customer base through various strategies to improve the features and functionalities of our products and services. Revenue from Online customers represented 45.2%, 52.4%, and 54.4% of total revenue for the fiscal years ended January 31, 2023, 2022 and 2021, respectively. The ability to retain these Online customers will have an impact on our future revenue. The online monthly average churn for our Online customers was 3.4%, 3.9%, and 4.9% per month for the fiscal years ended January 31, 2023, 2022 and 2021, respectively. One of the dynamics in the Online portion of the business is the MRR contribution from customers that have retained Zoom services for a certain portion of time as these customers tend to maintain their subscriptions and contribute meaningfully to the Online business. As of January 31, 2023, 2022 and 2021 the percentage of total Online MRR from Online customers with a continual term of service of at least 16 months was 72.0%, 59.0% and 10.0% respectively.</w:t>
      </w:r>
    </w:p>
    <w:p>
      <w:pPr>
        <w:spacing w:after="0" w:line="62"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calculate our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for the applicable quarter. We then divided that amount by three to calculate the online average monthly churn.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Innovation and Expansion of Our Platform</w:t>
      </w:r>
    </w:p>
    <w:p>
      <w:pPr>
        <w:spacing w:after="0" w:line="85"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continue to invest resources to enhance the capabilities of our platform. For example, we have recently introduced a number of product enhancements, including new features for Zoom Phone, Zoom Meetings, Zoom Webinars, and Zoom Events and launched Zoom Contact Center, Zoom Virtual Agent, Zoom IQ for sales, Zoom Whiteboard and Zoom Mail and Calendar. We addressed new work-from-home realities with the introduction of Zoom for Home, a solution designed for the home office that combines Zoom software enhancements with compatible hardware. We also deliver Zoom Phone calling plans in more than 45 countries and territories as of January 31, 2023.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and collaboration. We will need to expend additional resources to continue introducing new products, features, and functionality, and supporting the efforts of third parties to enhance the value of our platform with their own applications.</w:t>
      </w:r>
    </w:p>
    <w:p>
      <w:pPr>
        <w:spacing w:after="0" w:line="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An end-to-end encryption (“E2EE”) option is available to free and paid Zoom customers globally who host meetings with up to 200 participants as well as on Zoom Phone. Zoom’s E2EE uses the same AES-256-GCM encryption that secures Zoom meetings by default, but with Zoom’s E2EE, the meeting host, or originating caller in the case of Zoom Phone, as opposed to Zoom's servers, generates encryption keys and uses public key cryptography to distribute these keys to the other meeting participants or call recipient.</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International Opportunity</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Our platform addresses the communications and collaboration needs of users worldwide, and we see international expansion as a major opportunity. Our revenue from the rest of world (APAC and EMEA) represented 30%, 33%, and 31% of our total revenue for the fiscal years ended January 31, 2023, 2022, and 2021, respectively. The decrease in revenue from the rest of the world in the fiscal year ended January 31, 2023 was due to the impact of the strengthening of the U.S dollar along with macroeconomic conditions in the EMEA region.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review the following key business metrics to measure our performance, identify trends, formulate financial projections, and make strategic decisions.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Number of Enterprise Customers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believe that our ability to increase the number of Enterprise customers is an indicator of our potential future business opportunities, the growth of our business, and an indicator of our market penetration. Increasing awareness of our platform and capabilities, coupled with the mainstream adoption of our technology, has expanded the diversity of our customer base to include organizations of all sizes across all industries. Over time, we expect Enterprise customers to represent a larger share of our business. As of January 31, 2023, 2022, and 2021, we had approximately 213,000, 191,000, and 141,100 Enterprise customers, respectively.</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Customers Contributing More Than $100,000 of Trailing 12 Months Revenue</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focus on growing the number of customers that contribute more than $100,000 of trailing 12 months revenue as it is a measure of our ability to scale with our customers and attract larger organizations to Zoom. Revenue from these customers represented 27%, 22%, and 20% of total revenue for the fiscal years ended January 31, 2023, 2022, and 2021, respectively. As of January 31, 2023, 2022, and 2021, we had 3,471, 2,725, and 1,644 customers, respectively, that contributed more than $100,000 of trailing 12 months revenue, demonstrating our rapid penetration of larger organizations, including enterprises. These customers are a subset of Enterprise customers.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 addition to our results determined in accordance with GAAP, we believe that free cash flow (“FCF”) is a non-GAAP financial measure that is useful in evaluating our liquidity.</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Free Cash Flow</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and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metrics, may calculate t metrics differently, or may use other financial measures to evaluate their liquidity, all of which could reduce the usefulness of these non-GAAP metrics as a comparative measure.</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presents a summary of our cash flows for the fiscal years presented and a reconciliation of FCF to net cash provided by operating activities, the most directly comparable financial measure calculated in accordance with GAAP:</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6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77"/>
        </w:trPr>
        <w:tc>
          <w:tcPr>
            <w:tcW w:w="6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1,290,262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1,605,266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1,471,177</w:t>
            </w:r>
          </w:p>
        </w:tc>
        <w:tc>
          <w:tcPr>
            <w:tcW w:w="0" w:type="dxa"/>
            <w:vAlign w:val="bottom"/>
          </w:tcPr>
          <w:p>
            <w:pPr>
              <w:spacing w:after="0"/>
              <w:rPr>
                <w:sz w:val="1"/>
                <w:szCs w:val="1"/>
                <w:color w:val="auto"/>
              </w:rPr>
            </w:pPr>
          </w:p>
        </w:tc>
      </w:tr>
      <w:tr>
        <w:trPr>
          <w:trHeight w:val="18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purchases of property and equipment</w:t>
            </w:r>
          </w:p>
        </w:tc>
        <w:tc>
          <w:tcPr>
            <w:tcW w:w="9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(103,826)</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(132,590)</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(79,972)</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Free cash flow (non-GAAP)</w:t>
            </w:r>
          </w:p>
        </w:tc>
        <w:tc>
          <w:tcPr>
            <w:tcW w:w="98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1,186,436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1,472,676</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1,391,205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60" w:type="dxa"/>
            <w:vAlign w:val="bottom"/>
            <w:vMerge w:val="continue"/>
          </w:tcPr>
          <w:p>
            <w:pPr>
              <w:spacing w:after="0"/>
              <w:rPr>
                <w:sz w:val="12"/>
                <w:szCs w:val="12"/>
                <w:color w:val="auto"/>
              </w:rPr>
            </w:pPr>
          </w:p>
        </w:tc>
        <w:tc>
          <w:tcPr>
            <w:tcW w:w="980" w:type="dxa"/>
            <w:vAlign w:val="bottom"/>
            <w:tcBorders>
              <w:bottom w:val="single" w:sz="8" w:color="auto"/>
            </w:tcBorders>
          </w:tcPr>
          <w:p>
            <w:pPr>
              <w:jc w:val="right"/>
              <w:ind w:right="812"/>
              <w:spacing w:after="0" w:line="143"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(318,322)</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(2,859,097)</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(1,562,420)</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98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(936,942)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34,068</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2,050,277</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derive our revenue from subscription agreements with customers for access to our unified communications and collaboration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and collaboration platform. The amount of revenue recognized reflects the consideration that we expect to receive in exchange for these services over the contract term which can include a free period discount.</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Cost of revenue primarily consists of costs related to hosting our unified communications and collaboration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primarily consist of personnel-related expenses associated with our finance and legal organizations; professional fees for external legal, accounting, and other consulting services; expected credit losses; insurance; certain indirect taxes; litigation settlements; corporate security and regulatory expenses; and allocated overhead.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(Losses) gains on Strategic Investments,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(Losses) gains on strategic investments, net consist primarily of remeasurement gains or losses on our equity investments.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income (expense) income, net consists primarily of interest income and net accretion on our marketable securities and effect of changes in foreign currency exchange rates.</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Provision for (Benefit from) Income Taxes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Provision for (benefit from) income taxes consists primarily of income taxes related to federal, state, and foreign jurisdictions where we conduct business.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tables set forth selected consolidated statements of operations data and such data as a percentage of revenue for each of the fiscal years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54"/>
        </w:trPr>
        <w:tc>
          <w:tcPr>
            <w:tcW w:w="618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7"/>
        </w:trPr>
        <w:tc>
          <w:tcPr>
            <w:tcW w:w="6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4,392,960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4,099,864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2,651,368</w:t>
            </w:r>
          </w:p>
        </w:tc>
      </w:tr>
      <w:tr>
        <w:trPr>
          <w:trHeight w:val="180"/>
        </w:trPr>
        <w:tc>
          <w:tcPr>
            <w:tcW w:w="618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Cost of revenue </w:t>
            </w:r>
            <w:r>
              <w:rPr>
                <w:rFonts w:ascii="Times New Roman" w:cs="Times New Roman" w:eastAsia="Times New Roman" w:hAnsi="Times New Roman"/>
                <w:sz w:val="18"/>
                <w:szCs w:val="18"/>
                <w:color w:val="auto"/>
                <w:vertAlign w:val="superscript"/>
              </w:rPr>
              <w:t>(1)</w:t>
            </w: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1,100,451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1,054,554</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821,989</w:t>
            </w:r>
          </w:p>
        </w:tc>
      </w:tr>
      <w:tr>
        <w:trPr>
          <w:trHeight w:val="17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9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3,292,509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3,045,310</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1,829,379</w:t>
            </w:r>
          </w:p>
        </w:tc>
      </w:tr>
      <w:tr>
        <w:trPr>
          <w:trHeight w:val="16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61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Research and development </w:t>
            </w:r>
            <w:r>
              <w:rPr>
                <w:rFonts w:ascii="Times New Roman" w:cs="Times New Roman" w:eastAsia="Times New Roman" w:hAnsi="Times New Roman"/>
                <w:sz w:val="18"/>
                <w:szCs w:val="18"/>
                <w:color w:val="auto"/>
                <w:vertAlign w:val="superscript"/>
              </w:rPr>
              <w:t>(1)</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774,059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362,990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164,080</w:t>
            </w:r>
          </w:p>
        </w:tc>
      </w:tr>
      <w:tr>
        <w:trPr>
          <w:trHeight w:val="180"/>
        </w:trPr>
        <w:tc>
          <w:tcPr>
            <w:tcW w:w="618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Sales and marketing </w:t>
            </w:r>
            <w:r>
              <w:rPr>
                <w:rFonts w:ascii="Times New Roman" w:cs="Times New Roman" w:eastAsia="Times New Roman" w:hAnsi="Times New Roman"/>
                <w:sz w:val="18"/>
                <w:szCs w:val="18"/>
                <w:color w:val="auto"/>
                <w:vertAlign w:val="superscript"/>
              </w:rPr>
              <w:t>(1)</w:t>
            </w:r>
          </w:p>
        </w:tc>
        <w:tc>
          <w:tcPr>
            <w:tcW w:w="9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1,696,590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1,135,959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684,904</w:t>
            </w:r>
          </w:p>
        </w:tc>
      </w:tr>
      <w:tr>
        <w:trPr>
          <w:trHeight w:val="180"/>
        </w:trPr>
        <w:tc>
          <w:tcPr>
            <w:tcW w:w="61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18"/>
                <w:szCs w:val="18"/>
                <w:color w:val="auto"/>
                <w:vertAlign w:val="superscript"/>
              </w:rPr>
              <w:t>(1)</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576,431</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482,770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320,547</w:t>
            </w:r>
          </w:p>
        </w:tc>
      </w:tr>
      <w:tr>
        <w:trPr>
          <w:trHeight w:val="171"/>
        </w:trPr>
        <w:tc>
          <w:tcPr>
            <w:tcW w:w="6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3,047,080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1,981,719</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1,169,531</w:t>
            </w:r>
          </w:p>
        </w:tc>
      </w:tr>
      <w:tr>
        <w:trPr>
          <w:trHeight w:val="17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245,429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1,063,591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659,848</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 gains on strategic investments, net</w:t>
            </w:r>
          </w:p>
        </w:tc>
        <w:tc>
          <w:tcPr>
            <w:tcW w:w="9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43,761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41,418</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15,648</w:t>
            </w:r>
          </w:p>
        </w:tc>
      </w:tr>
      <w:tr>
        <w:trPr>
          <w:trHeight w:val="171"/>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provision (benefits) for income taxes</w:t>
            </w: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249,276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1,101,632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678,034</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(benefits) for income taxes</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145,565</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(274,007)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w:t>
            </w:r>
          </w:p>
        </w:tc>
      </w:tr>
      <w:tr>
        <w:trPr>
          <w:trHeight w:val="171"/>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103,711</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1,375,639</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672,316</w:t>
            </w:r>
          </w:p>
        </w:tc>
      </w:tr>
      <w:tr>
        <w:trPr>
          <w:trHeight w:val="20"/>
        </w:trPr>
        <w:tc>
          <w:tcPr>
            <w:tcW w:w="6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160" w:hanging="141"/>
        <w:spacing w:after="0"/>
        <w:tabs>
          <w:tab w:leader="none" w:pos="16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820" w:type="dxa"/>
            <w:vAlign w:val="bottom"/>
            <w:gridSpan w:val="3"/>
            <w:shd w:val="clear" w:color="auto" w:fill="CFF0FC"/>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174,546</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69,612</w:t>
            </w:r>
          </w:p>
        </w:tc>
        <w:tc>
          <w:tcPr>
            <w:tcW w:w="8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34,960</w:t>
            </w:r>
          </w:p>
        </w:tc>
        <w:tc>
          <w:tcPr>
            <w:tcW w:w="0" w:type="dxa"/>
            <w:vAlign w:val="bottom"/>
          </w:tcPr>
          <w:p>
            <w:pPr>
              <w:spacing w:after="0"/>
              <w:rPr>
                <w:sz w:val="1"/>
                <w:szCs w:val="1"/>
                <w:color w:val="auto"/>
              </w:rPr>
            </w:pPr>
          </w:p>
        </w:tc>
      </w:tr>
      <w:tr>
        <w:trPr>
          <w:trHeight w:val="18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361,720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113,000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50,161</w:t>
            </w:r>
          </w:p>
        </w:tc>
        <w:tc>
          <w:tcPr>
            <w:tcW w:w="0" w:type="dxa"/>
            <w:vAlign w:val="bottom"/>
          </w:tcPr>
          <w:p>
            <w:pPr>
              <w:spacing w:after="0"/>
              <w:rPr>
                <w:sz w:val="1"/>
                <w:szCs w:val="1"/>
                <w:color w:val="auto"/>
              </w:rPr>
            </w:pPr>
          </w:p>
        </w:tc>
      </w:tr>
      <w:tr>
        <w:trPr>
          <w:trHeight w:val="180"/>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532,371</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229,297</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146,377</w:t>
            </w:r>
          </w:p>
        </w:tc>
        <w:tc>
          <w:tcPr>
            <w:tcW w:w="0" w:type="dxa"/>
            <w:vAlign w:val="bottom"/>
          </w:tcPr>
          <w:p>
            <w:pPr>
              <w:spacing w:after="0"/>
              <w:rPr>
                <w:sz w:val="1"/>
                <w:szCs w:val="1"/>
                <w:color w:val="auto"/>
              </w:rPr>
            </w:pPr>
          </w:p>
        </w:tc>
      </w:tr>
      <w:tr>
        <w:trPr>
          <w:trHeight w:val="180"/>
        </w:trPr>
        <w:tc>
          <w:tcPr>
            <w:tcW w:w="42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72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217,115</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65,378</w:t>
            </w:r>
          </w:p>
        </w:tc>
        <w:tc>
          <w:tcPr>
            <w:tcW w:w="8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44,320</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7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1,285,752</w:t>
            </w:r>
          </w:p>
        </w:tc>
        <w:tc>
          <w:tcPr>
            <w:tcW w:w="4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477,287</w:t>
            </w:r>
          </w:p>
        </w:tc>
        <w:tc>
          <w:tcPr>
            <w:tcW w:w="8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275,818</w:t>
            </w: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0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77"/>
        </w:trPr>
        <w:tc>
          <w:tcPr>
            <w:tcW w:w="4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(as a percentage of revenue)</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8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7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25.7 %</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31.0 %</w:t>
            </w:r>
          </w:p>
        </w:tc>
        <w:tc>
          <w:tcPr>
            <w:tcW w:w="0" w:type="dxa"/>
            <w:vAlign w:val="bottom"/>
          </w:tcPr>
          <w:p>
            <w:pPr>
              <w:spacing w:after="0"/>
              <w:rPr>
                <w:sz w:val="1"/>
                <w:szCs w:val="1"/>
                <w:color w:val="auto"/>
              </w:rPr>
            </w:pPr>
          </w:p>
        </w:tc>
      </w:tr>
      <w:tr>
        <w:trPr>
          <w:trHeight w:val="171"/>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7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74.9 %</w:t>
            </w:r>
          </w:p>
        </w:tc>
        <w:tc>
          <w:tcPr>
            <w:tcW w:w="1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74.3 %</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69.0 %</w:t>
            </w:r>
          </w:p>
        </w:tc>
        <w:tc>
          <w:tcPr>
            <w:tcW w:w="0" w:type="dxa"/>
            <w:vAlign w:val="bottom"/>
          </w:tcPr>
          <w:p>
            <w:pPr>
              <w:spacing w:after="0"/>
              <w:rPr>
                <w:sz w:val="1"/>
                <w:szCs w:val="1"/>
                <w:color w:val="auto"/>
              </w:rPr>
            </w:pPr>
          </w:p>
        </w:tc>
      </w:tr>
      <w:tr>
        <w:trPr>
          <w:trHeight w:val="16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180"/>
        </w:trPr>
        <w:tc>
          <w:tcPr>
            <w:tcW w:w="4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38.6 %</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25.8 %</w:t>
            </w:r>
          </w:p>
        </w:tc>
        <w:tc>
          <w:tcPr>
            <w:tcW w:w="0" w:type="dxa"/>
            <w:vAlign w:val="bottom"/>
          </w:tcPr>
          <w:p>
            <w:pPr>
              <w:spacing w:after="0"/>
              <w:rPr>
                <w:sz w:val="1"/>
                <w:szCs w:val="1"/>
                <w:color w:val="auto"/>
              </w:rPr>
            </w:pPr>
          </w:p>
        </w:tc>
      </w:tr>
      <w:tr>
        <w:trPr>
          <w:trHeight w:val="180"/>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7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7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69.3 %</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48.4 %</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44.1 %</w:t>
            </w:r>
          </w:p>
        </w:tc>
        <w:tc>
          <w:tcPr>
            <w:tcW w:w="0" w:type="dxa"/>
            <w:vAlign w:val="bottom"/>
          </w:tcPr>
          <w:p>
            <w:pPr>
              <w:spacing w:after="0"/>
              <w:rPr>
                <w:sz w:val="1"/>
                <w:szCs w:val="1"/>
                <w:color w:val="auto"/>
              </w:rPr>
            </w:pPr>
          </w:p>
        </w:tc>
      </w:tr>
      <w:tr>
        <w:trPr>
          <w:trHeight w:val="171"/>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24.9 %</w:t>
            </w:r>
          </w:p>
        </w:tc>
        <w:tc>
          <w:tcPr>
            <w:tcW w:w="0" w:type="dxa"/>
            <w:vAlign w:val="bottom"/>
          </w:tcPr>
          <w:p>
            <w:pPr>
              <w:spacing w:after="0"/>
              <w:rPr>
                <w:sz w:val="1"/>
                <w:szCs w:val="1"/>
                <w:color w:val="auto"/>
              </w:rPr>
            </w:pPr>
          </w:p>
        </w:tc>
      </w:tr>
      <w:tr>
        <w:trPr>
          <w:trHeight w:val="18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 gains on strategic investments, net</w:t>
            </w: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8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7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71"/>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provision (benefits) for income taxes</w:t>
            </w: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0" w:type="dxa"/>
            <w:vAlign w:val="bottom"/>
          </w:tcPr>
          <w:p>
            <w:pPr>
              <w:spacing w:after="0"/>
              <w:rPr>
                <w:sz w:val="1"/>
                <w:szCs w:val="1"/>
                <w:color w:val="auto"/>
              </w:rPr>
            </w:pPr>
          </w:p>
        </w:tc>
      </w:tr>
      <w:tr>
        <w:trPr>
          <w:trHeight w:val="18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(benefits) for income taxes</w:t>
            </w:r>
          </w:p>
        </w:tc>
        <w:tc>
          <w:tcPr>
            <w:tcW w:w="17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1"/>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33.6 %</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2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54</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42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6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Fiscal Years Ended January 31, 2023 and 2022</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1540" w:type="dxa"/>
            <w:vAlign w:val="bottom"/>
            <w:tcBorders>
              <w:bottom w:val="single" w:sz="8" w:color="auto"/>
            </w:tcBorders>
          </w:tcPr>
          <w:p>
            <w:pPr>
              <w:spacing w:after="0"/>
              <w:rPr>
                <w:sz w:val="13"/>
                <w:szCs w:val="13"/>
                <w:color w:val="auto"/>
              </w:rPr>
            </w:pPr>
          </w:p>
        </w:tc>
      </w:tr>
      <w:tr>
        <w:trPr>
          <w:trHeight w:val="154"/>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40" w:type="dxa"/>
            <w:vAlign w:val="bottom"/>
          </w:tcPr>
          <w:p>
            <w:pPr>
              <w:spacing w:after="0"/>
              <w:rPr>
                <w:sz w:val="15"/>
                <w:szCs w:val="15"/>
                <w:color w:val="auto"/>
              </w:rPr>
            </w:pPr>
          </w:p>
        </w:tc>
      </w:tr>
      <w:tr>
        <w:trPr>
          <w:trHeight w:val="19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4,392,960</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4,099,864</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293,096</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7.1 %</w:t>
            </w:r>
          </w:p>
        </w:tc>
      </w:tr>
    </w:tbl>
    <w:p>
      <w:pPr>
        <w:spacing w:after="0" w:line="2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Revenue for the fiscal year ended January 31, 2023 increased by $293.1 million, or 7.1%, compared to the fiscal year ended January 31, 2022. The increase in revenue was due to a 23.6% increase in revenue from subscription services provided to Enterprise customers, of which 87.6% and 12.4% were from existing and new customers, respectively. This increase was partially offset by a 7.7% decline in revenue from subscription services provided to Online customers.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54"/>
        </w:trPr>
        <w:tc>
          <w:tcPr>
            <w:tcW w:w="50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w w:val="99"/>
              </w:rPr>
              <w:t>$ Change</w:t>
            </w:r>
          </w:p>
        </w:tc>
        <w:tc>
          <w:tcPr>
            <w:tcW w:w="100" w:type="dxa"/>
            <w:vAlign w:val="bottom"/>
          </w:tcPr>
          <w:p>
            <w:pPr>
              <w:spacing w:after="0"/>
              <w:rPr>
                <w:sz w:val="13"/>
                <w:szCs w:val="13"/>
                <w:color w:val="auto"/>
              </w:rPr>
            </w:pPr>
          </w:p>
        </w:tc>
        <w:tc>
          <w:tcPr>
            <w:tcW w:w="15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20" w:type="dxa"/>
            <w:vAlign w:val="bottom"/>
            <w:gridSpan w:val="5"/>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00" w:type="dxa"/>
            <w:vAlign w:val="bottom"/>
          </w:tcPr>
          <w:p>
            <w:pPr>
              <w:spacing w:after="0"/>
              <w:rPr>
                <w:sz w:val="15"/>
                <w:szCs w:val="15"/>
                <w:color w:val="auto"/>
              </w:rPr>
            </w:pPr>
          </w:p>
        </w:tc>
      </w:tr>
      <w:tr>
        <w:trPr>
          <w:trHeight w:val="19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8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1,100,451</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4"/>
                <w:szCs w:val="14"/>
                <w:color w:val="auto"/>
              </w:rPr>
              <w:t>1,054,554</w:t>
            </w: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45,897</w:t>
            </w:r>
          </w:p>
        </w:tc>
        <w:tc>
          <w:tcPr>
            <w:tcW w:w="1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tcPr>
          <w:p>
            <w:pPr>
              <w:spacing w:after="0"/>
              <w:rPr>
                <w:sz w:val="15"/>
                <w:szCs w:val="15"/>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3,292,509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3,045,310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247,199</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r>
      <w:tr>
        <w:trPr>
          <w:trHeight w:val="18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74.9 %</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74.3 %</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bl>
    <w:p>
      <w:pPr>
        <w:spacing w:after="0" w:line="13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 xml:space="preserve">Cost of revenue for the fiscal year ended January 31, 2023 increased by $45.9 million, or 4.4%, compared to the fiscal year ended January 31, 2022. </w:t>
      </w:r>
      <w:r>
        <w:rPr>
          <w:rFonts w:ascii="Times New Roman" w:cs="Times New Roman" w:eastAsia="Times New Roman" w:hAnsi="Times New Roman"/>
          <w:sz w:val="14"/>
          <w:szCs w:val="14"/>
          <w:color w:val="231F20"/>
        </w:rPr>
        <w:t>The increase</w:t>
      </w:r>
      <w:r>
        <w:rPr>
          <w:rFonts w:ascii="Times New Roman" w:cs="Times New Roman" w:eastAsia="Times New Roman" w:hAnsi="Times New Roman"/>
          <w:sz w:val="14"/>
          <w:szCs w:val="14"/>
          <w:color w:val="auto"/>
        </w:rPr>
        <w:t xml:space="preserve"> was primarily due to </w:t>
      </w:r>
      <w:r>
        <w:rPr>
          <w:rFonts w:ascii="Times New Roman" w:cs="Times New Roman" w:eastAsia="Times New Roman" w:hAnsi="Times New Roman"/>
          <w:sz w:val="14"/>
          <w:szCs w:val="14"/>
          <w:color w:val="231F20"/>
        </w:rPr>
        <w:t>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increase of $147.9 million in personnel-related expenses, which includes an increase of $104.9 million </w:t>
      </w:r>
      <w:r>
        <w:rPr>
          <w:rFonts w:ascii="Times New Roman" w:cs="Times New Roman" w:eastAsia="Times New Roman" w:hAnsi="Times New Roman"/>
          <w:sz w:val="14"/>
          <w:szCs w:val="14"/>
          <w:color w:val="000000"/>
        </w:rPr>
        <w:t>in stock-based compensation expense,</w:t>
      </w:r>
      <w:r>
        <w:rPr>
          <w:rFonts w:ascii="Times New Roman" w:cs="Times New Roman" w:eastAsia="Times New Roman" w:hAnsi="Times New Roman"/>
          <w:sz w:val="14"/>
          <w:szCs w:val="14"/>
          <w:color w:val="231F20"/>
        </w:rPr>
        <w:t xml:space="preserve"> mainly driven by additional headcount and expanded equity programs, </w:t>
      </w:r>
      <w:r>
        <w:rPr>
          <w:rFonts w:ascii="Times New Roman" w:cs="Times New Roman" w:eastAsia="Times New Roman" w:hAnsi="Times New Roman"/>
          <w:sz w:val="14"/>
          <w:szCs w:val="14"/>
          <w:color w:val="000000"/>
        </w:rPr>
        <w:t>an increase of</w:t>
      </w:r>
      <w:r>
        <w:rPr>
          <w:rFonts w:ascii="Times New Roman" w:cs="Times New Roman" w:eastAsia="Times New Roman" w:hAnsi="Times New Roman"/>
          <w:sz w:val="14"/>
          <w:szCs w:val="14"/>
          <w:color w:val="231F20"/>
        </w:rPr>
        <w:t xml:space="preserve"> $29.8 million related to subscription to software-based services, and </w:t>
      </w:r>
      <w:r>
        <w:rPr>
          <w:rFonts w:ascii="Times New Roman" w:cs="Times New Roman" w:eastAsia="Times New Roman" w:hAnsi="Times New Roman"/>
          <w:sz w:val="14"/>
          <w:szCs w:val="14"/>
          <w:color w:val="000000"/>
        </w:rPr>
        <w:t>an increase in allocated overhead of</w:t>
      </w:r>
      <w:r>
        <w:rPr>
          <w:rFonts w:ascii="Times New Roman" w:cs="Times New Roman" w:eastAsia="Times New Roman" w:hAnsi="Times New Roman"/>
          <w:sz w:val="14"/>
          <w:szCs w:val="14"/>
          <w:color w:val="231F20"/>
        </w:rPr>
        <w:t xml:space="preserve"> $8.7 million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xml:space="preserve"> partially offset by a decrease of $144.6 million in costs mainly driven by the net impact of the transition from third-party cloud hosting to internal data centers and cloud optimization.</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Gross margin increased to 74.9% for the fiscal year ended January 31, 2023 from 74.3% for the fiscal year ended January 31, 2022. The increase in gross margin was mainly due to increased efficiencies as we expanded our internal data center capacity; in addition, during the current fiscal year, we reinstated the 40-minute time limit for meetings with more than two endpoints from our free Basic accounts for more than 125,000 K-12 school domains worldwide, which was temporarily lifted at the onset of the COVID-19 pandemic. These cost-saving measures were partially offset by the impact from higher stock-based compensation expense.</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1540" w:type="dxa"/>
            <w:vAlign w:val="bottom"/>
            <w:tcBorders>
              <w:bottom w:val="single" w:sz="8" w:color="auto"/>
            </w:tcBorders>
          </w:tcPr>
          <w:p>
            <w:pPr>
              <w:spacing w:after="0"/>
              <w:rPr>
                <w:sz w:val="13"/>
                <w:szCs w:val="13"/>
                <w:color w:val="auto"/>
              </w:rPr>
            </w:pPr>
          </w:p>
        </w:tc>
      </w:tr>
      <w:tr>
        <w:trPr>
          <w:trHeight w:val="154"/>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40" w:type="dxa"/>
            <w:vAlign w:val="bottom"/>
          </w:tcPr>
          <w:p>
            <w:pPr>
              <w:spacing w:after="0"/>
              <w:rPr>
                <w:sz w:val="15"/>
                <w:szCs w:val="15"/>
                <w:color w:val="auto"/>
              </w:rPr>
            </w:pPr>
          </w:p>
        </w:tc>
      </w:tr>
      <w:tr>
        <w:trPr>
          <w:trHeight w:val="19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774,059</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362,990</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411,069</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113.2 %</w:t>
            </w:r>
          </w:p>
        </w:tc>
      </w:tr>
    </w:tbl>
    <w:p>
      <w:pPr>
        <w:spacing w:after="0" w:line="22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Research and development expense for the fiscal year ended January 31, 2023 increased by $411.1 million, or 113.2%, compared to the fiscal year ended January 31, 2022. The increase was primarily due to higher personnel-related expenses of $388.4 million, which includes a $248.7 million increase in stock-based compensation expense, mainly driven by the increased headcount and expanded equity programs, and an increase of $139.7 million in non-stock based related personal costs due to a 67% increase in headcount. The remainder of the increase was primarily attributable to an increase of $21.6 million in allocated overhead expenses.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1540" w:type="dxa"/>
            <w:vAlign w:val="bottom"/>
            <w:tcBorders>
              <w:bottom w:val="single" w:sz="8" w:color="auto"/>
            </w:tcBorders>
          </w:tcPr>
          <w:p>
            <w:pPr>
              <w:spacing w:after="0"/>
              <w:rPr>
                <w:sz w:val="13"/>
                <w:szCs w:val="13"/>
                <w:color w:val="auto"/>
              </w:rPr>
            </w:pPr>
          </w:p>
        </w:tc>
      </w:tr>
      <w:tr>
        <w:trPr>
          <w:trHeight w:val="154"/>
        </w:trPr>
        <w:tc>
          <w:tcPr>
            <w:tcW w:w="5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40" w:type="dxa"/>
            <w:vAlign w:val="bottom"/>
          </w:tcPr>
          <w:p>
            <w:pPr>
              <w:spacing w:after="0"/>
              <w:rPr>
                <w:sz w:val="15"/>
                <w:szCs w:val="15"/>
                <w:color w:val="auto"/>
              </w:rPr>
            </w:pPr>
          </w:p>
        </w:tc>
      </w:tr>
      <w:tr>
        <w:trPr>
          <w:trHeight w:val="190"/>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1,696,590</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1,135,959</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560,631</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49.4 %</w:t>
            </w:r>
          </w:p>
        </w:tc>
      </w:tr>
    </w:tbl>
    <w:p>
      <w:pPr>
        <w:spacing w:after="0" w:line="22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Sales and marketing expense for the fiscal year ended January 31, 2023 increased by $560.6 million, or 49.4%, compared to the fiscal year ended January 31, 2022. The increase in sales and marketing expense was primarily due to higher personnel-related expenses of $471.4 million, which includes an increase of $303.1 million in stock based compensation, mainly driven by additional headcount and expanded equity programs, and an increase of $82.1 million in amortization of deferred contract acquisition costs. The remaining increase was primarily due to an increase of $76.9 million in marketing and sales event-related costs mainly due to an increase in awareness, social media and digital programs, and an increase of $14.9 million in allocated overhead expenses.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1540" w:type="dxa"/>
            <w:vAlign w:val="bottom"/>
            <w:tcBorders>
              <w:bottom w:val="single" w:sz="8" w:color="auto"/>
            </w:tcBorders>
          </w:tcPr>
          <w:p>
            <w:pPr>
              <w:spacing w:after="0"/>
              <w:rPr>
                <w:sz w:val="13"/>
                <w:szCs w:val="13"/>
                <w:color w:val="auto"/>
              </w:rPr>
            </w:pPr>
          </w:p>
        </w:tc>
      </w:tr>
      <w:tr>
        <w:trPr>
          <w:trHeight w:val="154"/>
        </w:trPr>
        <w:tc>
          <w:tcPr>
            <w:tcW w:w="5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40" w:type="dxa"/>
            <w:vAlign w:val="bottom"/>
          </w:tcPr>
          <w:p>
            <w:pPr>
              <w:spacing w:after="0"/>
              <w:rPr>
                <w:sz w:val="15"/>
                <w:szCs w:val="15"/>
                <w:color w:val="auto"/>
              </w:rPr>
            </w:pPr>
          </w:p>
        </w:tc>
      </w:tr>
      <w:tr>
        <w:trPr>
          <w:trHeight w:val="190"/>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shd w:val="clear" w:color="auto" w:fill="CFF0FC"/>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576,431</w:t>
            </w: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482,770</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93,661</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19.4 %</w:t>
            </w:r>
          </w:p>
        </w:tc>
      </w:tr>
    </w:tbl>
    <w:p>
      <w:pPr>
        <w:spacing w:after="0" w:line="219"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General and administrative expense for the fiscal year ended January 31, 2023 increased by $93.7 million, or 19.4%, compared to the fiscal year ended January 31, 2022. The increase in general and administrative expense was primarily due to an increase of $193.2 million in personnel-related expenses, which includes a $151.7 million increase in stock-based compensation expense, mainly driven by additional headcount and expanded equity programs, and an increase of $11.4 million related to subscription to software-based services offset by a decrease of $71.1 million in litigation settlement expense, net of amounts estimated to be covered by insurance and a decrease of $24.1 million related to professional services composed primarily of legal and other consulting fees.</w:t>
      </w:r>
    </w:p>
    <w:p>
      <w:pPr>
        <w:spacing w:after="0" w:line="3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Gains on Strategic Investments,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1540" w:type="dxa"/>
            <w:vAlign w:val="bottom"/>
            <w:tcBorders>
              <w:bottom w:val="single" w:sz="8" w:color="auto"/>
            </w:tcBorders>
          </w:tcPr>
          <w:p>
            <w:pPr>
              <w:spacing w:after="0"/>
              <w:rPr>
                <w:sz w:val="13"/>
                <w:szCs w:val="13"/>
                <w:color w:val="auto"/>
              </w:rPr>
            </w:pPr>
          </w:p>
        </w:tc>
      </w:tr>
      <w:tr>
        <w:trPr>
          <w:trHeight w:val="154"/>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40" w:type="dxa"/>
            <w:vAlign w:val="bottom"/>
          </w:tcPr>
          <w:p>
            <w:pPr>
              <w:spacing w:after="0"/>
              <w:rPr>
                <w:sz w:val="15"/>
                <w:szCs w:val="15"/>
                <w:color w:val="auto"/>
              </w:rPr>
            </w:pPr>
          </w:p>
        </w:tc>
      </w:tr>
      <w:tr>
        <w:trPr>
          <w:trHeight w:val="19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(Losses) Gains on strategic investments, net</w:t>
            </w: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(37,571)</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43,761</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81,332</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(185.9)%</w:t>
            </w:r>
          </w:p>
        </w:tc>
      </w:tr>
    </w:tbl>
    <w:p>
      <w:pPr>
        <w:spacing w:after="0" w:line="2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Losses on strategic investments, net recognized during the fiscal year ended January 31, 2023 were primarily driven by $36.8 million of unrealized losses recognized on our publicly traded equity securities, while gains on strategic investments, net recognized during the fiscal year ended January 31, 2022 were driven by $49.9 million of unrealized gains recognized on our privately held equity securities, partially offset by $6.2 million unrealized losses recognized on our publicly traded equity securities.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(Expense) Income,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1540" w:type="dxa"/>
            <w:vAlign w:val="bottom"/>
            <w:tcBorders>
              <w:bottom w:val="single" w:sz="8" w:color="auto"/>
            </w:tcBorders>
          </w:tcPr>
          <w:p>
            <w:pPr>
              <w:spacing w:after="0"/>
              <w:rPr>
                <w:sz w:val="13"/>
                <w:szCs w:val="13"/>
                <w:color w:val="auto"/>
              </w:rPr>
            </w:pPr>
          </w:p>
        </w:tc>
      </w:tr>
      <w:tr>
        <w:trPr>
          <w:trHeight w:val="154"/>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40" w:type="dxa"/>
            <w:vAlign w:val="bottom"/>
          </w:tcPr>
          <w:p>
            <w:pPr>
              <w:spacing w:after="0"/>
              <w:rPr>
                <w:sz w:val="15"/>
                <w:szCs w:val="15"/>
                <w:color w:val="auto"/>
              </w:rPr>
            </w:pPr>
          </w:p>
        </w:tc>
      </w:tr>
      <w:tr>
        <w:trPr>
          <w:trHeight w:val="19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41,418</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47,138</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(824.1)%</w:t>
            </w: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Other income (expense), net for the fiscal year ended January 31, 2023 increased by $47.1 million, or 824.1%, compared to the fiscal year ended January 31, 2022. The increase was mainly driven by an increase of $45.6 million in investment yield.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Provision for (Benefit from) Income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1540" w:type="dxa"/>
            <w:vAlign w:val="bottom"/>
            <w:tcBorders>
              <w:bottom w:val="single" w:sz="8" w:color="auto"/>
            </w:tcBorders>
          </w:tcPr>
          <w:p>
            <w:pPr>
              <w:spacing w:after="0"/>
              <w:rPr>
                <w:sz w:val="13"/>
                <w:szCs w:val="13"/>
                <w:color w:val="auto"/>
              </w:rPr>
            </w:pPr>
          </w:p>
        </w:tc>
      </w:tr>
      <w:tr>
        <w:trPr>
          <w:trHeight w:val="154"/>
        </w:trPr>
        <w:tc>
          <w:tcPr>
            <w:tcW w:w="5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00" w:type="dxa"/>
            <w:vAlign w:val="bottom"/>
          </w:tcPr>
          <w:p>
            <w:pPr>
              <w:spacing w:after="0"/>
              <w:rPr>
                <w:sz w:val="13"/>
                <w:szCs w:val="13"/>
                <w:color w:val="auto"/>
              </w:rPr>
            </w:pPr>
          </w:p>
        </w:tc>
        <w:tc>
          <w:tcPr>
            <w:tcW w:w="15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5"/>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540" w:type="dxa"/>
            <w:vAlign w:val="bottom"/>
          </w:tcPr>
          <w:p>
            <w:pPr>
              <w:spacing w:after="0"/>
              <w:rPr>
                <w:sz w:val="15"/>
                <w:szCs w:val="15"/>
                <w:color w:val="auto"/>
              </w:rPr>
            </w:pPr>
          </w:p>
        </w:tc>
      </w:tr>
      <w:tr>
        <w:trPr>
          <w:trHeight w:val="19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145,565</w:t>
            </w: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(274,007)</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419,572</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(153.1)%</w:t>
            </w:r>
          </w:p>
        </w:tc>
      </w:tr>
    </w:tbl>
    <w:p>
      <w:pPr>
        <w:spacing w:after="0" w:line="144" w:lineRule="exact"/>
        <w:rPr>
          <w:sz w:val="20"/>
          <w:szCs w:val="20"/>
          <w:color w:val="auto"/>
        </w:rPr>
      </w:pPr>
    </w:p>
    <w:p>
      <w:pPr>
        <w:jc w:val="both"/>
        <w:ind w:right="80" w:firstLine="382"/>
        <w:spacing w:after="0" w:line="264" w:lineRule="auto"/>
        <w:rPr>
          <w:sz w:val="20"/>
          <w:szCs w:val="20"/>
          <w:color w:val="auto"/>
        </w:rPr>
      </w:pPr>
      <w:r>
        <w:rPr>
          <w:rFonts w:ascii="Times New Roman" w:cs="Times New Roman" w:eastAsia="Times New Roman" w:hAnsi="Times New Roman"/>
          <w:sz w:val="14"/>
          <w:szCs w:val="14"/>
          <w:color w:val="auto"/>
        </w:rPr>
        <w:t>Provision for income taxes for the fiscal year ended January 31, 2023 was $145.6 million, compared to a benefit from income taxes of $274.0 million the fiscal year ended January 31, 2022. The change in income taxes was primarily due to tax shortfalls on stock-based compensation, non-deductible stock-based compensation expense, changes in the valuation allowance on certain state deferred tax assets, and other compensation-related permanent differences as of January 31, 2023, compared to tax windfalls on stock-based compensation and the valuation allowance release on the U.S. federal and state deferred tax assets during the fiscal year ended January 31, 2022. See Note 11 of the Notes to Consolidated Financial Statements for further information.</w:t>
      </w:r>
    </w:p>
    <w:p>
      <w:pPr>
        <w:spacing w:after="0" w:line="140" w:lineRule="exact"/>
        <w:rPr>
          <w:sz w:val="20"/>
          <w:szCs w:val="20"/>
          <w:color w:val="auto"/>
        </w:rPr>
      </w:pPr>
    </w:p>
    <w:p>
      <w:pPr>
        <w:jc w:val="both"/>
        <w:ind w:right="80" w:firstLine="382"/>
        <w:spacing w:after="0" w:line="287" w:lineRule="auto"/>
        <w:rPr>
          <w:sz w:val="20"/>
          <w:szCs w:val="20"/>
          <w:color w:val="auto"/>
        </w:rPr>
      </w:pPr>
      <w:r>
        <w:rPr>
          <w:rFonts w:ascii="Times New Roman" w:cs="Times New Roman" w:eastAsia="Times New Roman" w:hAnsi="Times New Roman"/>
          <w:sz w:val="14"/>
          <w:szCs w:val="14"/>
          <w:color w:val="auto"/>
        </w:rPr>
        <w:t>For a discussion of the fiscal year ended January 31, 2022 compared to the fiscal year ended January 31, 2021, please refer to Part II, Item 7, “Management's Discussion and Analysis of Financial Condition and Results of Operations” in our Annual Report on Form 10-K for the fiscal year ended January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As of January 31, 2023, our principal sources of liquidity were cash, cash equivalents, and marketable securities of $5.4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spacing w:after="0" w:line="51" w:lineRule="exact"/>
        <w:rPr>
          <w:sz w:val="20"/>
          <w:szCs w:val="20"/>
          <w:color w:val="auto"/>
        </w:rPr>
      </w:pPr>
    </w:p>
    <w:p>
      <w:pPr>
        <w:jc w:val="both"/>
        <w:ind w:right="80" w:firstLine="382"/>
        <w:spacing w:after="0" w:line="256" w:lineRule="auto"/>
        <w:rPr>
          <w:sz w:val="20"/>
          <w:szCs w:val="20"/>
          <w:color w:val="auto"/>
        </w:rPr>
      </w:pPr>
      <w:r>
        <w:rPr>
          <w:rFonts w:ascii="Times New Roman" w:cs="Times New Roman" w:eastAsia="Times New Roman" w:hAnsi="Times New Roman"/>
          <w:sz w:val="14"/>
          <w:szCs w:val="14"/>
          <w:color w:val="auto"/>
        </w:rPr>
        <w:t>We have financed our operations primarily through income from operations and sales of equity securities. Cash from operations could also be affected by various risks and uncertainties, including, but not limited to, the recent changes in macroeconomic conditions such as high inflation, recessionary environments, and the fluctuations in foreign currency exchange rates, could impact the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material cash requirements from known contractual and other obligations primarily relate to our leases for office space and equipment, as well as non-cancelable purchase obligations.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Expected timing of those payments are as follows:</w:t>
      </w:r>
    </w:p>
    <w:p>
      <w:pPr>
        <w:spacing w:after="0" w:line="107" w:lineRule="exact"/>
        <w:rPr>
          <w:sz w:val="20"/>
          <w:szCs w:val="20"/>
          <w:color w:val="auto"/>
        </w:rPr>
      </w:pPr>
    </w:p>
    <w:tbl>
      <w:tblPr>
        <w:tblLayout w:type="fixed"/>
        <w:tblInd w:w="380" w:type="dxa"/>
        <w:tblCellMar>
          <w:top w:w="0" w:type="dxa"/>
          <w:left w:w="0" w:type="dxa"/>
          <w:bottom w:w="0" w:type="dxa"/>
          <w:right w:w="0" w:type="dxa"/>
        </w:tblCellMar>
      </w:tblPr>
      <w:tr>
        <w:trPr>
          <w:trHeight w:val="158"/>
        </w:trPr>
        <w:tc>
          <w:tcPr>
            <w:tcW w:w="4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Payments Due by Period</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1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ind w:left="160"/>
              <w:spacing w:after="0" w:line="106"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200" w:type="dxa"/>
            <w:vAlign w:val="bottom"/>
          </w:tcPr>
          <w:p>
            <w:pPr>
              <w:spacing w:after="0"/>
              <w:rPr>
                <w:sz w:val="9"/>
                <w:szCs w:val="9"/>
                <w:color w:val="auto"/>
              </w:rPr>
            </w:pPr>
          </w:p>
        </w:tc>
        <w:tc>
          <w:tcPr>
            <w:tcW w:w="1200" w:type="dxa"/>
            <w:vAlign w:val="bottom"/>
            <w:gridSpan w:val="2"/>
          </w:tcPr>
          <w:p>
            <w:pPr>
              <w:jc w:val="center"/>
              <w:ind w:right="300"/>
              <w:spacing w:after="0" w:line="106" w:lineRule="exact"/>
              <w:rPr>
                <w:sz w:val="20"/>
                <w:szCs w:val="20"/>
                <w:color w:val="auto"/>
              </w:rPr>
            </w:pPr>
            <w:r>
              <w:rPr>
                <w:rFonts w:ascii="Times New Roman" w:cs="Times New Roman" w:eastAsia="Times New Roman" w:hAnsi="Times New Roman"/>
                <w:sz w:val="11"/>
                <w:szCs w:val="11"/>
                <w:b w:val="1"/>
                <w:bCs w:val="1"/>
                <w:color w:val="auto"/>
                <w:w w:val="99"/>
              </w:rPr>
              <w:t>1 – 3</w:t>
            </w:r>
          </w:p>
        </w:tc>
        <w:tc>
          <w:tcPr>
            <w:tcW w:w="84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3 – 5</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jc w:val="right"/>
              <w:ind w:right="96"/>
              <w:spacing w:after="0" w:line="106" w:lineRule="exact"/>
              <w:rPr>
                <w:sz w:val="20"/>
                <w:szCs w:val="20"/>
                <w:color w:val="auto"/>
              </w:rPr>
            </w:pPr>
            <w:r>
              <w:rPr>
                <w:rFonts w:ascii="Times New Roman" w:cs="Times New Roman" w:eastAsia="Times New Roman" w:hAnsi="Times New Roman"/>
                <w:sz w:val="11"/>
                <w:szCs w:val="11"/>
                <w:b w:val="1"/>
                <w:bCs w:val="1"/>
                <w:color w:val="auto"/>
              </w:rPr>
              <w:t>More Than</w:t>
            </w: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1"/>
                <w:szCs w:val="11"/>
                <w:b w:val="1"/>
                <w:bCs w:val="1"/>
                <w:color w:val="auto"/>
              </w:rPr>
              <w:t>1 Year</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w w:val="94"/>
              </w:rPr>
              <w:t>Years</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Years</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5 Years</w:t>
            </w:r>
          </w:p>
        </w:tc>
        <w:tc>
          <w:tcPr>
            <w:tcW w:w="0" w:type="dxa"/>
            <w:vAlign w:val="bottom"/>
          </w:tcPr>
          <w:p>
            <w:pPr>
              <w:spacing w:after="0"/>
              <w:rPr>
                <w:sz w:val="1"/>
                <w:szCs w:val="1"/>
                <w:color w:val="auto"/>
              </w:rPr>
            </w:pPr>
          </w:p>
        </w:tc>
      </w:tr>
      <w:tr>
        <w:trPr>
          <w:trHeight w:val="177"/>
        </w:trPr>
        <w:tc>
          <w:tcPr>
            <w:tcW w:w="4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105,176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Non-cancelable purchase obligations</w:t>
            </w: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298,855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191,902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104,253</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contractual obligations</w:t>
            </w:r>
          </w:p>
        </w:tc>
        <w:tc>
          <w:tcPr>
            <w:tcW w:w="80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404,031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217,788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152,959</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right="80" w:firstLine="382"/>
        <w:spacing w:after="0" w:line="270" w:lineRule="auto"/>
        <w:rPr>
          <w:sz w:val="20"/>
          <w:szCs w:val="20"/>
          <w:color w:val="auto"/>
        </w:rPr>
      </w:pPr>
      <w:r>
        <w:rPr>
          <w:rFonts w:ascii="Times New Roman" w:cs="Times New Roman" w:eastAsia="Times New Roman" w:hAnsi="Times New Roman"/>
          <w:sz w:val="14"/>
          <w:szCs w:val="14"/>
          <w:color w:val="auto"/>
        </w:rPr>
        <w:t>The contractual commitment amounts in the table above are associated with agreements that are enforceable and legally binding. Obligations under contracts that we can cancel without a significant penalty are not included in the table above. See the “Future minimum lease payments” table in Note 7 and “Non-cancelable Purchase Obligations” in Note 9 to our consolidated financial statements included in Part II, Item 8 of this Form 10-K for more details.</w:t>
      </w:r>
    </w:p>
    <w:p>
      <w:pPr>
        <w:spacing w:after="0" w:line="200" w:lineRule="exact"/>
        <w:rPr>
          <w:sz w:val="20"/>
          <w:szCs w:val="20"/>
          <w:color w:val="auto"/>
        </w:rPr>
      </w:pPr>
    </w:p>
    <w:p>
      <w:pPr>
        <w:spacing w:after="0" w:line="20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54"/>
        </w:trPr>
        <w:tc>
          <w:tcPr>
            <w:tcW w:w="6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7"/>
        </w:trPr>
        <w:tc>
          <w:tcPr>
            <w:tcW w:w="6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1,290,262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1,605,266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center"/>
              <w:ind w:left="493"/>
              <w:spacing w:after="0"/>
              <w:rPr>
                <w:sz w:val="20"/>
                <w:szCs w:val="20"/>
                <w:color w:val="auto"/>
              </w:rPr>
            </w:pPr>
            <w:r>
              <w:rPr>
                <w:rFonts w:ascii="Times New Roman" w:cs="Times New Roman" w:eastAsia="Times New Roman" w:hAnsi="Times New Roman"/>
                <w:sz w:val="14"/>
                <w:szCs w:val="14"/>
                <w:color w:val="auto"/>
                <w:w w:val="99"/>
              </w:rPr>
              <w:t>1,471,177</w:t>
            </w: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(318,322)</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(2,859,097)</w:t>
            </w:r>
          </w:p>
        </w:tc>
        <w:tc>
          <w:tcPr>
            <w:tcW w:w="8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center"/>
              <w:ind w:left="473"/>
              <w:spacing w:after="0"/>
              <w:rPr>
                <w:sz w:val="20"/>
                <w:szCs w:val="20"/>
                <w:color w:val="auto"/>
              </w:rPr>
            </w:pPr>
            <w:r>
              <w:rPr>
                <w:rFonts w:ascii="Times New Roman" w:cs="Times New Roman" w:eastAsia="Times New Roman" w:hAnsi="Times New Roman"/>
                <w:sz w:val="14"/>
                <w:szCs w:val="14"/>
                <w:color w:val="auto"/>
              </w:rPr>
              <w:t>(1,562,420)</w:t>
            </w: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(936,942)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center"/>
              <w:ind w:left="493"/>
              <w:spacing w:after="0"/>
              <w:rPr>
                <w:sz w:val="20"/>
                <w:szCs w:val="20"/>
                <w:color w:val="auto"/>
              </w:rPr>
            </w:pPr>
            <w:r>
              <w:rPr>
                <w:rFonts w:ascii="Times New Roman" w:cs="Times New Roman" w:eastAsia="Times New Roman" w:hAnsi="Times New Roman"/>
                <w:sz w:val="14"/>
                <w:szCs w:val="14"/>
                <w:color w:val="auto"/>
                <w:w w:val="99"/>
              </w:rPr>
              <w:t>2,050,277</w:t>
            </w:r>
          </w:p>
        </w:tc>
      </w:tr>
    </w:tbl>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cash provided by operating activities was $1,290.3 million for the fiscal year ended January 31, 2023, compared to $1,605.3 million for the fiscal year ended January 31, 2022. The decrease in operating cash flow was mainly driven by higher income tax payments and lower increases in deferred revenue.</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of $318.3 million for the fiscal year ended January 31, 2023 was primarily due to cash paid for acquisition, net of cash acquired, of $120.6 million, purchases of property and equipment of $103.8 million, purchases of strategic investments of $69.1 million, net purchases of marketable securities of $13.9 million, and purchases of intangible assets of $11.3 million.</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of $2,859.1 million for the fiscal year ended January 31, 2022 was primarily due to net purchases of marketable securities of $2,404.8 million, purchases of strategic investments of $305.1 million, purchases of property and equipment of $132.6 million, purchases of intangible assets of $13.0 million, and cash paid for acquisition, net of cash acquired, of $3.5 million.</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of $936.9 million for the fiscal year ended January 31, 2023 was primarily due to cash paid for repurchases of common stock of $1.0 billion, offset by proceeds from issuance of common stock pursuant to our employee stock purchase plan (“ESPP”) of $53.7 million and proceeds from the exercise of stock options of $8.6 million.</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cash provided by financing activities of $34.1 million for the fiscal year ended January 31, 2022 was primarily due to proceeds from issuance of common stock pursuant to our ESPP of $59.3 million, proceeds from the exercise of stock options of $14.4 million, offset by proceeds from international employee stock sales remitted to employees and tax authorities of $40.0 million.</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For a discussion of the fiscal year ended January 31, 2021, please refer to Part II, Item 7, “Management's Discussion and Analysis of Financial Condition and Results of Operations” in our Annual Report on Form 10-K for the fiscal year ended January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Repurchase Program</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February 2022, our board of directors authorized a stock repurchase program of up to $1.0 billion of our Class A common, which was completed in December 2022. See Note 10 "Stockholders’ Equity and Equity Incentive Plans" of this Annual Report on Form 10-K for additional information related to share repurchases.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do not have any off-balance sheet arrangements as defined in Item 303(a)(4)(ii) of Regulation S-K promulgated by the SEC under the Securities Act.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believe that of our significant accounting policies, which are described in Note 1 “Summary of Business and Significant Accounting Policies” to our consolidated financial statements, the following critical estimates involve a greater degree of judgment and complexity.</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derive our revenue primarily from subscription agreements with customers for access to our unified communications and collaboration platform and services. We also provide other services, which include professional services, consulting services, and online event hosting, which were immaterial to our consolidated financial statements. Revenue is recognized when a customer obtains control of promised services. The amount of revenue recognized reflects the consideration that we expect to receive in exchange for these services over the contract term which can include a free period discount. We apply judgment during the identification of a contract to determine the customer’s ability and intent to pay, which is based on a variety of factors, including the customer’s historical payment experience or, in the case of a new customer, credit and financial information pertaining to the customer. 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Cost to Obtain a Contract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primarily capitalize sales commissions and associated payroll taxes paid to internal sales personnel that are incremental costs from the acquisition of customer contracts. These costs are recorded as deferred contract acquisition costs in the consolidated balance sheets. We determine whether costs should be deferred based on our sales compensation plans and if the commissions are incremental and would not have occurred absent the customer contract.</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Sales commissions paid upon the initial acquisition of a customer contract are amortized over an estimated period of benefit of three years, which is typically greater than the contractual terms of the customer contracts. Significant judgment is required in arriving at this estimated period of benefit. We determine the period of benefit for commissions paid for the acquisition of the initial customer contract by taking into consideration the initial estimated customer life and the technological life of our unified communications and collaboration platform and related significant features. We do not pay sales commissions upon contract renewal. Amortization is recognized on a straight-line basis commensurate with the pattern of revenue recognition.</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 and Valuation of Goodwill and Intangible Assets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6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Goodwill amounts are not amortized, but rather tested for impairment at least annually, in the fourth quarter of each fiscal year, or more often if circumstances indicate that the carrying value may not be recoverable. As of January 31, 2023, no impairment of goodwill has been identified.</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Intangible assets consist of acquired identifiable intangible assets resulting from business combinations, as well as other intangible assets purchased outside of a business combination. Finite-lived intangible assets are initially recorded at fair value and are amortized on a straight-line basis over their estimated useful lives. We routinely evaluate the estimated remaining useful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lives of our finite-lived intangible assets and whether events or changes in circumstances warrant a revision to the remaining period of amortization. Indefinite-lived intangible assets are recorded at fair value and are not amortized. We review the useful lives of indefinite-lived intangible assets each reporting period to determine whether events and circumstances continue to support the indefinite useful life classification. If we determine that the life of an intangible asset is no longer indefinite, that asset would be tested for impairment and amortized prospectively over its estimated remaining useful life. We have not recorded any impairment charges during the fiscal years presented.</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Accounting for strategic investments in privately held debt and equity securities in which we do not have a controlling interest or significant influence requires us to make significant estimates and assumptions.</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Valuations of privately held securities are inherently complex and require judgment due to the lack of readily available market data. Privately held debt and equity securities are valued using significant unobservable inputs or data in an inactive market. The valuation requires our judgment due to the absence of market prices and inherent lack of liquidity. The carrying values of our privately held equity securities are adjusted if there are observable price changes in a same or similar security from the same issuer or if there are identified events or changes in circumstances that may indicate impairment, as discussed below. In determining the estimated fair value of our strategic investments in privately held companies, we utilize the most recent data available, as adjusted to reflect the specific rights and preferences of those securities we hold.</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assess our privately held debt and equity securities strategic investment portfolio quarterly for indicators for impairment. Our impairment analysis encompasses a qualitative assessment evaluates key factors including but not limited to the investee’s financial metrics, market acceptance of the product or technology, and the rate at which the investee is using its cash. If the investment is considered to be impaired, we record the investment at fair value by recognizing an impairment through the consolidated statement of operations and establishing a new carrying value for the investment.</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privately held debt and equity securities we hold, and their rights and preferences relative to those of other securities within the capital structure, may impact the magnitude by which our investment value moves in relation to movement of the total enterprise value of the company. As a result, our investment value in a specific company may move by more or less than any change in the value of that overall company. An immediate decrease of ten percent in enterprise value of our largest privately held equity securities held as of January 31, 2023 would not have had a material impact on the value of our investment portfolio.</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use the asset and liability method of accounting for income taxes. Under this method, income tax expense is recognized based on the amount of taxes payable or refundable for the current year and deferred tax liabilities and assets for the future tax consequences of events that have been recognized in our consolidated financial statements or tax returns. We make assumptions, judgments and estimates to determine the current income tax provision (benefit), deferred tax asset and liabilities and valuation allowance recorded against a deferred tax asset. The assumptions, judgments and estimates relative to the current income tax provision (benefit) take into account current tax laws, their interpretation and possible results of foreign and domestic tax audits. Changes in tax law, their interpretation and resolution of tax audits could significantly impact the income taxes provided in our consolidated financial statements. Assumptions, judgments and estimates relative to the amount of deferred income taxes take into account future taxable income. Any of the assumptions, judgments and estimates mentioned above could cause the actual income tax obligations to differ from our estimates.</w:t>
      </w:r>
    </w:p>
    <w:p>
      <w:pPr>
        <w:spacing w:after="0" w:line="6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Critical accounting estimates and the related assumptions are evaluated periodically as conditions warrant, and changes to such estimates are recorded as new information or changed conditions require.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See “Summary of Business and Significant Accounting Policies” in Note 1 to our consolidated financial statements included in Part II, Item 8 of this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QUALITATIVE AND QUANTITATIVE DISCLOSURES ABOUT MARKET RISK</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and Exchange Risk</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majority of our cash generated from revenue is denominated in U.S. dollars, with a portion of our revenue from amounts denominated in foreign currencies. Our expenses are generally denominated in the currencies of the jurisdictions in which we conduct our operations, which are primarily in Australia, China, Europe and the United States. Our results of current and future operations and cash flows are, therefore, subject to fluctuations due to changes in foreign currency exchange rates. For the fiscal year ending January 31, 2023, 2022 and 2021, 20.0% , 22.6% and 20.2% of our revenue, respectively and 10.8%,</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16.8% and 11.9% of our expenses, respectively were denominated in currencies other than the U.S. dollar. The effect of a hypothetical 10% change in foreign currency exchange rates applicable to our business would not have had a material impact on our historical consolidated financial statements for the fiscal years ended January 31, 2023, 2022, and 2021.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had cash and cash equivalents of $1.1 billion and marketable securities of $4.3 billion as of January 31, 2023.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2023, 2022, and 2021.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90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786"/>
        </w:trPr>
        <w:tc>
          <w:tcPr>
            <w:tcW w:w="904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00" w:type="dxa"/>
            <w:vAlign w:val="bottom"/>
          </w:tcPr>
          <w:p>
            <w:pPr>
              <w:jc w:val="center"/>
              <w:ind w:right="1029"/>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00" w:type="dxa"/>
            <w:vAlign w:val="bottom"/>
          </w:tcPr>
          <w:p>
            <w:pPr>
              <w:jc w:val="center"/>
              <w:ind w:right="1029"/>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3"/>
        </w:trPr>
        <w:tc>
          <w:tcPr>
            <w:tcW w:w="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57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39"/>
        </w:trPr>
        <w:tc>
          <w:tcPr>
            <w:tcW w:w="20" w:type="dxa"/>
            <w:vAlign w:val="bottom"/>
            <w:shd w:val="clear" w:color="auto" w:fill="CCEEFF"/>
          </w:tcPr>
          <w:p>
            <w:pPr>
              <w:spacing w:after="0"/>
              <w:rPr>
                <w:sz w:val="12"/>
                <w:szCs w:val="12"/>
                <w:color w:val="auto"/>
              </w:rPr>
            </w:pPr>
          </w:p>
        </w:tc>
        <w:tc>
          <w:tcPr>
            <w:tcW w:w="3320" w:type="dxa"/>
            <w:vAlign w:val="bottom"/>
            <w:gridSpan w:val="7"/>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57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left="989"/>
              <w:spacing w:after="0" w:line="139" w:lineRule="exact"/>
              <w:rPr>
                <w:sz w:val="20"/>
                <w:szCs w:val="20"/>
                <w:color w:val="auto"/>
              </w:rPr>
            </w:pPr>
            <w:r>
              <w:rPr>
                <w:rFonts w:ascii="Times New Roman" w:cs="Times New Roman" w:eastAsia="Times New Roman" w:hAnsi="Times New Roman"/>
                <w:sz w:val="14"/>
                <w:szCs w:val="14"/>
                <w:color w:val="0000FF"/>
                <w:w w:val="99"/>
              </w:rPr>
              <w:t>63</w:t>
            </w:r>
          </w:p>
        </w:tc>
        <w:tc>
          <w:tcPr>
            <w:tcW w:w="1040" w:type="dxa"/>
            <w:vAlign w:val="bottom"/>
            <w:shd w:val="clear" w:color="auto" w:fill="CCEEFF"/>
          </w:tcPr>
          <w:p>
            <w:pPr>
              <w:spacing w:after="0"/>
              <w:rPr>
                <w:sz w:val="12"/>
                <w:szCs w:val="12"/>
                <w:color w:val="auto"/>
              </w:rPr>
            </w:pPr>
          </w:p>
        </w:tc>
      </w:tr>
      <w:tr>
        <w:trPr>
          <w:trHeight w:val="32"/>
        </w:trPr>
        <w:tc>
          <w:tcPr>
            <w:tcW w:w="20" w:type="dxa"/>
            <w:vAlign w:val="bottom"/>
            <w:shd w:val="clear" w:color="auto" w:fill="CCEE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0000FF"/>
              </w:rPr>
              <w:t>Consolidated Balance Sheets</w:t>
            </w:r>
          </w:p>
        </w:tc>
        <w:tc>
          <w:tcPr>
            <w:tcW w:w="5700" w:type="dxa"/>
            <w:vAlign w:val="bottom"/>
          </w:tcPr>
          <w:p>
            <w:pPr>
              <w:spacing w:after="0"/>
              <w:rPr>
                <w:sz w:val="12"/>
                <w:szCs w:val="12"/>
                <w:color w:val="auto"/>
              </w:rPr>
            </w:pPr>
          </w:p>
        </w:tc>
        <w:tc>
          <w:tcPr>
            <w:tcW w:w="1200" w:type="dxa"/>
            <w:vAlign w:val="bottom"/>
            <w:gridSpan w:val="2"/>
          </w:tcPr>
          <w:p>
            <w:pPr>
              <w:jc w:val="center"/>
              <w:ind w:left="989"/>
              <w:spacing w:after="0" w:line="149" w:lineRule="exact"/>
              <w:rPr>
                <w:sz w:val="20"/>
                <w:szCs w:val="20"/>
                <w:color w:val="auto"/>
              </w:rPr>
            </w:pPr>
            <w:r>
              <w:rPr>
                <w:rFonts w:ascii="Times New Roman" w:cs="Times New Roman" w:eastAsia="Times New Roman" w:hAnsi="Times New Roman"/>
                <w:sz w:val="14"/>
                <w:szCs w:val="14"/>
                <w:color w:val="0000FF"/>
                <w:w w:val="99"/>
              </w:rPr>
              <w:t>65</w:t>
            </w:r>
          </w:p>
        </w:tc>
        <w:tc>
          <w:tcPr>
            <w:tcW w:w="10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902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Operations</w:t>
            </w:r>
          </w:p>
        </w:tc>
        <w:tc>
          <w:tcPr>
            <w:tcW w:w="1200" w:type="dxa"/>
            <w:vAlign w:val="bottom"/>
            <w:gridSpan w:val="2"/>
            <w:shd w:val="clear" w:color="auto" w:fill="CCEEFF"/>
          </w:tcPr>
          <w:p>
            <w:pPr>
              <w:jc w:val="center"/>
              <w:ind w:left="989"/>
              <w:spacing w:after="0" w:line="155" w:lineRule="exact"/>
              <w:rPr>
                <w:sz w:val="20"/>
                <w:szCs w:val="20"/>
                <w:color w:val="auto"/>
              </w:rPr>
            </w:pPr>
            <w:r>
              <w:rPr>
                <w:rFonts w:ascii="Times New Roman" w:cs="Times New Roman" w:eastAsia="Times New Roman" w:hAnsi="Times New Roman"/>
                <w:sz w:val="14"/>
                <w:szCs w:val="14"/>
                <w:color w:val="0000FF"/>
                <w:w w:val="99"/>
              </w:rPr>
              <w:t>66</w:t>
            </w:r>
          </w:p>
        </w:tc>
        <w:tc>
          <w:tcPr>
            <w:tcW w:w="104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20" w:type="dxa"/>
            <w:vAlign w:val="bottom"/>
            <w:tcBorders>
              <w:right w:val="single" w:sz="8" w:color="CCEE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294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6080" w:type="dxa"/>
            <w:vAlign w:val="bottom"/>
            <w:gridSpan w:val="2"/>
          </w:tcPr>
          <w:p>
            <w:pPr>
              <w:spacing w:after="0"/>
              <w:rPr>
                <w:sz w:val="12"/>
                <w:szCs w:val="12"/>
                <w:color w:val="auto"/>
              </w:rPr>
            </w:pPr>
          </w:p>
        </w:tc>
        <w:tc>
          <w:tcPr>
            <w:tcW w:w="1200" w:type="dxa"/>
            <w:vAlign w:val="bottom"/>
            <w:gridSpan w:val="2"/>
          </w:tcPr>
          <w:p>
            <w:pPr>
              <w:jc w:val="center"/>
              <w:ind w:left="989"/>
              <w:spacing w:after="0" w:line="149" w:lineRule="exact"/>
              <w:rPr>
                <w:sz w:val="20"/>
                <w:szCs w:val="20"/>
                <w:color w:val="auto"/>
              </w:rPr>
            </w:pPr>
            <w:r>
              <w:rPr>
                <w:rFonts w:ascii="Times New Roman" w:cs="Times New Roman" w:eastAsia="Times New Roman" w:hAnsi="Times New Roman"/>
                <w:sz w:val="14"/>
                <w:szCs w:val="14"/>
                <w:color w:val="0000FF"/>
                <w:w w:val="99"/>
              </w:rPr>
              <w:t>67</w:t>
            </w:r>
          </w:p>
        </w:tc>
        <w:tc>
          <w:tcPr>
            <w:tcW w:w="10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2940" w:type="dxa"/>
            <w:vAlign w:val="bottom"/>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6080" w:type="dxa"/>
            <w:vAlign w:val="bottom"/>
            <w:gridSpan w:val="2"/>
            <w:shd w:val="clear" w:color="auto" w:fill="CCEEFF"/>
          </w:tcPr>
          <w:p>
            <w:pPr>
              <w:spacing w:after="0"/>
              <w:rPr>
                <w:sz w:val="13"/>
                <w:szCs w:val="13"/>
                <w:color w:val="auto"/>
              </w:rPr>
            </w:pPr>
          </w:p>
        </w:tc>
        <w:tc>
          <w:tcPr>
            <w:tcW w:w="1200" w:type="dxa"/>
            <w:vAlign w:val="bottom"/>
            <w:gridSpan w:val="2"/>
            <w:shd w:val="clear" w:color="auto" w:fill="CCEEFF"/>
          </w:tcPr>
          <w:p>
            <w:pPr>
              <w:jc w:val="center"/>
              <w:ind w:left="989"/>
              <w:spacing w:after="0" w:line="155" w:lineRule="exact"/>
              <w:rPr>
                <w:sz w:val="20"/>
                <w:szCs w:val="20"/>
                <w:color w:val="auto"/>
              </w:rPr>
            </w:pPr>
            <w:r>
              <w:rPr>
                <w:rFonts w:ascii="Times New Roman" w:cs="Times New Roman" w:eastAsia="Times New Roman" w:hAnsi="Times New Roman"/>
                <w:sz w:val="14"/>
                <w:szCs w:val="14"/>
                <w:color w:val="0000FF"/>
                <w:w w:val="99"/>
              </w:rPr>
              <w:t>68</w:t>
            </w:r>
          </w:p>
        </w:tc>
        <w:tc>
          <w:tcPr>
            <w:tcW w:w="104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2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w w:val="99"/>
              </w:rPr>
              <w:t>Consolidated Statements of Cash Flows</w:t>
            </w:r>
          </w:p>
        </w:tc>
        <w:tc>
          <w:tcPr>
            <w:tcW w:w="520" w:type="dxa"/>
            <w:vAlign w:val="bottom"/>
            <w:gridSpan w:val="2"/>
          </w:tcPr>
          <w:p>
            <w:pPr>
              <w:spacing w:after="0"/>
              <w:rPr>
                <w:sz w:val="12"/>
                <w:szCs w:val="12"/>
                <w:color w:val="auto"/>
              </w:rPr>
            </w:pPr>
          </w:p>
        </w:tc>
        <w:tc>
          <w:tcPr>
            <w:tcW w:w="6240" w:type="dxa"/>
            <w:vAlign w:val="bottom"/>
            <w:gridSpan w:val="3"/>
          </w:tcPr>
          <w:p>
            <w:pPr>
              <w:spacing w:after="0"/>
              <w:rPr>
                <w:sz w:val="12"/>
                <w:szCs w:val="12"/>
                <w:color w:val="auto"/>
              </w:rPr>
            </w:pPr>
          </w:p>
        </w:tc>
        <w:tc>
          <w:tcPr>
            <w:tcW w:w="1200" w:type="dxa"/>
            <w:vAlign w:val="bottom"/>
            <w:gridSpan w:val="2"/>
          </w:tcPr>
          <w:p>
            <w:pPr>
              <w:jc w:val="center"/>
              <w:ind w:left="989"/>
              <w:spacing w:after="0" w:line="149" w:lineRule="exact"/>
              <w:rPr>
                <w:sz w:val="20"/>
                <w:szCs w:val="20"/>
                <w:color w:val="auto"/>
              </w:rPr>
            </w:pPr>
            <w:r>
              <w:rPr>
                <w:rFonts w:ascii="Times New Roman" w:cs="Times New Roman" w:eastAsia="Times New Roman" w:hAnsi="Times New Roman"/>
                <w:sz w:val="14"/>
                <w:szCs w:val="14"/>
                <w:color w:val="0000FF"/>
                <w:w w:val="99"/>
              </w:rPr>
              <w:t>69</w:t>
            </w:r>
          </w:p>
        </w:tc>
        <w:tc>
          <w:tcPr>
            <w:tcW w:w="10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2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40" w:type="dxa"/>
            <w:vAlign w:val="bottom"/>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248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6540" w:type="dxa"/>
            <w:vAlign w:val="bottom"/>
            <w:gridSpan w:val="4"/>
            <w:shd w:val="clear" w:color="auto" w:fill="CCEEFF"/>
          </w:tcPr>
          <w:p>
            <w:pPr>
              <w:spacing w:after="0"/>
              <w:rPr>
                <w:sz w:val="14"/>
                <w:szCs w:val="14"/>
                <w:color w:val="auto"/>
              </w:rPr>
            </w:pPr>
          </w:p>
        </w:tc>
        <w:tc>
          <w:tcPr>
            <w:tcW w:w="1200" w:type="dxa"/>
            <w:vAlign w:val="bottom"/>
            <w:gridSpan w:val="2"/>
            <w:shd w:val="clear" w:color="auto" w:fill="CCEEFF"/>
          </w:tcPr>
          <w:p>
            <w:pPr>
              <w:jc w:val="center"/>
              <w:ind w:left="989"/>
              <w:spacing w:after="0" w:line="155" w:lineRule="exact"/>
              <w:rPr>
                <w:sz w:val="20"/>
                <w:szCs w:val="20"/>
                <w:color w:val="auto"/>
              </w:rPr>
            </w:pPr>
            <w:r>
              <w:rPr>
                <w:rFonts w:ascii="Times New Roman" w:cs="Times New Roman" w:eastAsia="Times New Roman" w:hAnsi="Times New Roman"/>
                <w:sz w:val="14"/>
                <w:szCs w:val="14"/>
                <w:color w:val="0000FF"/>
                <w:w w:val="99"/>
              </w:rPr>
              <w:t>71</w:t>
            </w:r>
          </w:p>
        </w:tc>
        <w:tc>
          <w:tcPr>
            <w:tcW w:w="1040" w:type="dxa"/>
            <w:vAlign w:val="bottom"/>
            <w:shd w:val="clear" w:color="auto" w:fill="CCEEFF"/>
          </w:tcPr>
          <w:p>
            <w:pPr>
              <w:spacing w:after="0"/>
              <w:rPr>
                <w:sz w:val="14"/>
                <w:szCs w:val="14"/>
                <w:color w:val="auto"/>
              </w:rPr>
            </w:pPr>
          </w:p>
        </w:tc>
      </w:tr>
      <w:tr>
        <w:trPr>
          <w:trHeight w:val="870"/>
        </w:trPr>
        <w:tc>
          <w:tcPr>
            <w:tcW w:w="20" w:type="dxa"/>
            <w:vAlign w:val="bottom"/>
            <w:tcBorders>
              <w:top w:val="single" w:sz="8" w:color="CCEEFF"/>
            </w:tcBorders>
          </w:tcPr>
          <w:p>
            <w:pPr>
              <w:spacing w:after="0"/>
              <w:rPr>
                <w:sz w:val="24"/>
                <w:szCs w:val="24"/>
                <w:color w:val="auto"/>
              </w:rPr>
            </w:pPr>
          </w:p>
        </w:tc>
        <w:tc>
          <w:tcPr>
            <w:tcW w:w="2480" w:type="dxa"/>
            <w:vAlign w:val="bottom"/>
            <w:tcBorders>
              <w:top w:val="single" w:sz="8" w:color="0000FF"/>
            </w:tcBorders>
            <w:gridSpan w:val="4"/>
          </w:tcPr>
          <w:p>
            <w:pPr>
              <w:spacing w:after="0"/>
              <w:rPr>
                <w:sz w:val="24"/>
                <w:szCs w:val="24"/>
                <w:color w:val="auto"/>
              </w:rPr>
            </w:pPr>
          </w:p>
        </w:tc>
        <w:tc>
          <w:tcPr>
            <w:tcW w:w="6540" w:type="dxa"/>
            <w:vAlign w:val="bottom"/>
            <w:tcBorders>
              <w:top w:val="single" w:sz="8" w:color="CCEEFF"/>
            </w:tcBorders>
            <w:gridSpan w:val="4"/>
          </w:tcPr>
          <w:p>
            <w:pPr>
              <w:jc w:val="center"/>
              <w:ind w:right="169"/>
              <w:spacing w:after="0"/>
              <w:rPr>
                <w:sz w:val="20"/>
                <w:szCs w:val="20"/>
                <w:color w:val="auto"/>
              </w:rPr>
            </w:pPr>
            <w:r>
              <w:rPr>
                <w:rFonts w:ascii="Times New Roman" w:cs="Times New Roman" w:eastAsia="Times New Roman" w:hAnsi="Times New Roman"/>
                <w:sz w:val="14"/>
                <w:szCs w:val="14"/>
                <w:color w:val="auto"/>
                <w:w w:val="99"/>
              </w:rPr>
              <w:t>62</w:t>
            </w:r>
          </w:p>
        </w:tc>
        <w:tc>
          <w:tcPr>
            <w:tcW w:w="106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7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Zoom Video Communications,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Consolidated Financial Statements and Internal Control Over Financial Reporting</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Zoom Video Communications, Inc. and subsidiaries (the Company) as of January 31, 2023 and 2022, the related consolidated statements of operations, comprehensive income, stockholders’ equity, and cash flows for each of the years in the three-year period ended January 31, 2023, and the related notes and financial statement schedule II: valuation and qualifying accounts (collectively, the consolidated financial statements). We also have audited the Company’s internal control over financial reporting as of January 31, 2023, based on criteria established in Internal Control – Integrated Framework (2013) issued by the Committee of Sponsoring Organizations of the Treadway Commission.</w:t>
      </w:r>
    </w:p>
    <w:p>
      <w:pPr>
        <w:spacing w:after="0" w:line="16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our opinion, the consolidated financial statements referred to above present fairly, in all material respects, the financial position of the Company as of January 31, 2023 and 2022, and the results of its operations and its cash flows for each of the years in the three-year period ended January 31, 2023, in conformity with U.S. generally accepted accounting principles. Also in our opinion, the Company maintained, in all material respects, effective internal control over financial reporting as of January 31, 2023 based on criteria established in Internal Control – Integrated Framework (2013) issued by the Committee of Sponsoring Organizations of the Treadway Commission.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19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2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20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u w:val="single" w:color="auto"/>
          <w:color w:val="auto"/>
        </w:rPr>
        <w:t>Sufficiency of Audit Evidence Over Revenue</w:t>
      </w:r>
    </w:p>
    <w:p>
      <w:pPr>
        <w:spacing w:after="0" w:line="202" w:lineRule="exact"/>
        <w:rPr>
          <w:sz w:val="20"/>
          <w:szCs w:val="20"/>
          <w:color w:val="auto"/>
        </w:rPr>
      </w:pPr>
    </w:p>
    <w:p>
      <w:pPr>
        <w:jc w:val="both"/>
        <w:ind w:left="520" w:firstLine="509"/>
        <w:spacing w:after="0" w:line="287" w:lineRule="auto"/>
        <w:rPr>
          <w:sz w:val="20"/>
          <w:szCs w:val="20"/>
          <w:color w:val="auto"/>
        </w:rPr>
      </w:pPr>
      <w:r>
        <w:rPr>
          <w:rFonts w:ascii="Times New Roman" w:cs="Times New Roman" w:eastAsia="Times New Roman" w:hAnsi="Times New Roman"/>
          <w:sz w:val="14"/>
          <w:szCs w:val="14"/>
          <w:color w:val="auto"/>
        </w:rPr>
        <w:t>As discussed in Notes 1 and 2 to the consolidated financial statements, the Company’s revenue is principally derived from the sale of subscriptions to the Company’s video communications platform. The Company recorded $4,393 million of revenue for the year ended January 31, 2023.</w:t>
      </w:r>
    </w:p>
    <w:p>
      <w:pPr>
        <w:spacing w:after="0" w:line="145" w:lineRule="exact"/>
        <w:rPr>
          <w:sz w:val="20"/>
          <w:szCs w:val="20"/>
          <w:color w:val="auto"/>
        </w:rPr>
      </w:pPr>
    </w:p>
    <w:p>
      <w:pPr>
        <w:jc w:val="both"/>
        <w:ind w:left="520" w:firstLine="509"/>
        <w:spacing w:after="0" w:line="270" w:lineRule="auto"/>
        <w:rPr>
          <w:sz w:val="20"/>
          <w:szCs w:val="20"/>
          <w:color w:val="auto"/>
        </w:rPr>
      </w:pPr>
      <w:r>
        <w:rPr>
          <w:rFonts w:ascii="Times New Roman" w:cs="Times New Roman" w:eastAsia="Times New Roman" w:hAnsi="Times New Roman"/>
          <w:sz w:val="14"/>
          <w:szCs w:val="14"/>
          <w:color w:val="auto"/>
        </w:rPr>
        <w:t>We identified the evaluation of sufficiency of audit evidence over revenue as a critical audit matter. This matter required especially subjective auditor judgment because the Company’s revenue recognition process is highly automated and is reliant upon a number of customized and proprietary information technology (IT) systems. Involvement of IT professionals with specialized skills and knowledge was required to assist with the performance of certain procedures and determination of IT applications subject to testing.</w:t>
      </w:r>
    </w:p>
    <w:p>
      <w:pPr>
        <w:spacing w:after="0" w:line="157" w:lineRule="exact"/>
        <w:rPr>
          <w:sz w:val="20"/>
          <w:szCs w:val="20"/>
          <w:color w:val="auto"/>
        </w:rPr>
      </w:pPr>
    </w:p>
    <w:p>
      <w:pPr>
        <w:jc w:val="both"/>
        <w:ind w:left="520" w:firstLine="509"/>
        <w:spacing w:after="0" w:line="257"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applied auditor judgment to determine the nature and extent of procedures to be performed over revenue. We evaluated the design and tested the operating effectiveness of certain internal controls related to revenue recognition. This included certain controls related to the Company’s general information technology and application controls related to the systems utilized within the Company’s revenue recognition process. We involved IT professionals with specialized skills and knowledge, who assisted in testing the IT controls of the various systems interacting with the Company’s revenue recognition process. We recalculated revenue for system-generated sales transactions during the year using a software audit tool. For a sample of transactions, we compared the amounts recognized for consistency with underlying documentation, including contracts with customers and cash receipts. Additionally, for the same sample of transactions, we recalculated the amount of revenue recognized in the period based on the terms of the arrangement and the satisfaction of the underlying performance obligation. In addition, we evaluated the sufficiency of audit evidence obtained over revenue by assessing the results of procedures performed.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 2023</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8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55"/>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1,086,830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1,062,820</w:t>
            </w:r>
          </w:p>
        </w:tc>
        <w:tc>
          <w:tcPr>
            <w:tcW w:w="0" w:type="dxa"/>
            <w:vAlign w:val="bottom"/>
          </w:tcPr>
          <w:p>
            <w:pPr>
              <w:spacing w:after="0"/>
              <w:rPr>
                <w:sz w:val="1"/>
                <w:szCs w:val="1"/>
                <w:color w:val="auto"/>
              </w:rPr>
            </w:pPr>
          </w:p>
        </w:tc>
      </w:tr>
      <w:tr>
        <w:trPr>
          <w:trHeight w:val="168"/>
        </w:trPr>
        <w:tc>
          <w:tcPr>
            <w:tcW w:w="7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Marketable securities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4,325,836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4,356,446</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receivable, net of allowances of $33,206 and $24,696 as of January 31, 2023 and 2022, respectively</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557,404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419,673</w:t>
            </w:r>
          </w:p>
        </w:tc>
        <w:tc>
          <w:tcPr>
            <w:tcW w:w="0" w:type="dxa"/>
            <w:vAlign w:val="bottom"/>
          </w:tcPr>
          <w:p>
            <w:pPr>
              <w:spacing w:after="0"/>
              <w:rPr>
                <w:sz w:val="1"/>
                <w:szCs w:val="1"/>
                <w:color w:val="auto"/>
              </w:rPr>
            </w:pPr>
          </w:p>
        </w:tc>
      </w:tr>
      <w:tr>
        <w:trPr>
          <w:trHeight w:val="168"/>
        </w:trPr>
        <w:tc>
          <w:tcPr>
            <w:tcW w:w="7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contract acquisition costs, current</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223,250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199,266</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163,092</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145,602</w:t>
            </w:r>
          </w:p>
        </w:tc>
        <w:tc>
          <w:tcPr>
            <w:tcW w:w="0" w:type="dxa"/>
            <w:vAlign w:val="bottom"/>
          </w:tcPr>
          <w:p>
            <w:pPr>
              <w:spacing w:after="0"/>
              <w:rPr>
                <w:sz w:val="1"/>
                <w:szCs w:val="1"/>
                <w:color w:val="auto"/>
              </w:rPr>
            </w:pPr>
          </w:p>
        </w:tc>
      </w:tr>
      <w:tr>
        <w:trPr>
          <w:trHeight w:val="158"/>
        </w:trPr>
        <w:tc>
          <w:tcPr>
            <w:tcW w:w="78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Total current assets</w:t>
            </w:r>
          </w:p>
        </w:tc>
        <w:tc>
          <w:tcPr>
            <w:tcW w:w="10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6,356,412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6,183,807</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contract acquisition costs, noncurrent</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179,991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164,714</w:t>
            </w: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252,821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222,354</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80,906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95,965</w:t>
            </w: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Strategic investments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398,992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367,814</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122,641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27,607</w:t>
            </w: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558,428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382,296</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 noncurrent</w:t>
            </w:r>
          </w:p>
        </w:tc>
        <w:tc>
          <w:tcPr>
            <w:tcW w:w="10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177,874</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106,761</w:t>
            </w:r>
          </w:p>
        </w:tc>
        <w:tc>
          <w:tcPr>
            <w:tcW w:w="0" w:type="dxa"/>
            <w:vAlign w:val="bottom"/>
          </w:tcPr>
          <w:p>
            <w:pPr>
              <w:spacing w:after="0"/>
              <w:rPr>
                <w:sz w:val="1"/>
                <w:szCs w:val="1"/>
                <w:color w:val="auto"/>
              </w:rPr>
            </w:pPr>
          </w:p>
        </w:tc>
      </w:tr>
      <w:tr>
        <w:trPr>
          <w:trHeight w:val="158"/>
        </w:trPr>
        <w:tc>
          <w:tcPr>
            <w:tcW w:w="78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Total assets</w:t>
            </w:r>
          </w:p>
        </w:tc>
        <w:tc>
          <w:tcPr>
            <w:tcW w:w="100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8,128,065</w:t>
            </w: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7,551,318</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0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100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7,841</w:t>
            </w:r>
          </w:p>
        </w:tc>
        <w:tc>
          <w:tcPr>
            <w:tcW w:w="0" w:type="dxa"/>
            <w:vAlign w:val="bottom"/>
          </w:tcPr>
          <w:p>
            <w:pPr>
              <w:spacing w:after="0"/>
              <w:rPr>
                <w:sz w:val="1"/>
                <w:szCs w:val="1"/>
                <w:color w:val="auto"/>
              </w:rPr>
            </w:pPr>
          </w:p>
        </w:tc>
      </w:tr>
      <w:tr>
        <w:trPr>
          <w:trHeight w:val="168"/>
        </w:trPr>
        <w:tc>
          <w:tcPr>
            <w:tcW w:w="78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457,716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430,415</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Deferred revenue, current</w:t>
            </w:r>
          </w:p>
        </w:tc>
        <w:tc>
          <w:tcPr>
            <w:tcW w:w="10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1,266,514</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1,141,435</w:t>
            </w:r>
          </w:p>
        </w:tc>
        <w:tc>
          <w:tcPr>
            <w:tcW w:w="0" w:type="dxa"/>
            <w:vAlign w:val="bottom"/>
          </w:tcPr>
          <w:p>
            <w:pPr>
              <w:spacing w:after="0"/>
              <w:rPr>
                <w:sz w:val="1"/>
                <w:szCs w:val="1"/>
                <w:color w:val="auto"/>
              </w:rPr>
            </w:pPr>
          </w:p>
        </w:tc>
      </w:tr>
      <w:tr>
        <w:trPr>
          <w:trHeight w:val="158"/>
        </w:trPr>
        <w:tc>
          <w:tcPr>
            <w:tcW w:w="78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Total current liabilities</w:t>
            </w:r>
          </w:p>
        </w:tc>
        <w:tc>
          <w:tcPr>
            <w:tcW w:w="10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1,738,644</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1,579,691</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 noncurrent</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41,932</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38,481</w:t>
            </w: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73,687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85,018</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 noncurrent</w:t>
            </w:r>
          </w:p>
        </w:tc>
        <w:tc>
          <w:tcPr>
            <w:tcW w:w="10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67,195</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68,110</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CEEFF"/>
            </w:tcBorders>
          </w:tcPr>
          <w:p>
            <w:pPr>
              <w:spacing w:after="0" w:line="146" w:lineRule="exact"/>
              <w:rPr>
                <w:sz w:val="20"/>
                <w:szCs w:val="20"/>
                <w:color w:val="auto"/>
              </w:rPr>
            </w:pPr>
            <w:r>
              <w:rPr>
                <w:rFonts w:ascii="Times New Roman" w:cs="Times New Roman" w:eastAsia="Times New Roman" w:hAnsi="Times New Roman"/>
                <w:sz w:val="13"/>
                <w:szCs w:val="13"/>
                <w:color w:val="auto"/>
              </w:rPr>
              <w:t>Total liabilities</w:t>
            </w:r>
          </w:p>
        </w:tc>
        <w:tc>
          <w:tcPr>
            <w:tcW w:w="10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1,921,458</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1,771,300</w:t>
            </w:r>
          </w:p>
        </w:tc>
        <w:tc>
          <w:tcPr>
            <w:tcW w:w="0" w:type="dxa"/>
            <w:vAlign w:val="bottom"/>
          </w:tcPr>
          <w:p>
            <w:pPr>
              <w:spacing w:after="0"/>
              <w:rPr>
                <w:sz w:val="1"/>
                <w:szCs w:val="1"/>
                <w:color w:val="auto"/>
              </w:rPr>
            </w:pPr>
          </w:p>
        </w:tc>
      </w:tr>
      <w:tr>
        <w:trPr>
          <w:trHeight w:val="152"/>
        </w:trPr>
        <w:tc>
          <w:tcPr>
            <w:tcW w:w="7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Commitments and contingencies (Note 9)</w:t>
            </w:r>
          </w:p>
        </w:tc>
        <w:tc>
          <w:tcPr>
            <w:tcW w:w="10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4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4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w w:val="98"/>
              </w:rPr>
              <w:t>Preferred stock, $0.001 par value per share, 200,000,000 shares authorized as of January 31, 2023 and 2022; zero shares issued and outstanding as of</w:t>
            </w:r>
          </w:p>
        </w:tc>
        <w:tc>
          <w:tcPr>
            <w:tcW w:w="10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January 31, 2023 and 2022</w:t>
            </w:r>
          </w:p>
        </w:tc>
        <w:tc>
          <w:tcPr>
            <w:tcW w:w="10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84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auto"/>
                <w:w w:val="98"/>
              </w:rPr>
              <w:t>Common stock, $0.001 par value per share, 2,000,000,000 Class A shares authorized as of January 31, 2023 and 2022; 247,151,956 and 247,044,454</w:t>
            </w:r>
          </w:p>
        </w:tc>
        <w:tc>
          <w:tcPr>
            <w:tcW w:w="1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4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auto"/>
                <w:w w:val="97"/>
              </w:rPr>
              <w:t>shares issued and outstanding as of January 31, 2023 and 2022, respectively; 300,000,000 Class B shares authorized as of January 31, 2023 and 2022;</w:t>
            </w:r>
          </w:p>
        </w:tc>
        <w:tc>
          <w:tcPr>
            <w:tcW w:w="10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0" w:type="dxa"/>
            <w:vAlign w:val="bottom"/>
          </w:tcPr>
          <w:p>
            <w:pPr>
              <w:spacing w:after="0"/>
              <w:rPr>
                <w:sz w:val="1"/>
                <w:szCs w:val="1"/>
                <w:color w:val="auto"/>
              </w:rPr>
            </w:pPr>
          </w:p>
        </w:tc>
      </w:tr>
      <w:tr>
        <w:trPr>
          <w:trHeight w:val="168"/>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46,670,894 and 51,993,351 shares issued and outstanding as of January 31, 2023 and 2022, respectively</w:t>
            </w:r>
          </w:p>
        </w:tc>
        <w:tc>
          <w:tcPr>
            <w:tcW w:w="10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4,104,880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3,749,514</w:t>
            </w:r>
          </w:p>
        </w:tc>
        <w:tc>
          <w:tcPr>
            <w:tcW w:w="0" w:type="dxa"/>
            <w:vAlign w:val="bottom"/>
          </w:tcPr>
          <w:p>
            <w:pPr>
              <w:spacing w:after="0"/>
              <w:rPr>
                <w:sz w:val="1"/>
                <w:szCs w:val="1"/>
                <w:color w:val="auto"/>
              </w:rPr>
            </w:pPr>
          </w:p>
        </w:tc>
      </w:tr>
      <w:tr>
        <w:trPr>
          <w:trHeight w:val="168"/>
        </w:trPr>
        <w:tc>
          <w:tcPr>
            <w:tcW w:w="7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(50,385)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(17,902)</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Retained earnings</w:t>
            </w:r>
          </w:p>
        </w:tc>
        <w:tc>
          <w:tcPr>
            <w:tcW w:w="10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2,151,818</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2,048,107</w:t>
            </w:r>
          </w:p>
        </w:tc>
        <w:tc>
          <w:tcPr>
            <w:tcW w:w="0" w:type="dxa"/>
            <w:vAlign w:val="bottom"/>
          </w:tcPr>
          <w:p>
            <w:pPr>
              <w:spacing w:after="0"/>
              <w:rPr>
                <w:sz w:val="1"/>
                <w:szCs w:val="1"/>
                <w:color w:val="auto"/>
              </w:rPr>
            </w:pPr>
          </w:p>
        </w:tc>
      </w:tr>
      <w:tr>
        <w:trPr>
          <w:trHeight w:val="158"/>
        </w:trPr>
        <w:tc>
          <w:tcPr>
            <w:tcW w:w="7840" w:type="dxa"/>
            <w:vAlign w:val="bottom"/>
            <w:tcBorders>
              <w:bottom w:val="single" w:sz="8" w:color="CCEEFF"/>
            </w:tcBorders>
          </w:tcPr>
          <w:p>
            <w:pPr>
              <w:spacing w:after="0" w:line="146" w:lineRule="exact"/>
              <w:rPr>
                <w:sz w:val="20"/>
                <w:szCs w:val="20"/>
                <w:color w:val="auto"/>
              </w:rPr>
            </w:pPr>
            <w:r>
              <w:rPr>
                <w:rFonts w:ascii="Times New Roman" w:cs="Times New Roman" w:eastAsia="Times New Roman" w:hAnsi="Times New Roman"/>
                <w:sz w:val="13"/>
                <w:szCs w:val="13"/>
                <w:color w:val="auto"/>
              </w:rPr>
              <w:t>Total stockholders’ equity</w:t>
            </w:r>
          </w:p>
        </w:tc>
        <w:tc>
          <w:tcPr>
            <w:tcW w:w="10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6,206,607</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5,780,018</w:t>
            </w:r>
          </w:p>
        </w:tc>
        <w:tc>
          <w:tcPr>
            <w:tcW w:w="0" w:type="dxa"/>
            <w:vAlign w:val="bottom"/>
          </w:tcPr>
          <w:p>
            <w:pPr>
              <w:spacing w:after="0"/>
              <w:rPr>
                <w:sz w:val="1"/>
                <w:szCs w:val="1"/>
                <w:color w:val="auto"/>
              </w:rPr>
            </w:pPr>
          </w:p>
        </w:tc>
      </w:tr>
      <w:tr>
        <w:trPr>
          <w:trHeight w:val="185"/>
        </w:trPr>
        <w:tc>
          <w:tcPr>
            <w:tcW w:w="784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1000" w:type="dxa"/>
            <w:vAlign w:val="bottom"/>
            <w:tcBorders>
              <w:bottom w:val="single" w:sz="8" w:color="auto"/>
            </w:tcBorders>
            <w:shd w:val="clear" w:color="auto" w:fill="CCEEFF"/>
          </w:tcPr>
          <w:p>
            <w:pPr>
              <w:jc w:val="right"/>
              <w:ind w:right="85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8,128,065</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7,551,318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7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0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4,392,960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4,099,864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2,651,368</w:t>
            </w:r>
          </w:p>
        </w:tc>
        <w:tc>
          <w:tcPr>
            <w:tcW w:w="0" w:type="dxa"/>
            <w:vAlign w:val="bottom"/>
          </w:tcPr>
          <w:p>
            <w:pPr>
              <w:spacing w:after="0"/>
              <w:rPr>
                <w:sz w:val="1"/>
                <w:szCs w:val="1"/>
                <w:color w:val="auto"/>
              </w:rPr>
            </w:pPr>
          </w:p>
        </w:tc>
      </w:tr>
      <w:tr>
        <w:trPr>
          <w:trHeight w:val="18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0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1,100,451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1,054,554</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821,989</w:t>
            </w:r>
          </w:p>
        </w:tc>
        <w:tc>
          <w:tcPr>
            <w:tcW w:w="0" w:type="dxa"/>
            <w:vAlign w:val="bottom"/>
          </w:tcPr>
          <w:p>
            <w:pPr>
              <w:spacing w:after="0"/>
              <w:rPr>
                <w:sz w:val="1"/>
                <w:szCs w:val="1"/>
                <w:color w:val="auto"/>
              </w:rPr>
            </w:pPr>
          </w:p>
        </w:tc>
      </w:tr>
      <w:tr>
        <w:trPr>
          <w:trHeight w:val="17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0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3,292,509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3,045,310</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1,829,379</w:t>
            </w:r>
          </w:p>
        </w:tc>
        <w:tc>
          <w:tcPr>
            <w:tcW w:w="0" w:type="dxa"/>
            <w:vAlign w:val="bottom"/>
          </w:tcPr>
          <w:p>
            <w:pPr>
              <w:spacing w:after="0"/>
              <w:rPr>
                <w:sz w:val="1"/>
                <w:szCs w:val="1"/>
                <w:color w:val="auto"/>
              </w:rPr>
            </w:pPr>
          </w:p>
        </w:tc>
      </w:tr>
      <w:tr>
        <w:trPr>
          <w:trHeight w:val="16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774,059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362,990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164,080</w:t>
            </w:r>
          </w:p>
        </w:tc>
        <w:tc>
          <w:tcPr>
            <w:tcW w:w="0" w:type="dxa"/>
            <w:vAlign w:val="bottom"/>
          </w:tcPr>
          <w:p>
            <w:pPr>
              <w:spacing w:after="0"/>
              <w:rPr>
                <w:sz w:val="1"/>
                <w:szCs w:val="1"/>
                <w:color w:val="auto"/>
              </w:rPr>
            </w:pPr>
          </w:p>
        </w:tc>
      </w:tr>
      <w:tr>
        <w:trPr>
          <w:trHeight w:val="180"/>
        </w:trPr>
        <w:tc>
          <w:tcPr>
            <w:tcW w:w="5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10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1,696,590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1,135,959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684,904</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576,431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482,770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320,547</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3,047,080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1,981,719</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1,169,531</w:t>
            </w:r>
          </w:p>
        </w:tc>
        <w:tc>
          <w:tcPr>
            <w:tcW w:w="0" w:type="dxa"/>
            <w:vAlign w:val="bottom"/>
          </w:tcPr>
          <w:p>
            <w:pPr>
              <w:spacing w:after="0"/>
              <w:rPr>
                <w:sz w:val="1"/>
                <w:szCs w:val="1"/>
                <w:color w:val="auto"/>
              </w:rPr>
            </w:pPr>
          </w:p>
        </w:tc>
      </w:tr>
      <w:tr>
        <w:trPr>
          <w:trHeight w:val="17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0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1,063,591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659,848</w:t>
            </w:r>
          </w:p>
        </w:tc>
        <w:tc>
          <w:tcPr>
            <w:tcW w:w="0" w:type="dxa"/>
            <w:vAlign w:val="bottom"/>
          </w:tcPr>
          <w:p>
            <w:pPr>
              <w:spacing w:after="0"/>
              <w:rPr>
                <w:sz w:val="1"/>
                <w:szCs w:val="1"/>
                <w:color w:val="auto"/>
              </w:rPr>
            </w:pP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 gains on strategic investments, net</w:t>
            </w:r>
          </w:p>
        </w:tc>
        <w:tc>
          <w:tcPr>
            <w:tcW w:w="10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43,761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0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15,648</w:t>
            </w:r>
          </w:p>
        </w:tc>
        <w:tc>
          <w:tcPr>
            <w:tcW w:w="0" w:type="dxa"/>
            <w:vAlign w:val="bottom"/>
          </w:tcPr>
          <w:p>
            <w:pPr>
              <w:spacing w:after="0"/>
              <w:rPr>
                <w:sz w:val="1"/>
                <w:szCs w:val="1"/>
                <w:color w:val="auto"/>
              </w:rPr>
            </w:pP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provision for (benefit from) income taxes</w:t>
            </w:r>
          </w:p>
        </w:tc>
        <w:tc>
          <w:tcPr>
            <w:tcW w:w="10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1,101,632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678,034</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0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145,565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(274,007)</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w:t>
            </w:r>
          </w:p>
        </w:tc>
        <w:tc>
          <w:tcPr>
            <w:tcW w:w="0" w:type="dxa"/>
            <w:vAlign w:val="bottom"/>
          </w:tcPr>
          <w:p>
            <w:pPr>
              <w:spacing w:after="0"/>
              <w:rPr>
                <w:sz w:val="1"/>
                <w:szCs w:val="1"/>
                <w:color w:val="auto"/>
              </w:rPr>
            </w:pP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1,375,639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672,316</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Undistributed earnings attributable to participating securities</w:t>
            </w:r>
          </w:p>
        </w:tc>
        <w:tc>
          <w:tcPr>
            <w:tcW w:w="10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100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103,704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1,375,057</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671,527</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per share attributable to common stockholders:</w:t>
            </w:r>
          </w:p>
        </w:tc>
        <w:tc>
          <w:tcPr>
            <w:tcW w:w="10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00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00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Weighted-average shares used in computing net income per share attributable to common</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582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10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296,560,501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296,334,894</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283,853,654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20" w:type="dxa"/>
            <w:vAlign w:val="bottom"/>
            <w:vMerge w:val="continue"/>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97"/>
              </w:rPr>
              <w:t>304,231,350</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305,826,505</w:t>
            </w: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298,127,669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4"/>
        </w:trPr>
        <w:tc>
          <w:tcPr>
            <w:tcW w:w="58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1,375,639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672,316</w:t>
            </w:r>
          </w:p>
        </w:tc>
      </w:tr>
      <w:tr>
        <w:trPr>
          <w:trHeight w:val="18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38"/>
        </w:trPr>
        <w:tc>
          <w:tcPr>
            <w:tcW w:w="582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Unrealized (loss) gain on available-for-sale marketable securities, net of tax effect of $9,834,</w:t>
            </w:r>
          </w:p>
        </w:tc>
        <w:tc>
          <w:tcPr>
            <w:tcW w:w="4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91"/>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$6,003, and $0 during the fiscal years ended January 31, 2023, 2022 and 2021, respectively</w:t>
            </w: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(18,741)</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71,228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1,356,898</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672,346</w:t>
            </w:r>
          </w:p>
        </w:tc>
      </w:tr>
      <w:tr>
        <w:trPr>
          <w:trHeight w:val="20"/>
        </w:trPr>
        <w:tc>
          <w:tcPr>
            <w:tcW w:w="5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80" w:type="dxa"/>
            <w:vAlign w:val="bottom"/>
          </w:tcPr>
          <w:p>
            <w:pPr>
              <w:spacing w:after="0"/>
              <w:rPr>
                <w:sz w:val="11"/>
                <w:szCs w:val="1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4180" w:type="dxa"/>
            <w:vAlign w:val="bottom"/>
          </w:tcPr>
          <w:p>
            <w:pPr>
              <w:spacing w:after="0"/>
              <w:rPr>
                <w:sz w:val="9"/>
                <w:szCs w:val="9"/>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180" w:type="dxa"/>
            <w:vAlign w:val="bottom"/>
          </w:tcPr>
          <w:p>
            <w:pPr>
              <w:spacing w:after="0"/>
              <w:rPr>
                <w:sz w:val="8"/>
                <w:szCs w:val="8"/>
                <w:color w:val="auto"/>
              </w:rPr>
            </w:pPr>
          </w:p>
        </w:tc>
        <w:tc>
          <w:tcPr>
            <w:tcW w:w="1380" w:type="dxa"/>
            <w:vAlign w:val="bottom"/>
            <w:tcBorders>
              <w:bottom w:val="single" w:sz="8" w:color="auto"/>
            </w:tcBorders>
            <w:gridSpan w:val="3"/>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20"/>
              <w:spacing w:after="0" w:line="97" w:lineRule="exact"/>
              <w:rPr>
                <w:sz w:val="20"/>
                <w:szCs w:val="20"/>
                <w:color w:val="auto"/>
              </w:rPr>
            </w:pPr>
            <w:r>
              <w:rPr>
                <w:rFonts w:ascii="Times New Roman" w:cs="Times New Roman" w:eastAsia="Times New Roman" w:hAnsi="Times New Roman"/>
                <w:sz w:val="11"/>
                <w:szCs w:val="11"/>
                <w:b w:val="1"/>
                <w:bCs w:val="1"/>
                <w:color w:val="auto"/>
              </w:rPr>
              <w:t>Paid-In</w:t>
            </w:r>
          </w:p>
        </w:tc>
        <w:tc>
          <w:tcPr>
            <w:tcW w:w="180" w:type="dxa"/>
            <w:vAlign w:val="bottom"/>
          </w:tcPr>
          <w:p>
            <w:pPr>
              <w:spacing w:after="0"/>
              <w:rPr>
                <w:sz w:val="8"/>
                <w:szCs w:val="8"/>
                <w:color w:val="auto"/>
              </w:rPr>
            </w:pPr>
          </w:p>
        </w:tc>
        <w:tc>
          <w:tcPr>
            <w:tcW w:w="1220" w:type="dxa"/>
            <w:vAlign w:val="bottom"/>
            <w:gridSpan w:val="2"/>
          </w:tcPr>
          <w:p>
            <w:pPr>
              <w:jc w:val="center"/>
              <w:ind w:right="280"/>
              <w:spacing w:after="0" w:line="9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ind w:right="143"/>
              <w:spacing w:after="0" w:line="9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0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200" w:type="dxa"/>
            <w:vAlign w:val="bottom"/>
          </w:tcPr>
          <w:p>
            <w:pPr>
              <w:spacing w:after="0"/>
              <w:rPr>
                <w:sz w:val="13"/>
                <w:szCs w:val="13"/>
                <w:color w:val="auto"/>
              </w:rPr>
            </w:pPr>
          </w:p>
        </w:tc>
        <w:tc>
          <w:tcPr>
            <w:tcW w:w="1100" w:type="dxa"/>
            <w:vAlign w:val="bottom"/>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5"/>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31, 2020</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278,731,143</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832,705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833,943</w:t>
            </w:r>
          </w:p>
        </w:tc>
        <w:tc>
          <w:tcPr>
            <w:tcW w:w="0" w:type="dxa"/>
            <w:vAlign w:val="bottom"/>
          </w:tcPr>
          <w:p>
            <w:pPr>
              <w:spacing w:after="0"/>
              <w:rPr>
                <w:sz w:val="1"/>
                <w:szCs w:val="1"/>
                <w:color w:val="auto"/>
              </w:rPr>
            </w:pPr>
          </w:p>
        </w:tc>
      </w:tr>
      <w:tr>
        <w:trPr>
          <w:trHeight w:val="110"/>
        </w:trPr>
        <w:tc>
          <w:tcPr>
            <w:tcW w:w="418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Issuance of common stock upon follow-on public offering, net of underwriting discounts</w:t>
            </w:r>
          </w:p>
        </w:tc>
        <w:tc>
          <w:tcPr>
            <w:tcW w:w="10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5,882,353</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1,979,538</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1,979,544</w:t>
            </w:r>
          </w:p>
        </w:tc>
        <w:tc>
          <w:tcPr>
            <w:tcW w:w="0" w:type="dxa"/>
            <w:vAlign w:val="bottom"/>
          </w:tcPr>
          <w:p>
            <w:pPr>
              <w:spacing w:after="0"/>
              <w:rPr>
                <w:sz w:val="1"/>
                <w:szCs w:val="1"/>
                <w:color w:val="auto"/>
              </w:rPr>
            </w:pPr>
          </w:p>
        </w:tc>
      </w:tr>
      <w:tr>
        <w:trPr>
          <w:trHeight w:val="151"/>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and commissions and other offering costs</w:t>
            </w: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7,378,477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29,107</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upon release of restricted stock units</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633,697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Charitable donation of common stock</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23,312</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for employee stock purchase plan</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923,553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38,432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38,433</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284,081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284,081</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672,316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672,316</w:t>
            </w:r>
          </w:p>
        </w:tc>
        <w:tc>
          <w:tcPr>
            <w:tcW w:w="0" w:type="dxa"/>
            <w:vAlign w:val="bottom"/>
          </w:tcPr>
          <w:p>
            <w:pPr>
              <w:spacing w:after="0"/>
              <w:rPr>
                <w:sz w:val="1"/>
                <w:szCs w:val="1"/>
                <w:color w:val="auto"/>
              </w:rPr>
            </w:pP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31, 2021</w:t>
            </w: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293,549,223</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292</w:t>
            </w:r>
          </w:p>
        </w:tc>
        <w:tc>
          <w:tcPr>
            <w:tcW w:w="80" w:type="dxa"/>
            <w:vAlign w:val="bottom"/>
          </w:tcPr>
          <w:p>
            <w:pPr>
              <w:spacing w:after="0"/>
              <w:rPr>
                <w:sz w:val="12"/>
                <w:szCs w:val="12"/>
                <w:color w:val="auto"/>
              </w:rPr>
            </w:pPr>
          </w:p>
        </w:tc>
        <w:tc>
          <w:tcPr>
            <w:tcW w:w="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3,187,168</w:t>
            </w: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839</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672,468</w:t>
            </w:r>
          </w:p>
        </w:tc>
        <w:tc>
          <w:tcPr>
            <w:tcW w:w="80" w:type="dxa"/>
            <w:vAlign w:val="bottom"/>
          </w:tcPr>
          <w:p>
            <w:pPr>
              <w:spacing w:after="0"/>
              <w:rPr>
                <w:sz w:val="12"/>
                <w:szCs w:val="12"/>
                <w:color w:val="auto"/>
              </w:rPr>
            </w:pPr>
          </w:p>
        </w:tc>
        <w:tc>
          <w:tcPr>
            <w:tcW w:w="2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3,860,767</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2,881,485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14,810</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upon release of restricted stock units</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1,768,702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common stock for employee stock purchase plan</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838,395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59,331</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488,210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488,210</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(18,741)</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1,375,639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1,375,639</w:t>
            </w:r>
          </w:p>
        </w:tc>
        <w:tc>
          <w:tcPr>
            <w:tcW w:w="0" w:type="dxa"/>
            <w:vAlign w:val="bottom"/>
          </w:tcPr>
          <w:p>
            <w:pPr>
              <w:spacing w:after="0"/>
              <w:rPr>
                <w:sz w:val="1"/>
                <w:szCs w:val="1"/>
                <w:color w:val="auto"/>
              </w:rPr>
            </w:pPr>
          </w:p>
        </w:tc>
      </w:tr>
      <w:tr>
        <w:trPr>
          <w:trHeight w:val="156"/>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31, 2022</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299,037,805</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3,749,514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(17,902)</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2,048,107</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5,780,018</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1,299,758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8,814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8,815</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common stock upon release of restricted stock units</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3,977,915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1"/>
                <w:szCs w:val="11"/>
                <w:color w:val="auto"/>
              </w:rPr>
              <w:t>Repurchase of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(11,170,907)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(999,992)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(1,000,003)</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common stock for employee stock purchase plan</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678,279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53,709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53,710</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1,292,839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1,292,839</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(32,483)</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103,711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103,711</w:t>
            </w:r>
          </w:p>
        </w:tc>
        <w:tc>
          <w:tcPr>
            <w:tcW w:w="0" w:type="dxa"/>
            <w:vAlign w:val="bottom"/>
          </w:tcPr>
          <w:p>
            <w:pPr>
              <w:spacing w:after="0"/>
              <w:rPr>
                <w:sz w:val="1"/>
                <w:szCs w:val="1"/>
                <w:color w:val="auto"/>
              </w:rPr>
            </w:pPr>
          </w:p>
        </w:tc>
      </w:tr>
      <w:tr>
        <w:trPr>
          <w:trHeight w:val="181"/>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as of January 31, 2023</w:t>
            </w: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293,822,850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4,104,880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(50,385)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2,151,818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6,206,607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January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61"/>
        </w:trPr>
        <w:tc>
          <w:tcPr>
            <w:tcW w:w="70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68"/>
        </w:trPr>
        <w:tc>
          <w:tcPr>
            <w:tcW w:w="7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103,711</w:t>
            </w:r>
          </w:p>
        </w:tc>
        <w:tc>
          <w:tcPr>
            <w:tcW w:w="8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1,375,639</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672,316</w:t>
            </w:r>
          </w:p>
        </w:tc>
      </w:tr>
      <w:tr>
        <w:trPr>
          <w:trHeight w:val="17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1,285,752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477,287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275,818</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(160,961)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(327,957)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deferred contract acquisition costs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259,368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177,283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104,306</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Losses (gains) on strategic investments, net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37,571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(43,761)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82,321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28,857</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Provision for accounts receivable allowances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50,285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36,747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32,007</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Non-cash operating lease cost</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28,933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10,887</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Charitable donation of common stock</w:t>
            </w: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23,312</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discount/premium on marketable securities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5,433</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14,913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(231,845)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(159,183)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(219,039)</w:t>
            </w:r>
          </w:p>
        </w:tc>
      </w:tr>
      <w:tr>
        <w:trPr>
          <w:trHeight w:val="168"/>
        </w:trPr>
        <w:tc>
          <w:tcPr>
            <w:tcW w:w="70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(68,521)</w:t>
            </w:r>
          </w:p>
        </w:tc>
      </w:tr>
      <w:tr>
        <w:trPr>
          <w:trHeight w:val="17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Deferred contract acquisition costs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(298,629)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(247,371)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(307,068)</w:t>
            </w:r>
          </w:p>
        </w:tc>
      </w:tr>
      <w:tr>
        <w:trPr>
          <w:trHeight w:val="168"/>
        </w:trPr>
        <w:tc>
          <w:tcPr>
            <w:tcW w:w="70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Accounts payable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3,481</w:t>
            </w:r>
          </w:p>
        </w:tc>
      </w:tr>
      <w:tr>
        <w:trPr>
          <w:trHeight w:val="17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20,530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101,369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251,654</w:t>
            </w:r>
          </w:p>
        </w:tc>
      </w:tr>
      <w:tr>
        <w:trPr>
          <w:trHeight w:val="168"/>
        </w:trPr>
        <w:tc>
          <w:tcPr>
            <w:tcW w:w="70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Deferred revenue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127,401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293,887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665,724</w:t>
            </w:r>
          </w:p>
        </w:tc>
      </w:tr>
      <w:tr>
        <w:trPr>
          <w:trHeight w:val="172"/>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Operating lease liabilities, net</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(23,839)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(6,379)</w:t>
            </w:r>
          </w:p>
        </w:tc>
      </w:tr>
      <w:tr>
        <w:trPr>
          <w:trHeight w:val="158"/>
        </w:trPr>
        <w:tc>
          <w:tcPr>
            <w:tcW w:w="7000" w:type="dxa"/>
            <w:vAlign w:val="bottom"/>
          </w:tcPr>
          <w:p>
            <w:pPr>
              <w:ind w:left="780"/>
              <w:spacing w:after="0" w:line="146"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1,290,262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1,605,266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1,471,177</w:t>
            </w:r>
          </w:p>
        </w:tc>
      </w:tr>
      <w:tr>
        <w:trPr>
          <w:trHeight w:val="17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(2,849,121)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(4,434,749)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(2,056,470)</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Maturities of marketable securities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2,835,196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1,733,043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580,795</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Sales of marketable securities</w:t>
            </w: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296,867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36,897</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(103,826)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(132,590)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(79,972)</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Purchases of strategic investments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(69,050)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(305,149)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(13,000)</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paid for acquisition, net of cash acquired</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(120,553)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(26,486)</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Purchases of intangible assets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(5,843)</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w:t>
            </w:r>
          </w:p>
        </w:tc>
      </w:tr>
      <w:tr>
        <w:trPr>
          <w:trHeight w:val="158"/>
        </w:trPr>
        <w:tc>
          <w:tcPr>
            <w:tcW w:w="7000" w:type="dxa"/>
            <w:vAlign w:val="bottom"/>
          </w:tcPr>
          <w:p>
            <w:pPr>
              <w:ind w:left="780"/>
              <w:spacing w:after="0" w:line="146"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(318,322)</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(2,859,097)</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(1,562,420)</w:t>
            </w:r>
          </w:p>
        </w:tc>
      </w:tr>
      <w:tr>
        <w:trPr>
          <w:trHeight w:val="17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for repurchases of common stock</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issuance of common stock for employee stock purchase plan</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53,710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59,331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38,433</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28,550</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employee equity transactions to be remitted (remitted) to employees and tax authorities, net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4,088</w:t>
            </w: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follow-on public offering, net of underwriting discounts and commissions and other offering costs</w:t>
            </w: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1,979,206</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000" w:type="dxa"/>
            <w:vAlign w:val="bottom"/>
            <w:tcBorders>
              <w:bottom w:val="single" w:sz="8" w:color="CCEEFF"/>
            </w:tcBorders>
          </w:tcPr>
          <w:p>
            <w:pPr>
              <w:ind w:left="780"/>
              <w:spacing w:after="0" w:line="146" w:lineRule="exact"/>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(936,942)</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34,068</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2,050,277</w:t>
            </w:r>
          </w:p>
        </w:tc>
      </w:tr>
      <w:tr>
        <w:trPr>
          <w:trHeight w:val="163"/>
        </w:trPr>
        <w:tc>
          <w:tcPr>
            <w:tcW w:w="7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0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26,890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(1,219,763)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1,959,034</w:t>
            </w:r>
          </w:p>
        </w:tc>
      </w:tr>
      <w:tr>
        <w:trPr>
          <w:trHeight w:val="17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cash—beginning of year</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1,073,353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2,293,116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334,082</w:t>
            </w:r>
          </w:p>
        </w:tc>
      </w:tr>
      <w:tr>
        <w:trPr>
          <w:trHeight w:val="156"/>
        </w:trPr>
        <w:tc>
          <w:tcPr>
            <w:tcW w:w="70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Cash, cash equivalents, and restricted cash—end of year</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1,100,243</w:t>
            </w:r>
          </w:p>
        </w:tc>
        <w:tc>
          <w:tcPr>
            <w:tcW w:w="8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1,073,353</w:t>
            </w: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2,293,116</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7000" w:type="dxa"/>
            <w:vAlign w:val="bottom"/>
            <w:tcBorders>
              <w:bottom w:val="single" w:sz="8" w:color="CCEEFF"/>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r>
      <w:tr>
        <w:trPr>
          <w:trHeight w:val="131"/>
        </w:trPr>
        <w:tc>
          <w:tcPr>
            <w:tcW w:w="70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4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for income taxes, net</w:t>
            </w: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309,084</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38,979</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3,181</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3"/>
        </w:trPr>
        <w:tc>
          <w:tcPr>
            <w:tcW w:w="70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disclosures of non-cash investing and financing information</w:t>
            </w:r>
          </w:p>
        </w:tc>
        <w:tc>
          <w:tcPr>
            <w:tcW w:w="4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 of equipment during the period included in accounts payable and accrued expenses</w:t>
            </w: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11,946</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13,728</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34,514</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8"/>
        </w:trPr>
        <w:tc>
          <w:tcPr>
            <w:tcW w:w="7000" w:type="dxa"/>
            <w:vAlign w:val="bottom"/>
            <w:tcBorders>
              <w:bottom w:val="single" w:sz="8" w:color="CCEEFF"/>
            </w:tcBorders>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Vesting of early exercised stock options</w:t>
            </w:r>
          </w:p>
        </w:tc>
        <w:tc>
          <w:tcPr>
            <w:tcW w:w="440" w:type="dxa"/>
            <w:vAlign w:val="bottom"/>
            <w:tcBorders>
              <w:bottom w:val="single" w:sz="8" w:color="auto"/>
            </w:tcBorders>
            <w:shd w:val="clear" w:color="auto" w:fill="CCEEFF"/>
          </w:tcPr>
          <w:p>
            <w:pPr>
              <w:jc w:val="right"/>
              <w:ind w:right="2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238</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407</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558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27"/>
        </w:trPr>
        <w:tc>
          <w:tcPr>
            <w:tcW w:w="70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Reconciliation of cash, cash equivalents, and restricted cash within the consolidated balance sheets to the amounts shown in the</w:t>
            </w:r>
          </w:p>
        </w:tc>
        <w:tc>
          <w:tcPr>
            <w:tcW w:w="4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7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 above:</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1,086,830</w:t>
            </w:r>
          </w:p>
        </w:tc>
        <w:tc>
          <w:tcPr>
            <w:tcW w:w="8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1,062,820</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2,240,303</w:t>
            </w:r>
          </w:p>
        </w:tc>
      </w:tr>
      <w:tr>
        <w:trPr>
          <w:trHeight w:val="172"/>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Restricted cash, current included in prepaid expenses and other current assets</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13,141</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50,575</w:t>
            </w:r>
          </w:p>
        </w:tc>
      </w:tr>
      <w:tr>
        <w:trPr>
          <w:trHeight w:val="168"/>
        </w:trPr>
        <w:tc>
          <w:tcPr>
            <w:tcW w:w="7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Restricted cash, noncurrent included in other assets, noncurrent</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2,238</w:t>
            </w:r>
          </w:p>
        </w:tc>
      </w:tr>
      <w:tr>
        <w:trPr>
          <w:trHeight w:val="185"/>
        </w:trPr>
        <w:tc>
          <w:tcPr>
            <w:tcW w:w="7000" w:type="dxa"/>
            <w:vAlign w:val="bottom"/>
            <w:tcBorders>
              <w:bottom w:val="single" w:sz="8" w:color="CCEEFF"/>
            </w:tcBorders>
            <w:shd w:val="clear" w:color="auto" w:fill="CCEEFF"/>
          </w:tcPr>
          <w:p>
            <w:pPr>
              <w:ind w:left="440"/>
              <w:spacing w:after="0" w:line="147" w:lineRule="exact"/>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1,100,243</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1,073,353</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2,293,116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62" w:lineRule="exact"/>
        <w:rPr>
          <w:sz w:val="20"/>
          <w:szCs w:val="20"/>
          <w:color w:val="auto"/>
        </w:rPr>
      </w:pPr>
    </w:p>
    <w:p>
      <w:pPr>
        <w:ind w:left="520" w:hanging="515"/>
        <w:spacing w:after="0"/>
        <w:tabs>
          <w:tab w:leader="none" w:pos="520"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Business and Significant Accounting Policies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Zoom Video Communications, Inc. and its subsidiaries (collectively, “Zoom,” the “Company,” “we,” “us,” or “our”) connect people through our platform of core unified communications and collaboration platform, which frictionlessly brings together video, phone, chat, and webinars, and enables meaningful experiences across disparate devices and locations. We were incorporated in the state of Delaware in April 2011, and are headquartered in San Jose, California.</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Fiscal Year</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fiscal year ends on January 31. References to fiscal year 2023, for example, refer to the fiscal year ended January 31, 2023.</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generally accepted accounting principles in the United States of America (“GAAP”) and include the accounts of Zoom Video Communications, Inc., its subsidiaries, and a variable interest entity for which we are the primary beneficiary. All intercompany balances and transactions have been eliminated in consolidation.</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stock-based compensation expense, the fair value of marketable securities, acquired intangible assets and goodwill, the valuation of deferred income tax assets and uncertain tax positions, and accruals and contingencies. Actual results could materially differ from those estimates.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Risks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No single customer accounted for more than 10% of accounts receivable at January 31, 2023 or 2022. No single customer accounted for 10% or more of total revenue during the fiscal years ended January 31, 2023, 2022, or 2021.</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Cash and cash equivalents consist of cash in banks and highly liquid investments, primarily money market funds, purchased with an original maturity of three months or less.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Restricted cash consists of certificates of deposit collateralizing our operating leases and cash from proceeds from international employees’ sales of our common stock, and is included in prepaid expenses and other current assets and other assets, noncurrent in the consolidated balance sheets.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of January 31, 2023 and 2022, we had $13.1 million and $10.2 million, respectively, of cash from proceeds from international employees’ sales of our common stock. The amount is held in our bank account until it is remitted to the employees and the tax authorities. Due to the restrictions on the use of the funds in the bank account, we have classified the amount as restricted cash included in prepaid expenses and other current assets, and a corresponding amount is included in accrued expenses and other current liabilities in the consolidated balance sheets.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exposed to credit losses primarily through our accounts receivable and investments in available-for-sale debt securities. See Note 3 for additional information related to our available-for-sale debt securities.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Accounts receivable, net</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Accounts receivable are recorded for invoiced amounts and amounts for which revenue has been recognized, but not invoiced, net of allowances. Our short-term accounts receivable consist of the following: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As of January 31, 2023</w:t>
            </w:r>
          </w:p>
        </w:tc>
        <w:tc>
          <w:tcPr>
            <w:tcW w:w="3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As of January 31, 2022</w:t>
            </w:r>
          </w:p>
        </w:tc>
      </w:tr>
      <w:tr>
        <w:trPr>
          <w:trHeight w:val="192"/>
        </w:trPr>
        <w:tc>
          <w:tcPr>
            <w:tcW w:w="7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00" w:type="dxa"/>
            <w:vAlign w:val="bottom"/>
          </w:tcPr>
          <w:p>
            <w:pPr>
              <w:spacing w:after="0"/>
              <w:rPr>
                <w:sz w:val="16"/>
                <w:szCs w:val="16"/>
                <w:color w:val="auto"/>
              </w:rPr>
            </w:pPr>
          </w:p>
        </w:tc>
      </w:tr>
      <w:tr>
        <w:trPr>
          <w:trHeight w:val="19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gross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590,610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444,369</w:t>
            </w: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w:t>
            </w: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Allowance for returns</w:t>
            </w:r>
          </w:p>
        </w:tc>
        <w:tc>
          <w:tcPr>
            <w:tcW w:w="2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w:t>
            </w:r>
          </w:p>
        </w:tc>
      </w:tr>
      <w:tr>
        <w:trPr>
          <w:trHeight w:val="171"/>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557,404</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419,673</w:t>
            </w: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maintain an allowance for credit losses for expected uncollectible accounts receivable, which is recorded as an offset to accounts receivable, and changes in such are classified as general and administrative expense in the consolidated statements of operations. The allowance for credit losses is based on management’s estimate for expected credit losses for outstanding accounts receivable. We determine expected credit losses based on historical write-off experience, an analysis of the aging of outstanding receivables, customer payment patterns, the establishment of specific reserves for customers in an adverse financial condition, and adjust based upon our expectations of changes in macroeconomic conditions that may impact the collectibility of outstanding receivables, including noncurrent accounts receivable. We also consider current market conditions and reasonable and supportable forecasts of future economic conditions to inform adjustments to historical loss data. We reassess the adequacy of the allowance for credit losses each reporting period. Furthermore, the allowance for sales returns is recorded as an offset to accounts receivable, and changes to the allowance are classified as a reduction in revenue in the consolidated statements of operations. We estimate returns from sales to customers based on historical chargebacks and return rates.</w:t>
      </w:r>
    </w:p>
    <w:p>
      <w:pPr>
        <w:spacing w:after="0" w:line="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For the fiscal year ended January 31, 2023, our assessment considered the recent changes in macroeconomic conditions such as inflation, recessionary and uncertain environments, and fluctuations in foreign currency exchange rates has on our estimates of credit and collectibility trends. Below is a rollforward of our allowance for credit losses for the fiscal year ended January 31, 2023.</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00" w:type="dxa"/>
            <w:vAlign w:val="bottom"/>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January 31, 2023</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January 31, 2022</w:t>
            </w:r>
          </w:p>
        </w:tc>
      </w:tr>
      <w:tr>
        <w:trPr>
          <w:trHeight w:val="181"/>
        </w:trPr>
        <w:tc>
          <w:tcPr>
            <w:tcW w:w="7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40" w:type="dxa"/>
            <w:vAlign w:val="bottom"/>
          </w:tcPr>
          <w:p>
            <w:pPr>
              <w:spacing w:after="0"/>
              <w:rPr>
                <w:sz w:val="15"/>
                <w:szCs w:val="15"/>
                <w:color w:val="auto"/>
              </w:rPr>
            </w:pPr>
          </w:p>
        </w:tc>
      </w:tr>
      <w:tr>
        <w:trPr>
          <w:trHeight w:val="19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beginning of year</w:t>
            </w:r>
          </w:p>
        </w:tc>
        <w:tc>
          <w:tcPr>
            <w:tcW w:w="1340" w:type="dxa"/>
            <w:vAlign w:val="bottom"/>
            <w:shd w:val="clear" w:color="auto" w:fill="CCEEFF"/>
          </w:tcPr>
          <w:p>
            <w:pPr>
              <w:jc w:val="right"/>
              <w:ind w:right="117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17,000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center"/>
              <w:ind w:left="872"/>
              <w:spacing w:after="0"/>
              <w:rPr>
                <w:sz w:val="20"/>
                <w:szCs w:val="20"/>
                <w:color w:val="auto"/>
              </w:rPr>
            </w:pPr>
            <w:r>
              <w:rPr>
                <w:rFonts w:ascii="Times New Roman" w:cs="Times New Roman" w:eastAsia="Times New Roman" w:hAnsi="Times New Roman"/>
                <w:sz w:val="14"/>
                <w:szCs w:val="14"/>
                <w:color w:val="auto"/>
                <w:w w:val="98"/>
              </w:rPr>
              <w:t>20,500</w:t>
            </w: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3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45,211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jc w:val="center"/>
              <w:ind w:left="872"/>
              <w:spacing w:after="0"/>
              <w:rPr>
                <w:sz w:val="20"/>
                <w:szCs w:val="20"/>
                <w:color w:val="auto"/>
              </w:rPr>
            </w:pPr>
            <w:r>
              <w:rPr>
                <w:rFonts w:ascii="Times New Roman" w:cs="Times New Roman" w:eastAsia="Times New Roman" w:hAnsi="Times New Roman"/>
                <w:sz w:val="14"/>
                <w:szCs w:val="14"/>
                <w:color w:val="auto"/>
                <w:w w:val="98"/>
              </w:rPr>
              <w:t>32,587</w:t>
            </w: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Write-offs</w:t>
            </w:r>
          </w:p>
        </w:tc>
        <w:tc>
          <w:tcPr>
            <w:tcW w:w="13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(37,311)</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center"/>
              <w:ind w:left="852"/>
              <w:spacing w:after="0"/>
              <w:rPr>
                <w:sz w:val="20"/>
                <w:szCs w:val="20"/>
                <w:color w:val="auto"/>
              </w:rPr>
            </w:pPr>
            <w:r>
              <w:rPr>
                <w:rFonts w:ascii="Times New Roman" w:cs="Times New Roman" w:eastAsia="Times New Roman" w:hAnsi="Times New Roman"/>
                <w:sz w:val="14"/>
                <w:szCs w:val="14"/>
                <w:color w:val="auto"/>
              </w:rPr>
              <w:t>(36,087)</w:t>
            </w:r>
          </w:p>
        </w:tc>
      </w:tr>
      <w:tr>
        <w:trPr>
          <w:trHeight w:val="17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end of year</w:t>
            </w:r>
          </w:p>
        </w:tc>
        <w:tc>
          <w:tcPr>
            <w:tcW w:w="1340" w:type="dxa"/>
            <w:vAlign w:val="bottom"/>
            <w:tcBorders>
              <w:bottom w:val="single" w:sz="8" w:color="auto"/>
            </w:tcBorders>
          </w:tcPr>
          <w:p>
            <w:pPr>
              <w:jc w:val="right"/>
              <w:ind w:right="117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24,900</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center"/>
              <w:ind w:left="872"/>
              <w:spacing w:after="0"/>
              <w:rPr>
                <w:sz w:val="20"/>
                <w:szCs w:val="20"/>
                <w:color w:val="auto"/>
              </w:rPr>
            </w:pPr>
            <w:r>
              <w:rPr>
                <w:rFonts w:ascii="Times New Roman" w:cs="Times New Roman" w:eastAsia="Times New Roman" w:hAnsi="Times New Roman"/>
                <w:sz w:val="14"/>
                <w:szCs w:val="14"/>
                <w:color w:val="auto"/>
                <w:w w:val="98"/>
              </w:rPr>
              <w:t>17,000</w:t>
            </w:r>
          </w:p>
        </w:tc>
      </w:tr>
      <w:tr>
        <w:trPr>
          <w:trHeight w:val="20"/>
        </w:trPr>
        <w:tc>
          <w:tcPr>
            <w:tcW w:w="7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u w:val="single" w:color="auto"/>
          <w:color w:val="auto"/>
        </w:rPr>
        <w:t>Available-for-sale Investments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Available-for-sale investments consist primarily of high-grade commercial paper, agency bonds, corporate bonds, corporate and other debt securities, U.S. government agency securities, and treasury bills. We classify our marketable securities as available-for-sale at the time of purchase and reevaluate such classification at each balance sheet date. We may sell these securities at any time 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accumulated other comprehensive (loss) income, which is reflected as a component of stockholders’ equity. We evaluate our securities with unrealized loss positions as to whether the declines in fair value were due to credit losses, and record the portion of impairment relating to the credit losses through allowance for credit losses limited to the amount that fair value was less than the amortized cost basis. Realized gains and losses from the sale of marketable securities are determined based on the specific identification method. Realized gains and losses are reported in other (expense) income, net in the consolidated statements of operations.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hold strategic investments in publicly held equity securities and privately held debt and equity securities in which we do not have a controlling interest. Publicly held equity securities are measured using quoted prices in their respective active markets with changes recorded through gains on strategic investments, net in the consolidated statements of operations. Privately held equity securities without a readily determinable fair value are recorded at cost and adjusted for impairments and observable price changes with a same or similar security from the same issuer (i.e. using the measurement alternative) and are recorded through (losses) gains on strategic investments, net in the consolidated statements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If, based on the terms of these publicly traded and privately held securities, we determine that we exercise significant influence on the entity to which these securities relate, we will apply the equity method of accounting for such investments. Privately held equity securities that are accounted for under the equity method are measured at cost less any impairment, plus or minus our share of equity method investee income or loss, which is reported in (losses) gains on strategic investments, net in the consolidated statements of operations.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Privately held debt securities are recorded at fair value with changes in fair value recorded through accumulated other comprehensive (loss) income on the consolidated balance sheets.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a quarterly basis, we assess our privately held debt and equity securities in our strategic investment portfolio for indicators for impairment. As of January 31, 2023, we recognized an immaterial amount of impairment to our privately held debt and equity securities.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Level 1—Quoted prices in active markets for identical assets or liabilities.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Level 2—Observable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Level 3—Unobservable inputs that are supported by little or no market activity and that are significant to the fair value of the assets or liabilities.</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Financial instruments consist of cash equivalents, restricted cash, marketable securities, accounts receivable, and accounts payable. Cash equivalents, restricted cash, and marketable securities are stated at fair value on a recurring basis. Accounts receivable and accounts payable are stated at their carrying value, which approximates fair value due to the short time to the expected receipt or payment date.</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Property and equipment, net, are stated at cost, less accumulated depreciation and amortization. Depreciation and amortization are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Software Development Costs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capitalize certain development costs related to our unified communications and collaboration platform during the application development stage as long as it is probable the project will be completed, and the software will be used to perform the function intended. Capitalized software development costs are recorded as part of property and equipment, net. Costs related to preliminary project activities and post-implementation activities are expensed as incurred. Capitalized software development costs are amortized on a straight-line basis over the software’s estimated useful life, which is generally three years, and are recorded in cost of revenue in the consolidated statements of operations. We evaluate the useful lives of these assets on an annual basis and test for impairment whenever events or changes in circumstances occur that could impact the recoverability of these assets. We have capitalized $18.0 million, $20.2 million, and $19.4 million of software development costs during the fiscal years ended January 31, 2023, 2022, and 2021, respectively.</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All lease arrangements are generally recognized at lease commencement. Operating lease right-of-use (“ROU”) assets and operating lease liabilities are recognized at commencement. For short-term leases (an initial term of 12 months or less), an ROU asset and corresponding lease liability are not recorded and we record rent expense in our consolidated statements of operations on a straight-line basis over the lease term and record variable lease payments as incurred. ROU assets represent our right to use an underlying asset during the reasonably certain lease term, and lease liabilities represent our obligation to make lease payments arising from the lease. Our lease terms may include options to extend or terminate the lease when it is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reasonably certain that we will exercise that option. Operating lease ROU assets and liabilities are recognized at the commencement date based on the present value of fixed payments not yet paid over the lease term. We use our incremental borrowing rate based on the information available at the commencement date in determining the lease liabilities as our leases generally do not provide an implicit rate. Our incremental borrowing rate is estimated to approximate the interest rate on a collateralized basis with similar terms and payments, in an economic environment where the leased asset is located. ROU assets also include any initial direct costs incurred and any lease payments made at or before the lease commencement date, less lease incentives received. We reassess the lease term if and when a significant event or change in circumstances occurs within our control. We currently do not have any finance leases.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2023, 2022, or 2021.</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6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Uncertain tax positions and tax-related valuation allowances are initially established in connection with a business combination as of the acquisition date. We continue to collect information and reevaluate these estimates and assumptions quarterly. We will record any adjustments to our preliminary estimates to goodwill, provided that it is within the one-year measurement period.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Goodwill amounts are not amortized, but rather tested for impairment at least annually or more often if circumstances indicate that the carrying value may not be recoverable. Goodwill is considered impaired if the carrying value of the reporting unit exceeds its fair value. We have one reporting unit and as a result, goodwill has been assigned to the single reporting unit. We conducted our annual impairment test of goodwill in the fourth quarter of fiscal year 2023 and determined that no adjustment to the carrying value of goodwill was required.</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Intangible assets consist of acquired identifiable intangible assets resulting from business combinations, as well as other intangible assets purchased outside of a business combination, such as domains and intellectual property addresses. Finite-lived intangible assets are initially recorded at fair value and are amortized on a straight-line basis over their estimated useful lives. We routinely evaluate the estimated remaining useful lives of our finite-lived intangible assets and whether events or changes in circumstances warrant a revision to the remaining period of amortization. Indefinite-lived intangible assets are recorded at fair value and are not amortized. We review the useful lives of indefinite-lived intangible assets each reporting period to determine whether events and circumstances continue to support the indefinite useful life classification. If we determine that the life of an intangible asset is no longer indefinite, that asset would be tested for impairment and amortized prospectively over its estimated remaining useful life. There were no impairment charges to acquired intangible assets during the fiscal year ended January 31, 2023.</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derive our revenue primarily from subscription agreements with customers for access to our unified communications and collaboration platform and services. We also provide other services, which include professional services, consulting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services, and online event hosting, which were immaterial to our consolidated financial statements. Revenue is recognized when a customer obtains control of promised services. The amount of revenue recognized reflects the consideration that we expect to receive in exchange for these services over the contract term which can include a free period discount. We determine revenue recognition through the following steps:</w:t>
      </w:r>
    </w:p>
    <w:p>
      <w:pPr>
        <w:spacing w:after="0" w:line="134"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Identification of the contract, or contracts, with the customer</w:t>
      </w:r>
    </w:p>
    <w:p>
      <w:pPr>
        <w:spacing w:after="0" w:line="96"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311"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Identification of the performance obligations in the contract</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or products is separately identifiable from other promises in the contract. Promised services or products under which both of these two criteria are not met are recognized as a combined, single performance obligation. Our performance obligations primarily relate to access to our unified communications and collaboration platform, which consists of one or more software-based services. Our customers do not have the ability to take possession of our software, and through access to our platform, we provide a series of distinct software-based services that are satisfied over the term of the subscription.</w:t>
      </w:r>
    </w:p>
    <w:p>
      <w:pPr>
        <w:spacing w:after="0" w:line="144"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Determination of the transaction price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unified communications and collaboration platform and related services are typically warranted to perform in a professional manner that will comply with the terms of the subscription agreements. In addition, we include service-level commitments to our customers warranting certain levels of uptime reliability and performance and permitting those customers to receive credits in the event that we fail to meet those service levels. These credits represent a form of variable consideration. We have not provided any material refunds related to these agreements in the consolidated financial statements during the periods presented.</w:t>
      </w:r>
    </w:p>
    <w:p>
      <w:pPr>
        <w:spacing w:after="0" w:line="138"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Allocation of the transaction price to the performance obligations in the contract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Contracts that contain multiple performance obligations require an allocation of the transaction price to each performance obligation based on each performance obligation’s relative standalone selling price. Our contracts with multiple performance obligations are generally sold over the same subscription term and have the same pattern of transfer to the customer, and so they are accounted for as one combined performance obligation in the context of the contract. Accordingly, the transaction price is allocated to this single performance obligation.</w:t>
      </w:r>
    </w:p>
    <w:p>
      <w:pPr>
        <w:spacing w:after="0" w:line="134"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Recognition of the revenue when, or as, a performance obligation is satisfied</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unified communications and collaboration platform and related services are subscription revenue and are considered one performance obligation, and the related revenue is recognized ratably over the subscription period as we satisfy the performance obligation.</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Professional services are time-based arrangements and revenue is recognized as these services are performed. Fees for services represent less than 2% of total revenue during the periods presented.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Cost of revenue primarily consists of costs related to hosting our unified communications and collaboration platform and providing general operating support services to our customers. These costs are composed of co-located data center costs, third-party cloud hosting costs, integrated third-party PSTN services, personnel-related expenses, amortization of capitalized software development costs and acquired intangible assets, royalty payments, and allocated overhead costs. Indirect overhead costs associated with corporate facilities and related depreciation, health care benefits, training, and other employee benefits are allocated to cost of revenue and operating expenses based on applicable headcount.</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96"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auto"/>
        </w:rPr>
        <w:t>Research and development costs include personnel-related expenses associated with our engineering personnel and consultants responsible for the design, development, and testing of our unified communications and collaboration platform, depreciation of equipment used in research and development, and allocated overhead costs. Research and development costs are expensed as incurred.</w:t>
      </w:r>
    </w:p>
    <w:p>
      <w:pPr>
        <w:spacing w:after="0" w:line="3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Advertising costs are expensed as incurred in sales and marketing expense and amounted to $64.7 million, $40.9 million, and $34.8 million for the fiscal years ended January 31, 2023, 2022, and 2021, respectively.</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Stock-based compensation expense related to stock awards (including stock options, RSUs, and ESPP) is measured based on the fair value of the awards granted and recognized as an expense on a straight-line basis over the requisite service period.</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fair value of each option and ESPP award is estimated on the grant date using the Black-Scholes option pricing model. The Black-Scholes option pricing model requires the use of assumptions, including the fair value of the underlying common stock, the expected term of the award, the expected volatility of the price of our common stock, risk-free interest rates, and the expected dividend yield of our common stock.</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fair value of each RSU award is based on the fair value of the underlying common stock as of the grant date.</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assumptions used to determine the fair value of the stock awards represent management’s best estimates. These estimates involve inherent uncertainties and the application of management’s judgment. We account for forfeitures as they occur instead of estimating the number of awards expected to be forfeited.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use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Deferred tax assets are evaluated for future realization and reduced by a valuation allowance to the extent we believe it is more likely than not that they will not be realized. We consider all available positive and negative evidence, including future reversals of existing taxable temporary differences, projected future taxable income, tax-planning strategies, carryback potential if permitted under the tax law, and results of recent operations.</w:t>
      </w:r>
    </w:p>
    <w:p>
      <w:pPr>
        <w:spacing w:after="0" w:line="49"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color w:val="auto"/>
        </w:rPr>
        <w:t xml:space="preserve">We record uncertain tax positions in accordance with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 We consider many factors when evaluating our uncertain tax positions, which involve significant judgment and may require periodic adjustments. The resolution of these uncertain tax positions in a manner inconsistent with management's expectations could have a material impact on our consolidated financial statements. We recognize interest and penalties related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uncertain tax positions as a component of our provision for income taxes. Accrued interest and penalties are included with the related tax liability.</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Net Income Per Share Attributable to Common Stockholders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calculate our net income per share attributable to Class A and Class B common stock using the two-class method required for companies with participating securities. We consider our convertible preferred stock and unvested common stock, which includes early exercised stock options, to be participating securities as holders of such securities have non-forfeitable dividend rights in the event of our declaration of a dividend for shares of common stock.</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Distributed and undistributed earnings allocated to participating securities are subtracted from net income in determining net income attributable to common stockholders. Basic net income per share is computed by dividing net income attributable to common stockholders by the weighted-average number of shares of our Class A and Class B common stock outstanding.</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operate in one operating segment. Operating segments are defined as components of an enterprise about which separate financial information is evaluated regularly by the chief operating decision maker, who is our Chief Executive Officer (“CEO”), in deciding how to allocate resources and assessing performance. Our chief operating decision maker allocates resources and assesses performance based upon consolidated financial information.</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Revenue by geographical region can be found in the revenue recognition disclosures in Note 2 below. The following table presents our property and equipment, net of depreciation and amortization, by geographic region: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80" w:type="dxa"/>
            <w:vAlign w:val="bottom"/>
            <w:tcBorders>
              <w:bottom w:val="single" w:sz="8" w:color="auto"/>
            </w:tcBorders>
          </w:tcPr>
          <w:p>
            <w:pPr>
              <w:spacing w:after="0"/>
              <w:rPr>
                <w:sz w:val="13"/>
                <w:szCs w:val="13"/>
                <w:color w:val="auto"/>
              </w:rPr>
            </w:pPr>
          </w:p>
        </w:tc>
      </w:tr>
      <w:tr>
        <w:trPr>
          <w:trHeight w:val="154"/>
        </w:trPr>
        <w:tc>
          <w:tcPr>
            <w:tcW w:w="7660" w:type="dxa"/>
            <w:vAlign w:val="bottom"/>
          </w:tcPr>
          <w:p>
            <w:pPr>
              <w:spacing w:after="0"/>
              <w:rPr>
                <w:sz w:val="13"/>
                <w:szCs w:val="13"/>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7"/>
        </w:trPr>
        <w:tc>
          <w:tcPr>
            <w:tcW w:w="7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gridSpan w:val="3"/>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80" w:type="dxa"/>
            <w:vAlign w:val="bottom"/>
          </w:tcPr>
          <w:p>
            <w:pPr>
              <w:spacing w:after="0"/>
              <w:rPr>
                <w:sz w:val="15"/>
                <w:szCs w:val="15"/>
                <w:color w:val="auto"/>
              </w:rPr>
            </w:pPr>
          </w:p>
        </w:tc>
      </w:tr>
      <w:tr>
        <w:trPr>
          <w:trHeight w:val="19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10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189,486</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180,033</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1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39,325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36,715</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w:t>
            </w:r>
          </w:p>
        </w:tc>
        <w:tc>
          <w:tcPr>
            <w:tcW w:w="1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24,010</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5,606</w:t>
            </w:r>
          </w:p>
        </w:tc>
      </w:tr>
      <w:tr>
        <w:trPr>
          <w:trHeight w:val="171"/>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110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252,821</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222,354</w:t>
            </w:r>
          </w:p>
        </w:tc>
      </w:tr>
      <w:tr>
        <w:trPr>
          <w:trHeight w:val="20"/>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Recent Adopted Accounting Pronouncements</w:t>
      </w:r>
    </w:p>
    <w:p>
      <w:pPr>
        <w:spacing w:after="0" w:line="9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color w:val="auto"/>
        </w:rPr>
        <w:t xml:space="preserve">In June 2022, the FASB issued ASU No. 2022-03, </w:t>
      </w:r>
      <w:r>
        <w:rPr>
          <w:rFonts w:ascii="Times New Roman" w:cs="Times New Roman" w:eastAsia="Times New Roman" w:hAnsi="Times New Roman"/>
          <w:sz w:val="14"/>
          <w:szCs w:val="14"/>
          <w:i w:val="1"/>
          <w:iCs w:val="1"/>
          <w:color w:val="auto"/>
        </w:rPr>
        <w:t>Fair Value Measurements (Topic 820): Fair Value Measurement of Equity Securities Subject to Contractual Sale Restrictions</w:t>
      </w:r>
      <w:r>
        <w:rPr>
          <w:rFonts w:ascii="Times New Roman" w:cs="Times New Roman" w:eastAsia="Times New Roman" w:hAnsi="Times New Roman"/>
          <w:sz w:val="14"/>
          <w:szCs w:val="14"/>
          <w:color w:val="auto"/>
        </w:rPr>
        <w:t>, which clarifies and amends the guidance of measuring the fair value of equity securities subject to contractual restrictions that prohibit the sale of the equity securities. The guidance will be effective for fiscal years beginning after December 15, 2023 and interim periods within those fiscal years. We early adopted ASU No. 2022-03 for the fiscal year ending January 31, 2023. Adoption of the ASU did not have a material impact on our consolidated financial statements.</w:t>
      </w:r>
    </w:p>
    <w:p>
      <w:pPr>
        <w:spacing w:after="0" w:line="5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 xml:space="preserve">In October 2021, the FASB issued ASU 2021-08, </w:t>
      </w:r>
      <w:r>
        <w:rPr>
          <w:rFonts w:ascii="Times New Roman" w:cs="Times New Roman" w:eastAsia="Times New Roman" w:hAnsi="Times New Roman"/>
          <w:sz w:val="14"/>
          <w:szCs w:val="14"/>
          <w:i w:val="1"/>
          <w:iCs w:val="1"/>
          <w:color w:val="auto"/>
        </w:rPr>
        <w:t>Business Combinations (Topic 805): Accounting for Contract Assets and Contract Liabilities from Contracts with Customers</w:t>
      </w:r>
      <w:r>
        <w:rPr>
          <w:rFonts w:ascii="Times New Roman" w:cs="Times New Roman" w:eastAsia="Times New Roman" w:hAnsi="Times New Roman"/>
          <w:sz w:val="14"/>
          <w:szCs w:val="14"/>
          <w:color w:val="auto"/>
        </w:rPr>
        <w:t>, which requires an acquirer in a business combination to recognize and measure contract assets and contract liabilities in accordance with Accounting Standards Codification Topic 606. ASU 2021-08 is effective for fiscal years beginning after December 15, 2022 and early adoption is permitted. We early adopted ASU No. 2021-08 for the fiscal year ending January 31, 2023. Adoption of the ASU did not have a material impact on our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r>
      <w:r>
        <w:rPr>
          <w:sz w:val="20"/>
          <w:szCs w:val="20"/>
          <w:color w:val="auto"/>
        </w:rPr>
        <w:tab/>
      </w:r>
      <w:r>
        <w:rPr>
          <w:rFonts w:ascii="Times New Roman" w:cs="Times New Roman" w:eastAsia="Times New Roman" w:hAnsi="Times New Roman"/>
          <w:sz w:val="13"/>
          <w:szCs w:val="13"/>
          <w:b w:val="1"/>
          <w:bCs w:val="1"/>
          <w:color w:val="auto"/>
        </w:rPr>
        <w:t>Revenue Recognition</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revenue by region based on the billing address of customers: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99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999"/>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999"/>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0" w:type="dxa"/>
            <w:vAlign w:val="bottom"/>
          </w:tcPr>
          <w:p>
            <w:pPr>
              <w:spacing w:after="0"/>
              <w:rPr>
                <w:sz w:val="1"/>
                <w:szCs w:val="1"/>
                <w:color w:val="auto"/>
              </w:rPr>
            </w:pPr>
          </w:p>
        </w:tc>
      </w:tr>
      <w:tr>
        <w:trPr>
          <w:trHeight w:val="104"/>
        </w:trPr>
        <w:tc>
          <w:tcPr>
            <w:tcW w:w="4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vMerge w:val="restart"/>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jc w:val="right"/>
              <w:ind w:right="199"/>
              <w:spacing w:after="0" w:line="104"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vMerge w:val="restart"/>
          </w:tcPr>
          <w:p>
            <w:pPr>
              <w:jc w:val="right"/>
              <w:ind w:right="235"/>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jc w:val="right"/>
              <w:ind w:right="199"/>
              <w:spacing w:after="0" w:line="104"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vMerge w:val="restart"/>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jc w:val="right"/>
              <w:ind w:right="199"/>
              <w:spacing w:after="0" w:line="104"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53"/>
        </w:trPr>
        <w:tc>
          <w:tcPr>
            <w:tcW w:w="4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0" w:type="dxa"/>
            <w:vAlign w:val="bottom"/>
          </w:tcPr>
          <w:p>
            <w:pPr>
              <w:spacing w:after="0"/>
              <w:rPr>
                <w:sz w:val="1"/>
                <w:szCs w:val="1"/>
                <w:color w:val="auto"/>
              </w:rPr>
            </w:pPr>
          </w:p>
        </w:tc>
      </w:tr>
      <w:tr>
        <w:trPr>
          <w:trHeight w:val="176"/>
        </w:trPr>
        <w:tc>
          <w:tcPr>
            <w:tcW w:w="4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3,054,172</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2,734,241</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1,831,694</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590,512</w:t>
            </w:r>
          </w:p>
        </w:tc>
        <w:tc>
          <w:tcPr>
            <w:tcW w:w="130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564,120</w:t>
            </w:r>
          </w:p>
        </w:tc>
        <w:tc>
          <w:tcPr>
            <w:tcW w:w="130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332,844</w:t>
            </w:r>
          </w:p>
        </w:tc>
        <w:tc>
          <w:tcPr>
            <w:tcW w:w="130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EMEA</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748,276</w:t>
            </w:r>
          </w:p>
        </w:tc>
        <w:tc>
          <w:tcPr>
            <w:tcW w:w="130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801,503</w:t>
            </w:r>
          </w:p>
        </w:tc>
        <w:tc>
          <w:tcPr>
            <w:tcW w:w="130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486,830</w:t>
            </w:r>
          </w:p>
        </w:tc>
        <w:tc>
          <w:tcPr>
            <w:tcW w:w="130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4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4,392,960</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4,099,864</w:t>
            </w: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2,651,368</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96"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on the consolidated balance sheets was $91.6 million and $59.7 million as of January 31, 2023 and 2022, respectively, and the amount of unbilled accounts receivable included within other assets, noncurrent on the consolidated balance sheets was immaterial as of January 31, 2023 and 2022.</w:t>
      </w:r>
    </w:p>
    <w:p>
      <w:pPr>
        <w:spacing w:after="0" w:line="22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fiscal years ended January 31, 2023, 2022, and 2021 that was included in deferred revenue at the beginning of each period was $1,140.7 million, $858.2 million, and $222.0 million, respectively.</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terms of our subscription agreements are monthly, annual, and multiyear and we may bill for the full term in advance or on an annual, quarterly, or monthly basis, depending on the billing terms with customers. As of January 31, 2023, the aggregate amount of the transaction price allocated to our remaining performance obligations was $3,434.4 million, which consists of both billed consideration in the amount of $1,308.4 million and unbilled consideration in the amount of $2,126.0 million that we expect to recognize as revenue. We expect to recognize 56% of our remaining performance obligations as revenue over the next 12 months and the remainder thereafter.</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Cost to Obtain a Contract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primarily capitalize sales commissions and associated payroll taxes paid to internal sales personnel that are incremental costs from the acquisition of customer contracts. These costs are recorded as deferred contract acquisition costs in the consolidated balance sheets. We determine whether costs should be deferred based on our sales compensation plans and if the commissions are incremental and would not have occurred absent the customer contract.</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unified communications and collaboration platform and related significant features. Amortization of deferred contract acquisition costs is included in sales and marketing expense in the consolidated statements of operations.</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represents a rollforward of deferred contract acquisition costs: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980" w:type="dxa"/>
            <w:vAlign w:val="bottom"/>
            <w:tcBorders>
              <w:bottom w:val="single" w:sz="8" w:color="auto"/>
            </w:tcBorders>
          </w:tcPr>
          <w:p>
            <w:pPr>
              <w:spacing w:after="0"/>
              <w:rPr>
                <w:sz w:val="13"/>
                <w:szCs w:val="13"/>
                <w:color w:val="auto"/>
              </w:rPr>
            </w:pPr>
          </w:p>
        </w:tc>
      </w:tr>
      <w:tr>
        <w:trPr>
          <w:trHeight w:val="154"/>
        </w:trPr>
        <w:tc>
          <w:tcPr>
            <w:tcW w:w="800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7"/>
        </w:trPr>
        <w:tc>
          <w:tcPr>
            <w:tcW w:w="8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Pr>
          <w:p>
            <w:pPr>
              <w:spacing w:after="0"/>
              <w:rPr>
                <w:sz w:val="15"/>
                <w:szCs w:val="15"/>
                <w:color w:val="auto"/>
              </w:rPr>
            </w:pPr>
          </w:p>
        </w:tc>
      </w:tr>
      <w:tr>
        <w:trPr>
          <w:trHeight w:val="19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363,980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4"/>
                <w:szCs w:val="14"/>
                <w:color w:val="auto"/>
              </w:rPr>
              <w:t>293,892</w:t>
            </w:r>
          </w:p>
        </w:tc>
      </w:tr>
      <w:tr>
        <w:trPr>
          <w:trHeight w:val="180"/>
        </w:trPr>
        <w:tc>
          <w:tcPr>
            <w:tcW w:w="8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Additions to deferred contract acquisition costs</w:t>
            </w:r>
          </w:p>
        </w:tc>
        <w:tc>
          <w:tcPr>
            <w:tcW w:w="96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298,629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jc w:val="center"/>
              <w:ind w:left="331"/>
              <w:spacing w:after="0"/>
              <w:rPr>
                <w:sz w:val="20"/>
                <w:szCs w:val="20"/>
                <w:color w:val="auto"/>
              </w:rPr>
            </w:pPr>
            <w:r>
              <w:rPr>
                <w:rFonts w:ascii="Times New Roman" w:cs="Times New Roman" w:eastAsia="Times New Roman" w:hAnsi="Times New Roman"/>
                <w:sz w:val="14"/>
                <w:szCs w:val="14"/>
                <w:color w:val="auto"/>
              </w:rPr>
              <w:t>247,371</w:t>
            </w:r>
          </w:p>
        </w:tc>
      </w:tr>
      <w:tr>
        <w:trPr>
          <w:trHeight w:val="180"/>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(259,368)</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center"/>
              <w:ind w:left="311"/>
              <w:spacing w:after="0"/>
              <w:rPr>
                <w:sz w:val="20"/>
                <w:szCs w:val="20"/>
                <w:color w:val="auto"/>
              </w:rPr>
            </w:pPr>
            <w:r>
              <w:rPr>
                <w:rFonts w:ascii="Times New Roman" w:cs="Times New Roman" w:eastAsia="Times New Roman" w:hAnsi="Times New Roman"/>
                <w:sz w:val="14"/>
                <w:szCs w:val="14"/>
                <w:color w:val="auto"/>
              </w:rPr>
              <w:t>(177,283)</w:t>
            </w:r>
          </w:p>
        </w:tc>
      </w:tr>
      <w:tr>
        <w:trPr>
          <w:trHeight w:val="17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403,241</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4"/>
                <w:szCs w:val="14"/>
                <w:color w:val="auto"/>
              </w:rPr>
              <w:t>363,980</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3"/>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contract acquisition costs, current (to be amortized in next 12 months)</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223,250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4"/>
                <w:szCs w:val="14"/>
                <w:color w:val="auto"/>
              </w:rPr>
              <w:t>199,266</w:t>
            </w:r>
          </w:p>
        </w:tc>
      </w:tr>
      <w:tr>
        <w:trPr>
          <w:trHeight w:val="180"/>
        </w:trPr>
        <w:tc>
          <w:tcPr>
            <w:tcW w:w="80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179,991</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4"/>
                <w:szCs w:val="14"/>
                <w:color w:val="auto"/>
              </w:rPr>
              <w:t>164,714</w:t>
            </w:r>
          </w:p>
        </w:tc>
      </w:tr>
      <w:tr>
        <w:trPr>
          <w:trHeight w:val="19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contract acquisition costs</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403,241</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4"/>
                <w:szCs w:val="14"/>
                <w:color w:val="auto"/>
              </w:rPr>
              <w:t>363,980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right="9620" w:hanging="375"/>
        <w:spacing w:after="0" w:line="381" w:lineRule="auto"/>
        <w:tabs>
          <w:tab w:leader="none" w:pos="246"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Investments </w:t>
      </w:r>
      <w:r>
        <w:rPr>
          <w:rFonts w:ascii="Times New Roman" w:cs="Times New Roman" w:eastAsia="Times New Roman" w:hAnsi="Times New Roman"/>
          <w:sz w:val="14"/>
          <w:szCs w:val="14"/>
          <w:b w:val="1"/>
          <w:bCs w:val="1"/>
          <w:i w:val="1"/>
          <w:iCs w:val="1"/>
          <w:color w:val="auto"/>
        </w:rPr>
        <w:t>Marketable Securities</w:t>
      </w:r>
    </w:p>
    <w:p>
      <w:pPr>
        <w:ind w:left="3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of January 31, 2023 and 2022, our marketable securities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As of January 31, 2023</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980" w:type="dxa"/>
            <w:vAlign w:val="bottom"/>
          </w:tcPr>
          <w:p>
            <w:pPr>
              <w:jc w:val="center"/>
              <w:ind w:left="279"/>
              <w:spacing w:after="0" w:line="106" w:lineRule="exact"/>
              <w:rPr>
                <w:sz w:val="20"/>
                <w:szCs w:val="20"/>
                <w:color w:val="auto"/>
              </w:rPr>
            </w:pPr>
            <w:r>
              <w:rPr>
                <w:rFonts w:ascii="Times New Roman" w:cs="Times New Roman" w:eastAsia="Times New Roman" w:hAnsi="Times New Roman"/>
                <w:sz w:val="11"/>
                <w:szCs w:val="11"/>
                <w:b w:val="1"/>
                <w:bCs w:val="1"/>
                <w:color w:val="auto"/>
              </w:rPr>
              <w:t>Gross</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gridSpan w:val="2"/>
          </w:tcPr>
          <w:p>
            <w:pPr>
              <w:jc w:val="center"/>
              <w:ind w:right="420"/>
              <w:spacing w:after="0" w:line="106" w:lineRule="exact"/>
              <w:rPr>
                <w:sz w:val="20"/>
                <w:szCs w:val="20"/>
                <w:color w:val="auto"/>
              </w:rPr>
            </w:pPr>
            <w:r>
              <w:rPr>
                <w:rFonts w:ascii="Times New Roman" w:cs="Times New Roman" w:eastAsia="Times New Roman" w:hAnsi="Times New Roman"/>
                <w:sz w:val="11"/>
                <w:szCs w:val="11"/>
                <w:b w:val="1"/>
                <w:bCs w:val="1"/>
                <w:color w:val="auto"/>
              </w:rPr>
              <w:t>Gross</w:t>
            </w:r>
          </w:p>
        </w:tc>
        <w:tc>
          <w:tcPr>
            <w:tcW w:w="260" w:type="dxa"/>
            <w:vAlign w:val="bottom"/>
          </w:tcPr>
          <w:p>
            <w:pPr>
              <w:spacing w:after="0"/>
              <w:rPr>
                <w:sz w:val="9"/>
                <w:szCs w:val="9"/>
                <w:color w:val="auto"/>
              </w:rPr>
            </w:pPr>
          </w:p>
        </w:tc>
        <w:tc>
          <w:tcPr>
            <w:tcW w:w="1060" w:type="dxa"/>
            <w:vAlign w:val="bottom"/>
          </w:tcPr>
          <w:p>
            <w:pPr>
              <w:jc w:val="center"/>
              <w:ind w:right="194"/>
              <w:spacing w:after="0" w:line="106"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80" w:type="dxa"/>
            <w:vAlign w:val="bottom"/>
          </w:tcPr>
          <w:p>
            <w:pPr>
              <w:jc w:val="center"/>
              <w:ind w:left="279"/>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2"/>
          </w:tcPr>
          <w:p>
            <w:pPr>
              <w:jc w:val="center"/>
              <w:ind w:right="440"/>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60" w:type="dxa"/>
            <w:vAlign w:val="bottom"/>
          </w:tcPr>
          <w:p>
            <w:pPr>
              <w:spacing w:after="0"/>
              <w:rPr>
                <w:sz w:val="10"/>
                <w:szCs w:val="10"/>
                <w:color w:val="auto"/>
              </w:rPr>
            </w:pPr>
          </w:p>
        </w:tc>
        <w:tc>
          <w:tcPr>
            <w:tcW w:w="1060" w:type="dxa"/>
            <w:vAlign w:val="bottom"/>
          </w:tcPr>
          <w:p>
            <w:pPr>
              <w:jc w:val="center"/>
              <w:ind w:right="194"/>
              <w:spacing w:after="0" w:line="117"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54"/>
        </w:trPr>
        <w:tc>
          <w:tcPr>
            <w:tcW w:w="5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1"/>
                <w:szCs w:val="11"/>
                <w:b w:val="1"/>
                <w:bCs w:val="1"/>
                <w:color w:val="auto"/>
              </w:rPr>
              <w:t>Gains</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7"/>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77,701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77,701</w:t>
            </w: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823,027</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810,650</w:t>
            </w: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debt securities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555,354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550,894</w:t>
            </w: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2,910,572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2,861,215</w:t>
            </w: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25,404</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25,376</w:t>
            </w:r>
          </w:p>
        </w:tc>
        <w:tc>
          <w:tcPr>
            <w:tcW w:w="0" w:type="dxa"/>
            <w:vAlign w:val="bottom"/>
          </w:tcPr>
          <w:p>
            <w:pPr>
              <w:spacing w:after="0"/>
              <w:rPr>
                <w:sz w:val="1"/>
                <w:szCs w:val="1"/>
                <w:color w:val="auto"/>
              </w:rPr>
            </w:pPr>
          </w:p>
        </w:tc>
      </w:tr>
      <w:tr>
        <w:trPr>
          <w:trHeight w:val="171"/>
        </w:trPr>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4,392,058</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(66,821)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4,325,836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As of January 31, 2022</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Amortized</w:t>
            </w:r>
          </w:p>
        </w:tc>
        <w:tc>
          <w:tcPr>
            <w:tcW w:w="980" w:type="dxa"/>
            <w:vAlign w:val="bottom"/>
          </w:tcPr>
          <w:p>
            <w:pPr>
              <w:jc w:val="center"/>
              <w:ind w:left="279"/>
              <w:spacing w:after="0" w:line="108" w:lineRule="exact"/>
              <w:rPr>
                <w:sz w:val="20"/>
                <w:szCs w:val="20"/>
                <w:color w:val="auto"/>
              </w:rPr>
            </w:pPr>
            <w:r>
              <w:rPr>
                <w:rFonts w:ascii="Times New Roman" w:cs="Times New Roman" w:eastAsia="Times New Roman" w:hAnsi="Times New Roman"/>
                <w:sz w:val="11"/>
                <w:szCs w:val="11"/>
                <w:b w:val="1"/>
                <w:bCs w:val="1"/>
                <w:color w:val="auto"/>
              </w:rPr>
              <w:t>Gross</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gridSpan w:val="2"/>
          </w:tcPr>
          <w:p>
            <w:pPr>
              <w:jc w:val="center"/>
              <w:ind w:right="420"/>
              <w:spacing w:after="0" w:line="108" w:lineRule="exact"/>
              <w:rPr>
                <w:sz w:val="20"/>
                <w:szCs w:val="20"/>
                <w:color w:val="auto"/>
              </w:rPr>
            </w:pPr>
            <w:r>
              <w:rPr>
                <w:rFonts w:ascii="Times New Roman" w:cs="Times New Roman" w:eastAsia="Times New Roman" w:hAnsi="Times New Roman"/>
                <w:sz w:val="11"/>
                <w:szCs w:val="11"/>
                <w:b w:val="1"/>
                <w:bCs w:val="1"/>
                <w:color w:val="auto"/>
              </w:rPr>
              <w:t>Gross</w:t>
            </w:r>
          </w:p>
        </w:tc>
        <w:tc>
          <w:tcPr>
            <w:tcW w:w="260" w:type="dxa"/>
            <w:vAlign w:val="bottom"/>
          </w:tcPr>
          <w:p>
            <w:pPr>
              <w:spacing w:after="0"/>
              <w:rPr>
                <w:sz w:val="9"/>
                <w:szCs w:val="9"/>
                <w:color w:val="auto"/>
              </w:rPr>
            </w:pPr>
          </w:p>
        </w:tc>
        <w:tc>
          <w:tcPr>
            <w:tcW w:w="1060" w:type="dxa"/>
            <w:vAlign w:val="bottom"/>
          </w:tcPr>
          <w:p>
            <w:pPr>
              <w:jc w:val="center"/>
              <w:ind w:right="194"/>
              <w:spacing w:after="0" w:line="108"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80" w:type="dxa"/>
            <w:vAlign w:val="bottom"/>
          </w:tcPr>
          <w:p>
            <w:pPr>
              <w:jc w:val="center"/>
              <w:ind w:left="279"/>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2"/>
          </w:tcPr>
          <w:p>
            <w:pPr>
              <w:jc w:val="center"/>
              <w:ind w:right="440"/>
              <w:spacing w:after="0" w:line="117"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260" w:type="dxa"/>
            <w:vAlign w:val="bottom"/>
          </w:tcPr>
          <w:p>
            <w:pPr>
              <w:spacing w:after="0"/>
              <w:rPr>
                <w:sz w:val="10"/>
                <w:szCs w:val="10"/>
                <w:color w:val="auto"/>
              </w:rPr>
            </w:pPr>
          </w:p>
        </w:tc>
        <w:tc>
          <w:tcPr>
            <w:tcW w:w="1060" w:type="dxa"/>
            <w:vAlign w:val="bottom"/>
          </w:tcPr>
          <w:p>
            <w:pPr>
              <w:jc w:val="center"/>
              <w:ind w:right="194"/>
              <w:spacing w:after="0" w:line="117"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53"/>
        </w:trPr>
        <w:tc>
          <w:tcPr>
            <w:tcW w:w="5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1"/>
                <w:szCs w:val="11"/>
                <w:b w:val="1"/>
                <w:bCs w:val="1"/>
                <w:color w:val="auto"/>
              </w:rPr>
              <w:t>Gains</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6"/>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28,723</w:t>
            </w: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632,935</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629,609</w:t>
            </w: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other debt securities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282,124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280,927</w:t>
            </w: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3,046,742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3,027,509</w:t>
            </w: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389,826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389,678</w:t>
            </w:r>
          </w:p>
        </w:tc>
        <w:tc>
          <w:tcPr>
            <w:tcW w:w="0" w:type="dxa"/>
            <w:vAlign w:val="bottom"/>
          </w:tcPr>
          <w:p>
            <w:pPr>
              <w:spacing w:after="0"/>
              <w:rPr>
                <w:sz w:val="1"/>
                <w:szCs w:val="1"/>
                <w:color w:val="auto"/>
              </w:rPr>
            </w:pPr>
          </w:p>
        </w:tc>
      </w:tr>
      <w:tr>
        <w:trPr>
          <w:trHeight w:val="171"/>
        </w:trPr>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4,380,350</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(23,939)</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4,356,446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Unrealized losses for securities that have been in an unrealized loss position for less than 12 months were $24.8 million and $23.3 million as of January 31, 2023 and 2022, respectively. Unrealized losses for securities that have been in an unrealized loss position for 12 months or longer were $42.0 million as of January 31, 2023 and were immaterial as of January 31, 2022. 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fiscal year. There were no material realized gains or losses from available-for-sale securities that were reclassified out of accumulated other comprehensive (loss) income for the fiscal years ended January 31, 2023, 2022, and 2021.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contractual maturities of our marketable securities as of January 31, 2023 and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gridSpan w:val="5"/>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than one year</w:t>
            </w: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2,743,677</w:t>
            </w: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2,387,139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Due in one to five years</w:t>
            </w:r>
          </w:p>
        </w:tc>
        <w:tc>
          <w:tcPr>
            <w:tcW w:w="340" w:type="dxa"/>
            <w:vAlign w:val="bottom"/>
            <w:tcBorders>
              <w:bottom w:val="single" w:sz="8" w:color="CFF0FC"/>
            </w:tcBorders>
          </w:tcPr>
          <w:p>
            <w:pPr>
              <w:spacing w:after="0"/>
              <w:rPr>
                <w:sz w:val="15"/>
                <w:szCs w:val="15"/>
                <w:color w:val="auto"/>
              </w:rPr>
            </w:pPr>
          </w:p>
        </w:tc>
        <w:tc>
          <w:tcPr>
            <w:tcW w:w="13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50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1,582,159</w:t>
            </w:r>
          </w:p>
        </w:tc>
        <w:tc>
          <w:tcPr>
            <w:tcW w:w="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1,969,307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gridSpan w:val="2"/>
            <w:shd w:val="clear" w:color="auto" w:fill="CFF0FC"/>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4,325,836</w:t>
            </w:r>
          </w:p>
        </w:tc>
        <w:tc>
          <w:tcPr>
            <w:tcW w:w="4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gridSpan w:val="2"/>
            <w:shd w:val="clear" w:color="auto" w:fill="CFF0FC"/>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4,356,446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bottom w:val="single" w:sz="8" w:color="CFF0FC"/>
            </w:tcBorders>
            <w:vMerge w:val="restart"/>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tc>
        <w:tc>
          <w:tcPr>
            <w:tcW w:w="3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16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Strategic investments by form and measurement category as of January 31, 2023 were as follows:</w:t>
            </w: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4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ind w:left="960"/>
              <w:spacing w:after="0"/>
              <w:rPr>
                <w:sz w:val="20"/>
                <w:szCs w:val="20"/>
                <w:color w:val="auto"/>
              </w:rPr>
            </w:pPr>
            <w:r>
              <w:rPr>
                <w:rFonts w:ascii="Times New Roman" w:cs="Times New Roman" w:eastAsia="Times New Roman" w:hAnsi="Times New Roman"/>
                <w:sz w:val="11"/>
                <w:szCs w:val="11"/>
                <w:b w:val="1"/>
                <w:bCs w:val="1"/>
                <w:color w:val="auto"/>
              </w:rPr>
              <w:t>Measurement Category</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4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Measurement Alternative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Equity Method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4"/>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171,975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118,763</w:t>
            </w:r>
          </w:p>
        </w:tc>
        <w:tc>
          <w:tcPr>
            <w:tcW w:w="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93,854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384,592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3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Strategic investments</w:t>
            </w: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118,763</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93,854</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398,992</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Strategic investments by form and measurement category as of January 31, 2022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1"/>
                <w:szCs w:val="11"/>
                <w:b w:val="1"/>
                <w:bCs w:val="1"/>
                <w:color w:val="auto"/>
              </w:rPr>
              <w:t>Measurement Category</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54"/>
        </w:trPr>
        <w:tc>
          <w:tcPr>
            <w:tcW w:w="442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Measurement Alternative</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Equity Method</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7"/>
        </w:trPr>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168,784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91,399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93,400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353,583</w:t>
            </w:r>
          </w:p>
        </w:tc>
      </w:tr>
      <w:tr>
        <w:trPr>
          <w:trHeight w:val="18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14,231</w:t>
            </w:r>
          </w:p>
        </w:tc>
      </w:tr>
      <w:tr>
        <w:trPr>
          <w:trHeight w:val="196"/>
        </w:trPr>
        <w:tc>
          <w:tcPr>
            <w:tcW w:w="44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Strategic investments</w:t>
            </w:r>
          </w:p>
        </w:tc>
        <w:tc>
          <w:tcPr>
            <w:tcW w:w="112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91,399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367,814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the second quarter of fiscal year 2023, we made a strategic investment of $40.0 million for common shares in a private placement by a company in the B2B software and services travel space. We recorded an unrealized loss of $11.7 million related to this investment for the year ended January 31, 2023. As of January 31, 2023, the fair value of the investment was $28.3 million and our ownership interest represents less than 1% percent of the economic interest of the investee's outstanding capital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r>
      <w:r>
        <w:rPr>
          <w:sz w:val="20"/>
          <w:szCs w:val="20"/>
          <w:color w:val="auto"/>
        </w:rPr>
        <w:tab/>
      </w:r>
      <w:r>
        <w:rPr>
          <w:rFonts w:ascii="Times New Roman" w:cs="Times New Roman" w:eastAsia="Times New Roman" w:hAnsi="Times New Roman"/>
          <w:sz w:val="13"/>
          <w:szCs w:val="13"/>
          <w:b w:val="1"/>
          <w:bCs w:val="1"/>
          <w:color w:val="auto"/>
        </w:rPr>
        <w:t>Fair Value Measurements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our financial instruments that are measured at fair value on a recurring basis and indicate the fair value hierarchy of the valuation inputs utilized to determine such fair value: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1"/>
                <w:szCs w:val="11"/>
                <w:b w:val="1"/>
                <w:bCs w:val="1"/>
                <w:color w:val="auto"/>
              </w:rPr>
              <w:t>As of January 31, 2023</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54"/>
        </w:trPr>
        <w:tc>
          <w:tcPr>
            <w:tcW w:w="5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77"/>
        </w:trPr>
        <w:tc>
          <w:tcPr>
            <w:tcW w:w="5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2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310,571</w:t>
            </w:r>
          </w:p>
        </w:tc>
        <w:tc>
          <w:tcPr>
            <w:tcW w:w="40" w:type="dxa"/>
            <w:vAlign w:val="bottom"/>
          </w:tcPr>
          <w:p>
            <w:pPr>
              <w:spacing w:after="0"/>
              <w:rPr>
                <w:sz w:val="15"/>
                <w:szCs w:val="15"/>
                <w:color w:val="auto"/>
              </w:rPr>
            </w:pPr>
          </w:p>
        </w:tc>
        <w:tc>
          <w:tcPr>
            <w:tcW w:w="36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310,571</w:t>
            </w:r>
          </w:p>
        </w:tc>
        <w:tc>
          <w:tcPr>
            <w:tcW w:w="40" w:type="dxa"/>
            <w:vAlign w:val="bottom"/>
          </w:tcPr>
          <w:p>
            <w:pPr>
              <w:spacing w:after="0"/>
              <w:rPr>
                <w:sz w:val="15"/>
                <w:szCs w:val="15"/>
                <w:color w:val="auto"/>
              </w:rPr>
            </w:pPr>
          </w:p>
        </w:tc>
        <w:tc>
          <w:tcPr>
            <w:tcW w:w="46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40" w:type="dxa"/>
            <w:vAlign w:val="bottom"/>
            <w:tcBorders>
              <w:top w:val="single" w:sz="8" w:color="CCEEFF"/>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equivalents</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310,571</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310,571</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77,701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77,701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810,650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810,650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and other debt securities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550,894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550,894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2,861,215</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2,861,215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25,376</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25,376</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4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Marketable securities</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4,325,836</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4,325,836</w:t>
            </w: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Certificates of deposit included in other assets, noncurrent</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Publicly held equity securities included in strategic investments</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171,975</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171,975</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Privately held debt securities included in strategic investments</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14,400</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14,400</w:t>
            </w:r>
          </w:p>
        </w:tc>
        <w:tc>
          <w:tcPr>
            <w:tcW w:w="40" w:type="dxa"/>
            <w:vAlign w:val="bottom"/>
            <w:tcBorders>
              <w:bottom w:val="single" w:sz="8" w:color="auto"/>
            </w:tcBorders>
          </w:tcPr>
          <w:p>
            <w:pPr>
              <w:spacing w:after="0"/>
              <w:rPr>
                <w:sz w:val="14"/>
                <w:szCs w:val="14"/>
                <w:color w:val="auto"/>
              </w:rPr>
            </w:pPr>
          </w:p>
        </w:tc>
      </w:tr>
      <w:tr>
        <w:trPr>
          <w:trHeight w:val="196"/>
        </w:trPr>
        <w:tc>
          <w:tcPr>
            <w:tcW w:w="57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financial assets</w:t>
            </w: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4,823,054</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482,546</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4,326,108</w:t>
            </w: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14,400</w:t>
            </w:r>
          </w:p>
        </w:tc>
        <w:tc>
          <w:tcPr>
            <w:tcW w:w="40" w:type="dxa"/>
            <w:vAlign w:val="bottom"/>
            <w:tcBorders>
              <w:bottom w:val="single" w:sz="8" w:color="auto"/>
            </w:tcBorders>
            <w:shd w:val="clear" w:color="auto" w:fill="CCEEFF"/>
          </w:tcPr>
          <w:p>
            <w:pPr>
              <w:spacing w:after="0"/>
              <w:rPr>
                <w:sz w:val="16"/>
                <w:szCs w:val="16"/>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57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1"/>
                <w:szCs w:val="11"/>
                <w:b w:val="1"/>
                <w:bCs w:val="1"/>
                <w:color w:val="auto"/>
              </w:rPr>
              <w:t>As of January 31, 2022</w:t>
            </w: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154"/>
        </w:trPr>
        <w:tc>
          <w:tcPr>
            <w:tcW w:w="5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0" w:type="dxa"/>
            <w:vAlign w:val="bottom"/>
          </w:tcPr>
          <w:p>
            <w:pPr>
              <w:spacing w:after="0"/>
              <w:rPr>
                <w:sz w:val="13"/>
                <w:szCs w:val="13"/>
                <w:color w:val="auto"/>
              </w:rPr>
            </w:pPr>
          </w:p>
        </w:tc>
      </w:tr>
      <w:tr>
        <w:trPr>
          <w:trHeight w:val="177"/>
        </w:trPr>
        <w:tc>
          <w:tcPr>
            <w:tcW w:w="5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5"/>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220" w:type="dxa"/>
            <w:vAlign w:val="bottom"/>
          </w:tcPr>
          <w:p>
            <w:pPr>
              <w:jc w:val="right"/>
              <w:ind w:right="132"/>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688,722</w:t>
            </w:r>
          </w:p>
        </w:tc>
        <w:tc>
          <w:tcPr>
            <w:tcW w:w="40" w:type="dxa"/>
            <w:vAlign w:val="bottom"/>
          </w:tcPr>
          <w:p>
            <w:pPr>
              <w:spacing w:after="0"/>
              <w:rPr>
                <w:sz w:val="15"/>
                <w:szCs w:val="15"/>
                <w:color w:val="auto"/>
              </w:rPr>
            </w:pPr>
          </w:p>
        </w:tc>
        <w:tc>
          <w:tcPr>
            <w:tcW w:w="36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688,722</w:t>
            </w:r>
          </w:p>
        </w:tc>
        <w:tc>
          <w:tcPr>
            <w:tcW w:w="40" w:type="dxa"/>
            <w:vAlign w:val="bottom"/>
          </w:tcPr>
          <w:p>
            <w:pPr>
              <w:spacing w:after="0"/>
              <w:rPr>
                <w:sz w:val="15"/>
                <w:szCs w:val="15"/>
                <w:color w:val="auto"/>
              </w:rPr>
            </w:pPr>
          </w:p>
        </w:tc>
        <w:tc>
          <w:tcPr>
            <w:tcW w:w="46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40" w:type="dxa"/>
            <w:vAlign w:val="bottom"/>
            <w:tcBorders>
              <w:right w:val="single" w:sz="8" w:color="CCEEFF"/>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107,496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107,496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71"/>
        </w:trPr>
        <w:tc>
          <w:tcPr>
            <w:tcW w:w="5740" w:type="dxa"/>
            <w:vAlign w:val="bottom"/>
            <w:tcBorders>
              <w:top w:val="single" w:sz="8" w:color="CCEEFF"/>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equivalents</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796,967</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688,722</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108,245</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71"/>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28,723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80"/>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Agency bonds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629,609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629,609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and other debt securities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280,927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280,927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3,027,509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3,027,509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bills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389,678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389,678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71"/>
        </w:trPr>
        <w:tc>
          <w:tcPr>
            <w:tcW w:w="5740" w:type="dxa"/>
            <w:vAlign w:val="bottom"/>
            <w:tcBorders>
              <w:top w:val="single" w:sz="8" w:color="CCEEFF"/>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Marketable securities</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4,356,446</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4,356,446</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71"/>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Certificates of deposit included in other assets, noncurrent</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71"/>
        </w:trPr>
        <w:tc>
          <w:tcPr>
            <w:tcW w:w="57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Publicly held equity securities included in strategic investments</w:t>
            </w: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168,784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168,784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71"/>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Privately held debt securities included in strategic investments</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40" w:type="dxa"/>
            <w:vAlign w:val="bottom"/>
          </w:tcPr>
          <w:p>
            <w:pPr>
              <w:spacing w:after="0"/>
              <w:rPr>
                <w:sz w:val="14"/>
                <w:szCs w:val="14"/>
                <w:color w:val="auto"/>
              </w:rPr>
            </w:pPr>
          </w:p>
        </w:tc>
      </w:tr>
      <w:tr>
        <w:trPr>
          <w:trHeight w:val="196"/>
        </w:trPr>
        <w:tc>
          <w:tcPr>
            <w:tcW w:w="57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financial assets</w:t>
            </w:r>
          </w:p>
        </w:tc>
        <w:tc>
          <w:tcPr>
            <w:tcW w:w="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5,336,725</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857,506</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4,464,988</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40" w:type="dxa"/>
            <w:vAlign w:val="bottom"/>
          </w:tcPr>
          <w:p>
            <w:pPr>
              <w:spacing w:after="0"/>
              <w:rPr>
                <w:sz w:val="16"/>
                <w:szCs w:val="16"/>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5.</w:t>
        <w:tab/>
        <w:t>Business Combinations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May 19, 2022, we acquired 100% of the issued and outstanding share capital of Solvvy, Inc., a private technology company specializing in customer support automation, for an all-cash purchase consideration of $121.2 million. The acquisition adds to our customer service capabilities and enhances our integrated platform by providing conversational AI capabilities. The acquisition has been accounted for as a business combination.</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allocating the purchase consideration, $95.0 million was attributed to goodwill, $26.7 million to intangible assets (consisting of $12.0 million to developed technology and $14.7 million to customer relationships), and $0.5 million to other net liabilities acquired. The goodwill amount represents synergies related to our existing products expected to be realized from the acquisition and assembled workforce. The associated goodwill is not deductible for tax purposes.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At the date of the acquisition, the developed technology and customer relationships both had an estimated useful life of 5.0 years, and both are amortized using the straight-line method over their respective estimated useful lives. Amortization expense of developed technology is recorded within cost of revenue in the consolidated statements of operations and amortization expense of customer relationships is recorded within sales and marketing in the consolidated statements of operations. As of January 31, 2023, the developed technology and customer relationships both had a remaining useful life of 4.3 years.</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Transaction costs incurred in connection with the acquisition were immaterial. The results of operations of Solvvy, Inc., which are not material, have been included in our consolidated financial statements from the date of the acquisition. Pro forma and historical results of operations of the company have not been presented, as the results do not have a material effect on any of the periods presented in our consolidated statements of operations.</w:t>
      </w:r>
    </w:p>
    <w:p>
      <w:pPr>
        <w:spacing w:after="0" w:line="1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tab/>
        <w:t>Balance Sheet Components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Prepaid Expenses and Other Current Assets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86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77"/>
        </w:trPr>
        <w:tc>
          <w:tcPr>
            <w:tcW w:w="7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3"/>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123,493</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112,666</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from international employee stock sales</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10,236</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26,458</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22,700</w:t>
            </w:r>
          </w:p>
        </w:tc>
        <w:tc>
          <w:tcPr>
            <w:tcW w:w="0" w:type="dxa"/>
            <w:vAlign w:val="bottom"/>
          </w:tcPr>
          <w:p>
            <w:pPr>
              <w:spacing w:after="0"/>
              <w:rPr>
                <w:sz w:val="1"/>
                <w:szCs w:val="1"/>
                <w:color w:val="auto"/>
              </w:rPr>
            </w:pPr>
          </w:p>
        </w:tc>
      </w:tr>
      <w:tr>
        <w:trPr>
          <w:trHeight w:val="171"/>
        </w:trPr>
        <w:tc>
          <w:tcPr>
            <w:tcW w:w="7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163,092</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145,602</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8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Property and equipment consisted of the following:</w:t>
            </w: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86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786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77"/>
        </w:trPr>
        <w:tc>
          <w:tcPr>
            <w:tcW w:w="7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3"/>
          </w:tcPr>
          <w:p>
            <w:pPr>
              <w:jc w:val="center"/>
              <w:ind w:left="3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Servers</w:t>
            </w:r>
          </w:p>
        </w:tc>
        <w:tc>
          <w:tcPr>
            <w:tcW w:w="100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249,776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185,491</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and office equipment</w:t>
            </w:r>
          </w:p>
        </w:tc>
        <w:tc>
          <w:tcPr>
            <w:tcW w:w="1000" w:type="dxa"/>
            <w:vAlign w:val="bottom"/>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48,325</w:t>
            </w:r>
          </w:p>
        </w:tc>
        <w:tc>
          <w:tcPr>
            <w:tcW w:w="10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39,410</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84,082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59,153</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25,340</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0" w:type="dxa"/>
            <w:vAlign w:val="bottom"/>
          </w:tcPr>
          <w:p>
            <w:pPr>
              <w:spacing w:after="0"/>
              <w:rPr>
                <w:sz w:val="1"/>
                <w:szCs w:val="1"/>
                <w:color w:val="auto"/>
              </w:rPr>
            </w:pPr>
          </w:p>
        </w:tc>
      </w:tr>
      <w:tr>
        <w:trPr>
          <w:trHeight w:val="171"/>
        </w:trPr>
        <w:tc>
          <w:tcPr>
            <w:tcW w:w="7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412,503</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313,959</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(159,682)</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(91,605)</w:t>
            </w:r>
          </w:p>
        </w:tc>
        <w:tc>
          <w:tcPr>
            <w:tcW w:w="0" w:type="dxa"/>
            <w:vAlign w:val="bottom"/>
          </w:tcPr>
          <w:p>
            <w:pPr>
              <w:spacing w:after="0"/>
              <w:rPr>
                <w:sz w:val="1"/>
                <w:szCs w:val="1"/>
                <w:color w:val="auto"/>
              </w:rPr>
            </w:pPr>
          </w:p>
        </w:tc>
      </w:tr>
      <w:tr>
        <w:trPr>
          <w:trHeight w:val="171"/>
        </w:trPr>
        <w:tc>
          <w:tcPr>
            <w:tcW w:w="7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252,821</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222,354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Depreciation and amortization expense was $77.0 million, $47.5 million, and $28.4 million for the fiscal years ended January 31, 2023, 2022, and 2021, respectively.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Assets, Noncurrent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assets, noncurrent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Accounts receivable,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34860" cy="1143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Prepaid expense, noncurrent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Indefinite-lived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34860" cy="114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Intangible assets subject to amortization, net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34860" cy="114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Other assets, noncurrent</w:t>
      </w:r>
    </w:p>
    <w:p>
      <w:pPr>
        <w:spacing w:after="0" w:line="3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 and Other Current Liabilities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34860" cy="114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compensation and benefits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34860" cy="114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Sales and other non-income tax liabilities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Customer deposit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34860" cy="114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Operating lease liabilities, current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34860" cy="114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p>
      <w:pPr>
        <w:spacing w:after="0" w:line="2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Liabilities, Noncurrent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liabilities, noncurrent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Sales and other non-income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34860" cy="114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34860" cy="134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Other liabilities, noncurrent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1420"/>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1"/>
          <w:szCs w:val="11"/>
          <w:b w:val="1"/>
          <w:bCs w:val="1"/>
          <w:color w:val="auto"/>
        </w:rPr>
        <w:t>As of January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8"/>
        </w:trPr>
        <w:tc>
          <w:tcPr>
            <w:tcW w:w="400" w:type="dxa"/>
            <w:vAlign w:val="bottom"/>
          </w:tcPr>
          <w:p>
            <w:pPr>
              <w:spacing w:after="0"/>
              <w:rPr>
                <w:sz w:val="14"/>
                <w:szCs w:val="14"/>
                <w:color w:val="auto"/>
              </w:rPr>
            </w:pPr>
          </w:p>
        </w:tc>
        <w:tc>
          <w:tcPr>
            <w:tcW w:w="1880" w:type="dxa"/>
            <w:vAlign w:val="bottom"/>
            <w:gridSpan w:val="3"/>
          </w:tcPr>
          <w:p>
            <w:pPr>
              <w:jc w:val="center"/>
              <w:ind w:left="63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4"/>
                <w:szCs w:val="14"/>
                <w:color w:val="auto"/>
              </w:rPr>
            </w:pPr>
          </w:p>
        </w:tc>
      </w:tr>
      <w:tr>
        <w:trPr>
          <w:trHeight w:val="195"/>
        </w:trPr>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92,031</w:t>
            </w:r>
          </w:p>
        </w:tc>
        <w:tc>
          <w:tcPr>
            <w:tcW w:w="100" w:type="dxa"/>
            <w:vAlign w:val="bottom"/>
          </w:tcPr>
          <w:p>
            <w:pPr>
              <w:spacing w:after="0"/>
              <w:rPr>
                <w:sz w:val="16"/>
                <w:szCs w:val="16"/>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55,643</w:t>
            </w:r>
          </w:p>
        </w:tc>
      </w:tr>
      <w:tr>
        <w:trPr>
          <w:trHeight w:val="180"/>
        </w:trPr>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16,120</w:t>
            </w:r>
          </w:p>
        </w:tc>
      </w:tr>
      <w:tr>
        <w:trPr>
          <w:trHeight w:val="180"/>
        </w:trPr>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21,020</w:t>
            </w:r>
          </w:p>
        </w:tc>
      </w:tr>
      <w:tr>
        <w:trPr>
          <w:trHeight w:val="180"/>
        </w:trPr>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w:t>
            </w:r>
          </w:p>
        </w:tc>
      </w:tr>
      <w:tr>
        <w:trPr>
          <w:trHeight w:val="184"/>
        </w:trPr>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19,489</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11,006</w:t>
            </w:r>
          </w:p>
        </w:tc>
      </w:tr>
      <w:tr>
        <w:trPr>
          <w:trHeight w:val="171"/>
        </w:trPr>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177,874</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106,761</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992"/>
        </w:trPr>
        <w:tc>
          <w:tcPr>
            <w:tcW w:w="4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634"/>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00" w:type="dxa"/>
            <w:vAlign w:val="bottom"/>
            <w:tcBorders>
              <w:bottom w:val="single" w:sz="8" w:color="auto"/>
            </w:tcBorders>
          </w:tcPr>
          <w:p>
            <w:pPr>
              <w:spacing w:after="0"/>
              <w:rPr>
                <w:sz w:val="24"/>
                <w:szCs w:val="24"/>
                <w:color w:val="auto"/>
              </w:rPr>
            </w:pPr>
          </w:p>
        </w:tc>
      </w:tr>
      <w:tr>
        <w:trPr>
          <w:trHeight w:val="154"/>
        </w:trPr>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8"/>
        </w:trPr>
        <w:tc>
          <w:tcPr>
            <w:tcW w:w="400" w:type="dxa"/>
            <w:vAlign w:val="bottom"/>
          </w:tcPr>
          <w:p>
            <w:pPr>
              <w:spacing w:after="0"/>
              <w:rPr>
                <w:sz w:val="14"/>
                <w:szCs w:val="14"/>
                <w:color w:val="auto"/>
              </w:rPr>
            </w:pPr>
          </w:p>
        </w:tc>
        <w:tc>
          <w:tcPr>
            <w:tcW w:w="1880" w:type="dxa"/>
            <w:vAlign w:val="bottom"/>
            <w:gridSpan w:val="3"/>
          </w:tcPr>
          <w:p>
            <w:pPr>
              <w:jc w:val="center"/>
              <w:ind w:left="63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4"/>
                <w:szCs w:val="14"/>
                <w:color w:val="auto"/>
              </w:rPr>
            </w:pPr>
          </w:p>
        </w:tc>
      </w:tr>
      <w:tr>
        <w:trPr>
          <w:trHeight w:val="195"/>
        </w:trPr>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160,189</w:t>
            </w:r>
          </w:p>
        </w:tc>
        <w:tc>
          <w:tcPr>
            <w:tcW w:w="100" w:type="dxa"/>
            <w:vAlign w:val="bottom"/>
          </w:tcPr>
          <w:p>
            <w:pPr>
              <w:spacing w:after="0"/>
              <w:rPr>
                <w:sz w:val="16"/>
                <w:szCs w:val="16"/>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149,658</w:t>
            </w:r>
          </w:p>
        </w:tc>
      </w:tr>
      <w:tr>
        <w:trPr>
          <w:trHeight w:val="180"/>
        </w:trPr>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139,105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126,322</w:t>
            </w:r>
          </w:p>
        </w:tc>
      </w:tr>
      <w:tr>
        <w:trPr>
          <w:trHeight w:val="180"/>
        </w:trPr>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56,968</w:t>
            </w:r>
          </w:p>
        </w:tc>
      </w:tr>
      <w:tr>
        <w:trPr>
          <w:trHeight w:val="180"/>
        </w:trPr>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33,859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33,305</w:t>
            </w:r>
          </w:p>
        </w:tc>
      </w:tr>
      <w:tr>
        <w:trPr>
          <w:trHeight w:val="180"/>
        </w:trPr>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33,640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20,884</w:t>
            </w:r>
          </w:p>
        </w:tc>
      </w:tr>
      <w:tr>
        <w:trPr>
          <w:trHeight w:val="180"/>
        </w:trPr>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20,697</w:t>
            </w:r>
          </w:p>
        </w:tc>
      </w:tr>
      <w:tr>
        <w:trPr>
          <w:trHeight w:val="184"/>
        </w:trPr>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21,692</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22,581</w:t>
            </w:r>
          </w:p>
        </w:tc>
      </w:tr>
      <w:tr>
        <w:trPr>
          <w:trHeight w:val="171"/>
        </w:trPr>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457,716</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430,415</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96"/>
        </w:trPr>
        <w:tc>
          <w:tcPr>
            <w:tcW w:w="4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634"/>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00" w:type="dxa"/>
            <w:vAlign w:val="bottom"/>
            <w:tcBorders>
              <w:bottom w:val="single" w:sz="8" w:color="auto"/>
            </w:tcBorders>
          </w:tcPr>
          <w:p>
            <w:pPr>
              <w:spacing w:after="0"/>
              <w:rPr>
                <w:sz w:val="24"/>
                <w:szCs w:val="24"/>
                <w:color w:val="auto"/>
              </w:rPr>
            </w:pPr>
          </w:p>
        </w:tc>
      </w:tr>
      <w:tr>
        <w:trPr>
          <w:trHeight w:val="154"/>
        </w:trPr>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8"/>
        </w:trPr>
        <w:tc>
          <w:tcPr>
            <w:tcW w:w="400" w:type="dxa"/>
            <w:vAlign w:val="bottom"/>
          </w:tcPr>
          <w:p>
            <w:pPr>
              <w:spacing w:after="0"/>
              <w:rPr>
                <w:sz w:val="14"/>
                <w:szCs w:val="14"/>
                <w:color w:val="auto"/>
              </w:rPr>
            </w:pPr>
          </w:p>
        </w:tc>
        <w:tc>
          <w:tcPr>
            <w:tcW w:w="1880" w:type="dxa"/>
            <w:vAlign w:val="bottom"/>
            <w:gridSpan w:val="3"/>
          </w:tcPr>
          <w:p>
            <w:pPr>
              <w:jc w:val="center"/>
              <w:ind w:left="63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00" w:type="dxa"/>
            <w:vAlign w:val="bottom"/>
          </w:tcPr>
          <w:p>
            <w:pPr>
              <w:spacing w:after="0"/>
              <w:rPr>
                <w:sz w:val="14"/>
                <w:szCs w:val="14"/>
                <w:color w:val="auto"/>
              </w:rPr>
            </w:pPr>
          </w:p>
        </w:tc>
      </w:tr>
      <w:tr>
        <w:trPr>
          <w:trHeight w:val="195"/>
        </w:trPr>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42,321</w:t>
            </w:r>
          </w:p>
        </w:tc>
        <w:tc>
          <w:tcPr>
            <w:tcW w:w="100" w:type="dxa"/>
            <w:vAlign w:val="bottom"/>
          </w:tcPr>
          <w:p>
            <w:pPr>
              <w:spacing w:after="0"/>
              <w:rPr>
                <w:sz w:val="16"/>
                <w:szCs w:val="16"/>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53,916</w:t>
            </w:r>
          </w:p>
        </w:tc>
      </w:tr>
      <w:tr>
        <w:trPr>
          <w:trHeight w:val="184"/>
        </w:trPr>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24,874</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14,194</w:t>
            </w:r>
          </w:p>
        </w:tc>
      </w:tr>
      <w:tr>
        <w:trPr>
          <w:trHeight w:val="171"/>
        </w:trPr>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67,195</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68,110</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140" w:space="720"/>
            <w:col w:w="3380"/>
          </w:cols>
          <w:pgMar w:left="300" w:top="125"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3"/>
          <w:szCs w:val="13"/>
          <w:b w:val="1"/>
          <w:bCs w:val="1"/>
          <w:color w:val="auto"/>
        </w:rPr>
        <w:t>Operating Leases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 xml:space="preserve">We have entered into various operating lease agreements for office space, with remaining contractual periods of up to six years. We also enter into equipment operating lease agreements related to our Hardware-as-a-Service (“HaaS”) offering. We elect to apply the lessor practical expedient per ASC 842 and account for HaaS with customers as a combined performance obligation with the right to access our unified communications and collaboration platform under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HaaS was immaterial to our consolidated financial statements. Many of our leases contain one or more options to extend. As leases approach maturity, we consider various factors such as market conditions and the terms of any renewal options that may exist to determine whether we are reasonably certain to exercise the options to extend the lease. Operating lease expense for the fiscal years ended January 31, 2023, 2022 and 2021 was $32.7 million, $22.8 million and $14.5 million, respectively, excluding short-term lease costs, variable lease costs, and sublease income, each of which was immaterial for the fiscal years ended January 31, 2023, 2022 and 2021.</w:t>
      </w:r>
    </w:p>
    <w:p>
      <w:pPr>
        <w:spacing w:after="0" w:line="2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Supplemental balance sheet information related to operating leases was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50"/>
        </w:trPr>
        <w:tc>
          <w:tcPr>
            <w:tcW w:w="5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60" w:type="dxa"/>
            <w:vAlign w:val="bottom"/>
            <w:gridSpan w:val="4"/>
          </w:tcPr>
          <w:p>
            <w:pPr>
              <w:ind w:left="560"/>
              <w:spacing w:after="0"/>
              <w:rPr>
                <w:sz w:val="20"/>
                <w:szCs w:val="20"/>
                <w:color w:val="auto"/>
              </w:rPr>
            </w:pPr>
            <w:r>
              <w:rPr>
                <w:rFonts w:ascii="Times New Roman" w:cs="Times New Roman" w:eastAsia="Times New Roman" w:hAnsi="Times New Roman"/>
                <w:sz w:val="11"/>
                <w:szCs w:val="11"/>
                <w:b w:val="1"/>
                <w:bCs w:val="1"/>
                <w:color w:val="auto"/>
              </w:rPr>
              <w:t>(in thousands, except life and percentages)</w:t>
            </w:r>
          </w:p>
        </w:tc>
        <w:tc>
          <w:tcPr>
            <w:tcW w:w="0" w:type="dxa"/>
            <w:vAlign w:val="bottom"/>
          </w:tcPr>
          <w:p>
            <w:pPr>
              <w:spacing w:after="0"/>
              <w:rPr>
                <w:sz w:val="1"/>
                <w:szCs w:val="1"/>
                <w:color w:val="auto"/>
              </w:rPr>
            </w:pPr>
          </w:p>
        </w:tc>
      </w:tr>
      <w:tr>
        <w:trPr>
          <w:trHeight w:val="18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Reported as:</w:t>
            </w: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80,906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95,965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90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22,790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20,697</w:t>
            </w:r>
          </w:p>
        </w:tc>
        <w:tc>
          <w:tcPr>
            <w:tcW w:w="0" w:type="dxa"/>
            <w:vAlign w:val="bottom"/>
          </w:tcPr>
          <w:p>
            <w:pPr>
              <w:spacing w:after="0"/>
              <w:rPr>
                <w:sz w:val="1"/>
                <w:szCs w:val="1"/>
                <w:color w:val="auto"/>
              </w:rPr>
            </w:pPr>
          </w:p>
        </w:tc>
      </w:tr>
      <w:tr>
        <w:trPr>
          <w:trHeight w:val="180"/>
        </w:trPr>
        <w:tc>
          <w:tcPr>
            <w:tcW w:w="5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116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color w:val="auto"/>
              </w:rPr>
              <w:t>73,687</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85,018</w:t>
            </w: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96,477</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105,715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1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4.3 years</w:t>
            </w:r>
          </w:p>
        </w:tc>
        <w:tc>
          <w:tcPr>
            <w:tcW w:w="5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years</w:t>
            </w:r>
          </w:p>
        </w:tc>
        <w:tc>
          <w:tcPr>
            <w:tcW w:w="0" w:type="dxa"/>
            <w:vAlign w:val="bottom"/>
          </w:tcPr>
          <w:p>
            <w:pPr>
              <w:spacing w:after="0"/>
              <w:rPr>
                <w:sz w:val="1"/>
                <w:szCs w:val="1"/>
                <w:color w:val="auto"/>
              </w:rPr>
            </w:pPr>
          </w:p>
        </w:tc>
      </w:tr>
      <w:tr>
        <w:trPr>
          <w:trHeight w:val="184"/>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410"/>
        </w:trPr>
        <w:tc>
          <w:tcPr>
            <w:tcW w:w="5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Supplemental cash flow and other information related to operating leases was as follows:</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9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900" w:type="dxa"/>
            <w:vAlign w:val="bottom"/>
          </w:tcPr>
          <w:p>
            <w:pPr>
              <w:spacing w:after="0"/>
              <w:rPr>
                <w:sz w:val="13"/>
                <w:szCs w:val="13"/>
                <w:color w:val="auto"/>
              </w:rPr>
            </w:pPr>
          </w:p>
        </w:tc>
        <w:tc>
          <w:tcPr>
            <w:tcW w:w="1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50"/>
        </w:trPr>
        <w:tc>
          <w:tcPr>
            <w:tcW w:w="5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 included in the measurement of our operating lease liabilities</w:t>
            </w:r>
          </w:p>
        </w:tc>
        <w:tc>
          <w:tcPr>
            <w:tcW w:w="116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27,120</w:t>
            </w:r>
          </w:p>
        </w:tc>
        <w:tc>
          <w:tcPr>
            <w:tcW w:w="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22,679</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13,717</w:t>
            </w:r>
          </w:p>
        </w:tc>
        <w:tc>
          <w:tcPr>
            <w:tcW w:w="0" w:type="dxa"/>
            <w:vAlign w:val="bottom"/>
          </w:tcPr>
          <w:p>
            <w:pPr>
              <w:spacing w:after="0"/>
              <w:rPr>
                <w:sz w:val="1"/>
                <w:szCs w:val="1"/>
                <w:color w:val="auto"/>
              </w:rPr>
            </w:pPr>
          </w:p>
        </w:tc>
      </w:tr>
      <w:tr>
        <w:trPr>
          <w:trHeight w:val="184"/>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recognized in exchange for new operating lease obligations</w:t>
            </w:r>
          </w:p>
        </w:tc>
        <w:tc>
          <w:tcPr>
            <w:tcW w:w="1160" w:type="dxa"/>
            <w:vAlign w:val="bottom"/>
          </w:tcPr>
          <w:p>
            <w:pPr>
              <w:jc w:val="right"/>
              <w:ind w:right="101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13,857</w:t>
            </w:r>
          </w:p>
        </w:tc>
        <w:tc>
          <w:tcPr>
            <w:tcW w:w="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16,784</w:t>
            </w:r>
          </w:p>
        </w:tc>
        <w:tc>
          <w:tcPr>
            <w:tcW w:w="100" w:type="dxa"/>
            <w:vAlign w:val="bottom"/>
          </w:tcPr>
          <w:p>
            <w:pPr>
              <w:spacing w:after="0"/>
              <w:rPr>
                <w:sz w:val="16"/>
                <w:szCs w:val="16"/>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January 31, 2023, the future minimum lease payments included in the measurement of our operating lease liabilities are as follows: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As of January 31, 2023</w:t>
            </w:r>
          </w:p>
        </w:tc>
        <w:tc>
          <w:tcPr>
            <w:tcW w:w="0" w:type="dxa"/>
            <w:vAlign w:val="bottom"/>
          </w:tcPr>
          <w:p>
            <w:pPr>
              <w:spacing w:after="0"/>
              <w:rPr>
                <w:sz w:val="1"/>
                <w:szCs w:val="1"/>
                <w:color w:val="auto"/>
              </w:rPr>
            </w:pPr>
          </w:p>
        </w:tc>
      </w:tr>
      <w:tr>
        <w:trPr>
          <w:trHeight w:val="154"/>
        </w:trPr>
        <w:tc>
          <w:tcPr>
            <w:tcW w:w="6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8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January 31,</w:t>
            </w:r>
          </w:p>
        </w:tc>
        <w:tc>
          <w:tcPr>
            <w:tcW w:w="1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8,004</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lease payments</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imputed interest</w:t>
            </w:r>
          </w:p>
        </w:tc>
        <w:tc>
          <w:tcPr>
            <w:tcW w:w="1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(8,699)</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96,477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8.  Goodwill and Intangible Assets</w:t>
            </w: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8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8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changes in the carrying amount of goodwill during the years:</w:t>
            </w:r>
          </w:p>
        </w:tc>
        <w:tc>
          <w:tcPr>
            <w:tcW w:w="1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4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6860" w:type="dxa"/>
            <w:vAlign w:val="bottom"/>
          </w:tcPr>
          <w:p>
            <w:pPr>
              <w:spacing w:after="0"/>
              <w:rPr>
                <w:sz w:val="13"/>
                <w:szCs w:val="13"/>
                <w:color w:val="auto"/>
              </w:rPr>
            </w:pPr>
          </w:p>
        </w:tc>
        <w:tc>
          <w:tcPr>
            <w:tcW w:w="14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20" w:type="dxa"/>
            <w:vAlign w:val="bottom"/>
            <w:gridSpan w:val="4"/>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the year</w:t>
            </w:r>
          </w:p>
        </w:tc>
        <w:tc>
          <w:tcPr>
            <w:tcW w:w="1420" w:type="dxa"/>
            <w:vAlign w:val="bottom"/>
            <w:shd w:val="clear" w:color="auto" w:fill="CCEEFF"/>
          </w:tcPr>
          <w:p>
            <w:pPr>
              <w:jc w:val="right"/>
              <w:ind w:right="125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27,607</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Increase in goodwill related to business combinations</w:t>
            </w:r>
          </w:p>
        </w:tc>
        <w:tc>
          <w:tcPr>
            <w:tcW w:w="1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95,034</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ending of the year</w:t>
            </w:r>
          </w:p>
        </w:tc>
        <w:tc>
          <w:tcPr>
            <w:tcW w:w="1420" w:type="dxa"/>
            <w:vAlign w:val="bottom"/>
            <w:tcBorders>
              <w:bottom w:val="single" w:sz="8" w:color="auto"/>
            </w:tcBorders>
            <w:shd w:val="clear" w:color="auto" w:fill="CCEEFF"/>
          </w:tcPr>
          <w:p>
            <w:pPr>
              <w:jc w:val="right"/>
              <w:ind w:right="125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122,641</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the first half of the fiscal year ending January 31, 2023, we acquired Solvvy, Inc., and recorded $95.0 million of goodwill. See Note 5 for additional information related to the purchase of Solvvy, Inc.</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Intangibles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intangible assets with a finite useful life included within other asset, noncurrent on the consolidated balance sheet: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04"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240" w:type="dxa"/>
            <w:vAlign w:val="bottom"/>
          </w:tcPr>
          <w:p>
            <w:pPr>
              <w:spacing w:after="0"/>
              <w:rPr>
                <w:sz w:val="9"/>
                <w:szCs w:val="9"/>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Net Value</w:t>
            </w:r>
          </w:p>
        </w:tc>
        <w:tc>
          <w:tcPr>
            <w:tcW w:w="100" w:type="dxa"/>
            <w:vAlign w:val="bottom"/>
            <w:vMerge w:val="restart"/>
          </w:tcPr>
          <w:p>
            <w:pPr>
              <w:spacing w:after="0"/>
              <w:rPr>
                <w:sz w:val="9"/>
                <w:szCs w:val="9"/>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8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260" w:type="dxa"/>
            <w:vAlign w:val="bottom"/>
          </w:tcPr>
          <w:p>
            <w:pPr>
              <w:spacing w:after="0"/>
              <w:rPr>
                <w:sz w:val="9"/>
                <w:szCs w:val="9"/>
                <w:color w:val="auto"/>
              </w:rPr>
            </w:pPr>
          </w:p>
        </w:tc>
        <w:tc>
          <w:tcPr>
            <w:tcW w:w="1040" w:type="dxa"/>
            <w:vAlign w:val="bottom"/>
            <w:vMerge w:val="restart"/>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Net Value</w:t>
            </w:r>
          </w:p>
        </w:tc>
        <w:tc>
          <w:tcPr>
            <w:tcW w:w="0" w:type="dxa"/>
            <w:vAlign w:val="bottom"/>
          </w:tcPr>
          <w:p>
            <w:pPr>
              <w:spacing w:after="0"/>
              <w:rPr>
                <w:sz w:val="1"/>
                <w:szCs w:val="1"/>
                <w:color w:val="auto"/>
              </w:rPr>
            </w:pPr>
          </w:p>
        </w:tc>
      </w:tr>
      <w:tr>
        <w:trPr>
          <w:trHeight w:val="153"/>
        </w:trPr>
        <w:tc>
          <w:tcPr>
            <w:tcW w:w="3100" w:type="dxa"/>
            <w:vAlign w:val="bottom"/>
          </w:tcPr>
          <w:p>
            <w:pPr>
              <w:spacing w:after="0"/>
              <w:rPr>
                <w:sz w:val="13"/>
                <w:szCs w:val="13"/>
                <w:color w:val="auto"/>
              </w:rPr>
            </w:pPr>
          </w:p>
        </w:tc>
        <w:tc>
          <w:tcPr>
            <w:tcW w:w="1280" w:type="dxa"/>
            <w:vAlign w:val="bottom"/>
            <w:tcBorders>
              <w:bottom w:val="single" w:sz="8" w:color="auto"/>
            </w:tcBorders>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80" w:type="dxa"/>
            <w:vAlign w:val="bottom"/>
            <w:tcBorders>
              <w:bottom w:val="single" w:sz="8" w:color="auto"/>
            </w:tcBorders>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3"/>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4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Assembled workforce</w:t>
            </w: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37,924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31,420</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4,190</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Intangible asset amortization expense was $5.3 million for the year ended January 31, 2023 and less than $1.0 million for the years ended January 31, 2022 and 2021.</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Estimated amortization expense for each of the five succeeding fiscal years and thereafter is as follows: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As of January 31, 2023</w:t>
            </w:r>
          </w:p>
        </w:tc>
        <w:tc>
          <w:tcPr>
            <w:tcW w:w="0" w:type="dxa"/>
            <w:vAlign w:val="bottom"/>
          </w:tcPr>
          <w:p>
            <w:pPr>
              <w:spacing w:after="0"/>
              <w:rPr>
                <w:sz w:val="1"/>
                <w:szCs w:val="1"/>
                <w:color w:val="auto"/>
              </w:rPr>
            </w:pPr>
          </w:p>
        </w:tc>
      </w:tr>
      <w:tr>
        <w:trPr>
          <w:trHeight w:val="154"/>
        </w:trPr>
        <w:tc>
          <w:tcPr>
            <w:tcW w:w="6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8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January 31,</w:t>
            </w:r>
          </w:p>
        </w:tc>
        <w:tc>
          <w:tcPr>
            <w:tcW w:w="5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amortization expense</w:t>
            </w: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31,420</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1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color w:val="auto"/>
              </w:rPr>
              <w:t>The following table summarizes intangible assets with an indefinite useful life included within other asset, noncurrent on the consolidated balance sheet:</w:t>
            </w:r>
          </w:p>
        </w:tc>
        <w:tc>
          <w:tcPr>
            <w:tcW w:w="5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100" w:type="dxa"/>
            <w:vAlign w:val="bottom"/>
            <w:gridSpan w:val="4"/>
            <w:vMerge w:val="continue"/>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6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68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20" w:type="dxa"/>
            <w:vAlign w:val="bottom"/>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Domain and IP Addresses</w:t>
            </w: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20,232</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Patents and Tradenames</w:t>
            </w:r>
          </w:p>
        </w:tc>
        <w:tc>
          <w:tcPr>
            <w:tcW w:w="5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25,239</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the years ended January 31, 2023, 2022 and 2021, there were no intangible assets impairment losses.</w:t>
      </w:r>
    </w:p>
    <w:p>
      <w:pPr>
        <w:spacing w:after="0" w:line="17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tab/>
        <w:t>Commitments and Contingencies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Non-cancelable Purchase Obligations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we enter into non-cancelable purchase commitments with various parties to purchase primarily software-based services. As of January 31, 2023, we had outstanding non-cancelable purchase obligations with a term of less than 12 months of $191.9 million and non-cancelable purchase obligations with a term 12 months or longer of $107.0 million.</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Indemnifications and Contingency</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we have indemnification agreements with our directors and our executive officers that require us, among other things, to indemnify our directors and executive officers for costs associated with any fees, 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 indemnification amounts paid. To date, there have been no claims under any of our directors’ and executive officers’ indemnification provisions.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Sales and Other Tax Liabilities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conduct operations in many tax jurisdictions. In many jurisdictions, non-income-based taxes, such as sales and use tax and other indirect taxes, are assessed on our operations. Although we are diligent in collecting and remitting such taxes, there is uncertainty as to what constitutes sufficient presence for a jurisdiction to levy taxes, fees, and surcharges for sales made over the Internet. As of January 31, 2023 and 2022, we recorded sales and other tax liabilities of $76.2 million and $87.2 million, respectively, of which $33.9 million and $33.3 million are included in accrued expenses and other current liabilities, respectively, and $42.3 million and $53.9 million are included in other liabilities, noncurrent, respectively, in our consolidated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applicable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Contingencies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videoconference commemorations of the crackdown on the 1989 Tiananmen Square democracy protests.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reputational harm.</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On April 7, 2020, and April 8, 2020, securities class action complaints were filed against us and two of our officers in the United States District Court for the NDCA. The plaintiffs are purported stockholders of ours. The complaints allege, among other things, that we violated Sections 10(b) and 20(a) of the Exchange Act of 1934,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w:t>
      </w:r>
    </w:p>
    <w:p>
      <w:pPr>
        <w:spacing w:after="0" w:line="62"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The consolidated case is stayed pending resolution of the motion to dismiss the securities class action. On October 27, 2021, a third substantially identical lawsuit was filed in the same court against the same defendants, seeking unspecified monetary damages and governance reforms. On November 17, 2021, all three derivative lawsuits were consolidated and remain stayed pending resolution of the motion to dismiss the securities class action.</w:t>
      </w:r>
    </w:p>
    <w:p>
      <w:pPr>
        <w:spacing w:after="0" w:line="6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Beginning on March 30, 2020, multiple putative class actions were filed against us in various U.S. federal district courts and state courts relating to our alleged privacy and security practices, including alleged data sharing with third parties (the “U.S. Privacy Class Actions”).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seek various forms of injunctive and monetary relief, including restitution, statutory and actual damages, punitive damages, and attorneys’ fees. The federal cases have been transferred to and consolidated in the NDCA with our consent; lead plaintiffs’ counsel have been appointed; and plaintiffs filed their first amended consolidated class action complaint on October 28, 2020. On March 11, 2021, the court granted in part, and denied in part, our motion to dismiss, and gave plaintiffs leave to amend. On July 30, 2021, we entered into a settlement agreement with plaintiffs to settle the action on a classwide basis, and plaintiffs filed a motion for preliminary approval of the settlement with the court on July 31, 2021. On October 21, 2021, the Court preliminarily approved the settlement. Under the terms of the settlement, we have paid $85.0 million into an escrow account that will be used to pay claims filed by settlement class members, attorneys’ fees and expenses, administrative costs, and service payments to plaintiffs. On April 22, 2022, the Court granted final approval of the settlement. On May 19, 2022, two objectors to the settlement appealed the Court's final approval order. On May 20, 2022, a third objector appealed the Court’s final approval order. On October 17, 2022, we, plaintiffs, and all three objector-appellants agreed to settle the appeals, and on December 16, 2022, the Court approved the settlements. On January 13, 2023, an appeal of the order approving the objector-appellant settlements was filed, which is still pending. On May 30, 2022, a new class action was filed against us in the NDCA raising privacy claims similar to those raised in the U.S. Privacy Class Actions on behalf of a putative class of users of Zoom who reside in Australia, New Zealand, Canada, and the United Kingdom and who are not members of the settlement class in the U.S. Privacy Class Actions. On July 12, 2022, we moved to dismiss this new class action and on February 14, 2023, the Court granted the motion to dismiss but allowed plaintiffs leave to amend. We believe this lawsuit is without merit, and we are vigorously defending ourselves against it. Given the uncertainty of litigation, the preliminary stage of the case, and the legal standard must be met for among other things, class certification and success on the merits, we cannot estimate the reasonably possible loss or range of loss that may result from these actions.</w:t>
      </w:r>
    </w:p>
    <w:p>
      <w:pPr>
        <w:spacing w:after="0" w:line="6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Stockholders’ Equity and Equity Incentive Plans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connection with the IPO in April 2019, our amended and restated certificate of incorporation became effective, which authorized the issuance of 200,000,000 shares of undesignated preferred stock with a par value of $0.001 with rights and preferences, including voting rights, designated from time to time by our board of directors. As of January 31, 2023 and 2022, there were no shares of convertible preferred stock issued and outstanding.</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Dual-Class Common Stock Structure</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November 2018, we implemented a dual class common stock structure pursuant to which all the then-outstanding shares of our common stock were reclassified as Class B common stock and a new class of Class A common stock was authorized. The Class A common stock is entitled to one vote per share and the Class B common stock is entitled to 10 votes per share. The Class A and Class B common stock have the same dividend and liquidation rights. Each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 (our CEO), (b) the date that is six months following the date that Mr. Yuan is no longer providing services to us or his employment is terminated for cause, (c) the date specified by the holders of a majority of the then-outstanding shares of convertible preferred stock, voting together on an as-converted basis, and the holders of a majority of the then-outstanding shares of Class B common stock, voting as a separate class, and (d) the 15-year anniversary of the closing of our IPO. In connection with the implementation of the dual-class common stock structure, each then-outstanding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6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Upon the effectiveness of the amended and restated certificate of incorporation in November 2018, the number of shares of common stock that are authorized to be issued consisted of 320,000,000 shares of Class A common stock, $0.001 par value per share and 300,000,000 shares of Class B common stock, $0.001 par value per share. Class A and Class B common stock are collectively referred to as “common stock” throughout the notes to the consolidated financial statements, unless otherwise noted.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Equity Financing</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January 15, 2021, we completed our follow-on public offering, in which we issued and sold 5,882,353 shares of our Class A common stock, including 735,294 shares pursuant to the full exercise of the underwriter's option to purchase additional shares, at $340.00 per share. We received aggregate proceeds of $1,980.0 million, net of underwriters’ discounts and commissions. The other related offering costs were immaterial.</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Upon the completion of the IPO in April 2019, our amended and restated certificate of incorporation became effective, which also authorized the issuance of 2,000,000,000 shares of Class A common stock, $0.001 par value per share and 300,000,000 shares of Class B common stock, $0.001 par value per share.</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have the following shares of Class A common stock reserved for future issuance:</w:t>
      </w:r>
    </w:p>
    <w:p>
      <w:pPr>
        <w:spacing w:after="0" w:line="12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1"/>
          <w:szCs w:val="11"/>
          <w:b w:val="1"/>
          <w:bCs w:val="1"/>
          <w:color w:val="auto"/>
        </w:rPr>
        <w:t>As of January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44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2023</w:t>
            </w:r>
          </w:p>
        </w:tc>
        <w:tc>
          <w:tcPr>
            <w:tcW w:w="7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860" w:type="dxa"/>
            <w:vAlign w:val="bottom"/>
            <w:tcBorders>
              <w:top w:val="single" w:sz="8" w:color="auto"/>
              <w:bottom w:val="single" w:sz="8" w:color="auto"/>
            </w:tcBorders>
          </w:tcPr>
          <w:p>
            <w:pPr>
              <w:jc w:val="right"/>
              <w:ind w:right="7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outstanding</w:t>
            </w:r>
          </w:p>
        </w:tc>
        <w:tc>
          <w:tcPr>
            <w:tcW w:w="1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4,800,616</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6,195,205</w:t>
            </w:r>
          </w:p>
        </w:tc>
      </w:tr>
      <w:tr>
        <w:trPr>
          <w:trHeight w:val="18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 outstanding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21,868,533</w:t>
            </w:r>
          </w:p>
        </w:tc>
        <w:tc>
          <w:tcPr>
            <w:tcW w:w="10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5,546,366</w:t>
            </w:r>
          </w:p>
        </w:tc>
      </w:tr>
      <w:tr>
        <w:trPr>
          <w:trHeight w:val="18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 purchase rights outstanding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2,851,856</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1,784,687</w:t>
            </w:r>
          </w:p>
        </w:tc>
      </w:tr>
      <w:tr>
        <w:trPr>
          <w:trHeight w:val="18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Remaining shares available for future issuance under the 2011 and 2019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51,367,359</w:t>
            </w:r>
          </w:p>
        </w:tc>
        <w:tc>
          <w:tcPr>
            <w:tcW w:w="10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56,620,720</w:t>
            </w:r>
          </w:p>
        </w:tc>
      </w:tr>
      <w:tr>
        <w:trPr>
          <w:trHeight w:val="18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shares available for future issuance under the ESPP</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11,930,797</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10,685,867</w:t>
            </w:r>
          </w:p>
        </w:tc>
      </w:tr>
      <w:tr>
        <w:trPr>
          <w:trHeight w:val="171"/>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shares of Class A common stock reserved</w:t>
            </w:r>
          </w:p>
        </w:tc>
        <w:tc>
          <w:tcPr>
            <w:tcW w:w="1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92,819,161</w:t>
            </w:r>
          </w:p>
        </w:tc>
        <w:tc>
          <w:tcPr>
            <w:tcW w:w="100" w:type="dxa"/>
            <w:vAlign w:val="bottom"/>
          </w:tcPr>
          <w:p>
            <w:pPr>
              <w:spacing w:after="0"/>
              <w:rPr>
                <w:sz w:val="14"/>
                <w:szCs w:val="14"/>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80,832,845</w:t>
            </w:r>
          </w:p>
        </w:tc>
      </w:tr>
      <w:tr>
        <w:trPr>
          <w:trHeight w:val="20"/>
        </w:trPr>
        <w:tc>
          <w:tcPr>
            <w:tcW w:w="7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Stock Repurchase Plan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February 2022, our Board of Directors authorized a stock repurchase program of up to $1.0 billion of our Class A common stock, which was completed in December 2022. During the year ended January 31, 2023, we purchased and subsequently retired 11,170,907 shares of our Class A common stock for an aggregate amount of $1.0 billion.</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2011, we adopted the 2011 Global Share Plan (“2011 Plan”), under which officers, employees, and consultants were granted various forms of equity incentive compensation at the discretion of the board of directors, including stock options and restricted stock awards. In connection with the IPO, the shares of Class B common stock remaining available for issuance under the 2011 Plan became available for issuance for a corresponding number of shares of our Class A common stock under the 2019 Equity Incentive Plan (“2019 Plan”), which is a successor to and continuation of our 2011 Plan.</w:t>
      </w:r>
    </w:p>
    <w:p>
      <w:pPr>
        <w:spacing w:after="0" w:line="5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In April 2019, we adopted the 2019 Plan, which became effective in connection with our IPO. Our 2019 Plan provides for the grant of stock options, stock appreciation rights, RSU awards, performance awards, and other forms of awards. The awards generally vest over four years. The plan administrator determines the term of stock options granted under the 2019 Plan, up to a maximum of 10 years. The maximum number of shares of our Class A common stock that may be issued under our 2019 Plan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becomes effective and (B) shares of Class B common stock subject to outstanding stock options or other stock awards granted under our 2011 Plan that, on or after the 2019 Plan became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automatically increases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w:t>
      </w:r>
    </w:p>
    <w:p>
      <w:pPr>
        <w:spacing w:after="0" w:line="3" w:lineRule="exact"/>
        <w:rPr>
          <w:sz w:val="20"/>
          <w:szCs w:val="20"/>
          <w:color w:val="auto"/>
        </w:rPr>
      </w:pPr>
    </w:p>
    <w:p>
      <w:pPr>
        <w:ind w:left="220" w:hanging="215"/>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lesser number of shares determined by our board of directors prior to the applicable February 1.</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05"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summary of stock option activity under our equity incentive plan and related information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Stock Options</w:t>
            </w: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restart"/>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gridSpan w:val="2"/>
          </w:tcPr>
          <w:p>
            <w:pPr>
              <w:jc w:val="center"/>
              <w:ind w:right="46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gridSpan w:val="2"/>
          </w:tcPr>
          <w:p>
            <w:pPr>
              <w:jc w:val="center"/>
              <w:ind w:right="440"/>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80" w:type="dxa"/>
            <w:vAlign w:val="bottom"/>
          </w:tcPr>
          <w:p>
            <w:pPr>
              <w:spacing w:after="0"/>
              <w:rPr>
                <w:sz w:val="9"/>
                <w:szCs w:val="9"/>
                <w:color w:val="auto"/>
              </w:rPr>
            </w:pPr>
          </w:p>
        </w:tc>
        <w:tc>
          <w:tcPr>
            <w:tcW w:w="1120" w:type="dxa"/>
            <w:vAlign w:val="bottom"/>
            <w:vMerge w:val="restart"/>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06"/>
        </w:trPr>
        <w:tc>
          <w:tcPr>
            <w:tcW w:w="5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left="343"/>
              <w:spacing w:after="0" w:line="106"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gridSpan w:val="2"/>
          </w:tcPr>
          <w:p>
            <w:pPr>
              <w:jc w:val="center"/>
              <w:ind w:right="440"/>
              <w:spacing w:after="0" w:line="10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0"/>
                <w:szCs w:val="10"/>
                <w:color w:val="auto"/>
              </w:rPr>
            </w:pPr>
          </w:p>
        </w:tc>
        <w:tc>
          <w:tcPr>
            <w:tcW w:w="980" w:type="dxa"/>
            <w:vAlign w:val="bottom"/>
          </w:tcPr>
          <w:p>
            <w:pPr>
              <w:jc w:val="center"/>
              <w:ind w:left="343"/>
              <w:spacing w:after="0" w:line="117"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gridSpan w:val="2"/>
          </w:tcPr>
          <w:p>
            <w:pPr>
              <w:jc w:val="center"/>
              <w:ind w:right="460"/>
              <w:spacing w:after="0" w:line="117"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280" w:type="dxa"/>
            <w:vAlign w:val="bottom"/>
          </w:tcPr>
          <w:p>
            <w:pPr>
              <w:spacing w:after="0"/>
              <w:rPr>
                <w:sz w:val="10"/>
                <w:szCs w:val="10"/>
                <w:color w:val="auto"/>
              </w:rPr>
            </w:pPr>
          </w:p>
        </w:tc>
        <w:tc>
          <w:tcPr>
            <w:tcW w:w="1120" w:type="dxa"/>
            <w:vAlign w:val="bottom"/>
          </w:tcPr>
          <w:p>
            <w:pPr>
              <w:jc w:val="center"/>
              <w:ind w:right="215"/>
              <w:spacing w:after="0" w:line="117" w:lineRule="exact"/>
              <w:rPr>
                <w:sz w:val="20"/>
                <w:szCs w:val="20"/>
                <w:color w:val="auto"/>
              </w:rPr>
            </w:pPr>
            <w:r>
              <w:rPr>
                <w:rFonts w:ascii="Times New Roman" w:cs="Times New Roman" w:eastAsia="Times New Roman" w:hAnsi="Times New Roman"/>
                <w:sz w:val="11"/>
                <w:szCs w:val="11"/>
                <w:b w:val="1"/>
                <w:bCs w:val="1"/>
                <w:color w:val="auto"/>
                <w:w w:val="99"/>
              </w:rPr>
              <w:t>Intrinsic</w:t>
            </w:r>
          </w:p>
        </w:tc>
        <w:tc>
          <w:tcPr>
            <w:tcW w:w="0" w:type="dxa"/>
            <w:vAlign w:val="bottom"/>
          </w:tcPr>
          <w:p>
            <w:pPr>
              <w:spacing w:after="0"/>
              <w:rPr>
                <w:sz w:val="1"/>
                <w:szCs w:val="1"/>
                <w:color w:val="auto"/>
              </w:rPr>
            </w:pPr>
          </w:p>
        </w:tc>
      </w:tr>
      <w:tr>
        <w:trPr>
          <w:trHeight w:val="155"/>
        </w:trPr>
        <w:tc>
          <w:tcPr>
            <w:tcW w:w="5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Price</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1"/>
                <w:szCs w:val="11"/>
                <w:b w:val="1"/>
                <w:bCs w:val="1"/>
                <w:color w:val="auto"/>
                <w:w w:val="99"/>
              </w:rPr>
              <w:t>Life (Years)</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6"/>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 thousands, except share, life and per share data)</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January 31, 2022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6,195,205</w:t>
            </w:r>
          </w:p>
        </w:tc>
        <w:tc>
          <w:tcPr>
            <w:tcW w:w="10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905,744</w:t>
            </w:r>
          </w:p>
        </w:tc>
        <w:tc>
          <w:tcPr>
            <w:tcW w:w="0" w:type="dxa"/>
            <w:vAlign w:val="bottom"/>
          </w:tcPr>
          <w:p>
            <w:pPr>
              <w:spacing w:after="0"/>
              <w:rPr>
                <w:sz w:val="1"/>
                <w:szCs w:val="1"/>
                <w:color w:val="auto"/>
              </w:rPr>
            </w:pPr>
          </w:p>
        </w:tc>
      </w:tr>
      <w:tr>
        <w:trPr>
          <w:trHeight w:val="180"/>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(1,299,758)</w:t>
            </w:r>
          </w:p>
        </w:tc>
        <w:tc>
          <w:tcPr>
            <w:tcW w:w="1080" w:type="dxa"/>
            <w:vAlign w:val="bottom"/>
            <w:gridSpan w:val="2"/>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121,539</w:t>
            </w:r>
          </w:p>
        </w:tc>
        <w:tc>
          <w:tcPr>
            <w:tcW w:w="0" w:type="dxa"/>
            <w:vAlign w:val="bottom"/>
          </w:tcPr>
          <w:p>
            <w:pPr>
              <w:spacing w:after="0"/>
              <w:rPr>
                <w:sz w:val="1"/>
                <w:szCs w:val="1"/>
                <w:color w:val="auto"/>
              </w:rPr>
            </w:pPr>
          </w:p>
        </w:tc>
      </w:tr>
      <w:tr>
        <w:trPr>
          <w:trHeight w:val="180"/>
        </w:trPr>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Canceled/forfeited/expired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(94,831)</w:t>
            </w:r>
          </w:p>
        </w:tc>
        <w:tc>
          <w:tcPr>
            <w:tcW w:w="10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as of January 31, 2023</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4,800,616</w:t>
            </w:r>
          </w:p>
        </w:tc>
        <w:tc>
          <w:tcPr>
            <w:tcW w:w="1080" w:type="dxa"/>
            <w:vAlign w:val="bottom"/>
            <w:gridSpan w:val="2"/>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322,929</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as of January 31,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4,800,616</w:t>
            </w:r>
          </w:p>
        </w:tc>
        <w:tc>
          <w:tcPr>
            <w:tcW w:w="108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322,929</w:t>
            </w:r>
          </w:p>
        </w:tc>
        <w:tc>
          <w:tcPr>
            <w:tcW w:w="0" w:type="dxa"/>
            <w:vAlign w:val="bottom"/>
          </w:tcPr>
          <w:p>
            <w:pPr>
              <w:spacing w:after="0"/>
              <w:rPr>
                <w:sz w:val="1"/>
                <w:szCs w:val="1"/>
                <w:color w:val="auto"/>
              </w:rPr>
            </w:pPr>
          </w:p>
        </w:tc>
      </w:tr>
      <w:tr>
        <w:trPr>
          <w:trHeight w:val="184"/>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Exercisable as of January 31,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4,747,885</w:t>
            </w:r>
          </w:p>
        </w:tc>
        <w:tc>
          <w:tcPr>
            <w:tcW w:w="1080" w:type="dxa"/>
            <w:vAlign w:val="bottom"/>
            <w:gridSpan w:val="2"/>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321,287</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There were no options granted for the fiscal years ended January 31, 2023, 2022 and 2021. The intrinsic value of the options exercised, which represents the difference between the fair market value of our common stock on the date of exercise and the exercise price of each option, was $121.5 million, $843.0 million, and $1,786.7 million during the fiscal years ended January 31, 2023, 2022, and 2021, respectively. As of January 31, 2023, unrecognized stock-based compensation expense related to outstanding unvested stock options was $1.2 million, which is expected to be recognized over a weighted-average period of 0.3 years.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summary of RSU activity under our equity incentive plan and related information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Pr>
          <w:p>
            <w:pPr>
              <w:spacing w:after="0"/>
              <w:rPr>
                <w:sz w:val="13"/>
                <w:szCs w:val="13"/>
                <w:color w:val="auto"/>
              </w:rPr>
            </w:pPr>
          </w:p>
        </w:tc>
        <w:tc>
          <w:tcPr>
            <w:tcW w:w="198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1"/>
                <w:szCs w:val="11"/>
                <w:b w:val="1"/>
                <w:bCs w:val="1"/>
                <w:color w:val="auto"/>
              </w:rPr>
              <w:t>RSUs</w:t>
            </w:r>
          </w:p>
        </w:tc>
        <w:tc>
          <w:tcPr>
            <w:tcW w:w="1400" w:type="dxa"/>
            <w:vAlign w:val="bottom"/>
            <w:tcBorders>
              <w:bottom w:val="single" w:sz="8" w:color="auto"/>
            </w:tcBorders>
          </w:tcPr>
          <w:p>
            <w:pPr>
              <w:spacing w:after="0"/>
              <w:rPr>
                <w:sz w:val="13"/>
                <w:szCs w:val="13"/>
                <w:color w:val="auto"/>
              </w:rPr>
            </w:pPr>
          </w:p>
        </w:tc>
      </w:tr>
      <w:tr>
        <w:trPr>
          <w:trHeight w:val="106"/>
        </w:trPr>
        <w:tc>
          <w:tcPr>
            <w:tcW w:w="7900" w:type="dxa"/>
            <w:vAlign w:val="bottom"/>
          </w:tcPr>
          <w:p>
            <w:pPr>
              <w:spacing w:after="0"/>
              <w:rPr>
                <w:sz w:val="9"/>
                <w:szCs w:val="9"/>
                <w:color w:val="auto"/>
              </w:rPr>
            </w:pPr>
          </w:p>
        </w:tc>
        <w:tc>
          <w:tcPr>
            <w:tcW w:w="1660" w:type="dxa"/>
            <w:vAlign w:val="bottom"/>
          </w:tcPr>
          <w:p>
            <w:pPr>
              <w:jc w:val="right"/>
              <w:ind w:right="535"/>
              <w:spacing w:after="0" w:line="106" w:lineRule="exact"/>
              <w:rPr>
                <w:sz w:val="20"/>
                <w:szCs w:val="20"/>
                <w:color w:val="auto"/>
              </w:rPr>
            </w:pPr>
            <w:r>
              <w:rPr>
                <w:rFonts w:ascii="Times New Roman" w:cs="Times New Roman" w:eastAsia="Times New Roman" w:hAnsi="Times New Roman"/>
                <w:sz w:val="11"/>
                <w:szCs w:val="11"/>
                <w:b w:val="1"/>
                <w:bCs w:val="1"/>
                <w:color w:val="auto"/>
              </w:rPr>
              <w:t>Unvested</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jc w:val="right"/>
              <w:ind w:right="312"/>
              <w:spacing w:after="0" w:line="106" w:lineRule="exact"/>
              <w:rPr>
                <w:sz w:val="20"/>
                <w:szCs w:val="20"/>
                <w:color w:val="auto"/>
              </w:rPr>
            </w:pPr>
            <w:r>
              <w:rPr>
                <w:rFonts w:ascii="Times New Roman" w:cs="Times New Roman" w:eastAsia="Times New Roman" w:hAnsi="Times New Roman"/>
                <w:sz w:val="11"/>
                <w:szCs w:val="11"/>
                <w:b w:val="1"/>
                <w:bCs w:val="1"/>
                <w:color w:val="auto"/>
              </w:rPr>
              <w:t>Weighted-Average</w:t>
            </w:r>
          </w:p>
        </w:tc>
      </w:tr>
      <w:tr>
        <w:trPr>
          <w:trHeight w:val="154"/>
        </w:trPr>
        <w:tc>
          <w:tcPr>
            <w:tcW w:w="790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1"/>
                <w:szCs w:val="11"/>
                <w:b w:val="1"/>
                <w:bCs w:val="1"/>
                <w:color w:val="auto"/>
              </w:rPr>
              <w:t>RSUs</w:t>
            </w:r>
          </w:p>
        </w:tc>
        <w:tc>
          <w:tcPr>
            <w:tcW w:w="8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Grant Date Fair Value Per Share</w:t>
            </w:r>
          </w:p>
        </w:tc>
      </w:tr>
      <w:tr>
        <w:trPr>
          <w:trHeight w:val="17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January 31, 2022</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5,546,366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232.58</w:t>
            </w:r>
          </w:p>
        </w:tc>
      </w:tr>
      <w:tr>
        <w:trPr>
          <w:trHeight w:val="180"/>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22,136,660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93.20</w:t>
            </w:r>
          </w:p>
        </w:tc>
      </w:tr>
      <w:tr>
        <w:trPr>
          <w:trHeight w:val="18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(3,977,915)</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173.22</w:t>
            </w:r>
          </w:p>
        </w:tc>
      </w:tr>
      <w:tr>
        <w:trPr>
          <w:trHeight w:val="180"/>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(1,836,578)</w:t>
            </w:r>
          </w:p>
        </w:tc>
        <w:tc>
          <w:tcPr>
            <w:tcW w:w="3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148.82</w:t>
            </w: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January 31,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21,868,533</w:t>
            </w:r>
          </w:p>
        </w:tc>
        <w:tc>
          <w:tcPr>
            <w:tcW w:w="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October 2021, we added a feature that modified certain existing RSU awards to provide for a supplemental award based on certain future stock price criteria. The feature was subsequently modified in March and October 2022 to provide potential additional supplemental awards. The features and resulting modifications resulted in incremental stock-based compensation expense that is being recognized from the respective modification dates through the remaining requisite service period for each of the original awards. In November 2022, we cancelled one of the features related to a sub-population of the modified awards. As a result, the amount of the unrecognized compensation cost as calculated using a Monte Carlo valuation approach related to the cancelled awards of $207.7 million was recognized during the quarter ended January 31, 2023.</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January 31, 2023, unrecognized stock-based compensation expense related to outstanding unvested RSUs was $2,579.0 million, including the impact of the modification, which is expected to be recognized over a weighted-average period of 2.8 years.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2019 Employee Stock Purchase Plan</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April 2019, we adopted the 2019 ESPP, which became effective in connection with the IPO. A total of 9,000,000 shares of our Class A common stock were initially reserved for issuance under the ESPP. The number of shares of our Class A common stock reserved for issuance automatically increases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4"/>
          <w:szCs w:val="14"/>
          <w:color w:val="auto"/>
        </w:rPr>
        <w:t>Under our current ESPP, Class A common stock will be purchased for the accounts of employees participating in the ESPP at a price per share equal to the lesser of (1) 85% of the fair market value of a share of our Class A common stock on the first date of an offering or (2) 85% of the fair market value of a share of our Class A common stock on the date of purchase. No employee may purchase shares under the ESPP at a rate in excess of $25,000 worth of our Class A common stock based on the fair market value per share of our Class A common stock at the beginning of an offering for each calendar year such purchase right is outstanding or 3,000 shares. The 2019 ESPP provides for, at maximum, 27 months offering periods with four offering dates, generally in June and December of each year. The first offering period began on April 18, 2019. During the fiscal years ended January 31, 2023, 2022, and 2021, 678,279, 838,395, and 923,553 shares, respectively, of our Class A common stock were purchased under the ESPP.</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January 31, 2023, unrecognized stock-based compensation expense related to the ESPP was $72.7 million, which is expected to be recognized over a weighted-average period of 1.4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years.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We</w:t>
            </w: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estimated</w:t>
            </w: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fair</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ESPP</w:t>
            </w: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w:t>
            </w:r>
          </w:p>
        </w:tc>
        <w:tc>
          <w:tcPr>
            <w:tcW w:w="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rights</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using</w:t>
            </w:r>
          </w:p>
        </w:tc>
        <w:tc>
          <w:tcPr>
            <w:tcW w:w="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Black-Scholes</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option-pricing</w:t>
            </w: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model</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8"/>
              </w:rPr>
              <w:t>with</w:t>
            </w:r>
          </w:p>
        </w:tc>
        <w:tc>
          <w:tcPr>
            <w:tcW w:w="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following</w:t>
            </w: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assumptions:</w:t>
            </w:r>
          </w:p>
        </w:tc>
      </w:tr>
      <w:tr>
        <w:trPr>
          <w:trHeight w:val="161"/>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4"/>
        </w:trPr>
        <w:tc>
          <w:tcPr>
            <w:tcW w:w="70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2023</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454"/>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left="17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760" w:type="dxa"/>
            <w:vAlign w:val="bottom"/>
            <w:tcBorders>
              <w:bottom w:val="single" w:sz="8" w:color="auto"/>
            </w:tcBorders>
          </w:tcPr>
          <w:p>
            <w:pPr>
              <w:spacing w:after="0"/>
              <w:rPr>
                <w:sz w:val="13"/>
                <w:szCs w:val="13"/>
                <w:color w:val="auto"/>
              </w:rPr>
            </w:pPr>
          </w:p>
        </w:tc>
      </w:tr>
      <w:tr>
        <w:trPr>
          <w:trHeight w:val="176"/>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- 2.0</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- 2.1</w:t>
            </w: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- 2.1</w:t>
            </w:r>
          </w:p>
        </w:tc>
        <w:tc>
          <w:tcPr>
            <w:tcW w:w="760" w:type="dxa"/>
            <w:vAlign w:val="bottom"/>
            <w:shd w:val="clear" w:color="auto" w:fill="CCEEFF"/>
          </w:tcPr>
          <w:p>
            <w:pPr>
              <w:spacing w:after="0"/>
              <w:rPr>
                <w:sz w:val="15"/>
                <w:szCs w:val="15"/>
                <w:color w:val="auto"/>
              </w:rPr>
            </w:pPr>
          </w:p>
        </w:tc>
      </w:tr>
      <w:tr>
        <w:trPr>
          <w:trHeight w:val="180"/>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- 64.6%</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- 75.0%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- 75.0%</w:t>
            </w:r>
          </w:p>
        </w:tc>
      </w:tr>
      <w:tr>
        <w:trPr>
          <w:trHeight w:val="180"/>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- 4.8%</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left="454"/>
              <w:spacing w:after="0"/>
              <w:rPr>
                <w:sz w:val="20"/>
                <w:szCs w:val="20"/>
                <w:color w:val="auto"/>
              </w:rPr>
            </w:pPr>
            <w:r>
              <w:rPr>
                <w:rFonts w:ascii="Times New Roman" w:cs="Times New Roman" w:eastAsia="Times New Roman" w:hAnsi="Times New Roman"/>
                <w:sz w:val="13"/>
                <w:szCs w:val="13"/>
                <w:color w:val="auto"/>
                <w:w w:val="95"/>
              </w:rPr>
              <w:t>0.0% - 2.5%</w:t>
            </w: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left="153"/>
              <w:spacing w:after="0"/>
              <w:rPr>
                <w:sz w:val="20"/>
                <w:szCs w:val="20"/>
                <w:color w:val="auto"/>
              </w:rPr>
            </w:pPr>
            <w:r>
              <w:rPr>
                <w:rFonts w:ascii="Times New Roman" w:cs="Times New Roman" w:eastAsia="Times New Roman" w:hAnsi="Times New Roman"/>
                <w:sz w:val="13"/>
                <w:szCs w:val="13"/>
                <w:color w:val="auto"/>
                <w:w w:val="98"/>
              </w:rPr>
              <w:t>0.1% - 2.5%</w:t>
            </w:r>
          </w:p>
        </w:tc>
        <w:tc>
          <w:tcPr>
            <w:tcW w:w="760" w:type="dxa"/>
            <w:vAlign w:val="bottom"/>
            <w:shd w:val="clear" w:color="auto" w:fill="CCEEFF"/>
          </w:tcPr>
          <w:p>
            <w:pPr>
              <w:spacing w:after="0"/>
              <w:rPr>
                <w:sz w:val="15"/>
                <w:szCs w:val="15"/>
                <w:color w:val="auto"/>
              </w:rPr>
            </w:pPr>
          </w:p>
        </w:tc>
      </w:tr>
      <w:tr>
        <w:trPr>
          <w:trHeight w:val="184"/>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left="454"/>
              <w:spacing w:after="0"/>
              <w:rPr>
                <w:sz w:val="20"/>
                <w:szCs w:val="20"/>
                <w:color w:val="auto"/>
              </w:rPr>
            </w:pPr>
            <w:r>
              <w:rPr>
                <w:rFonts w:ascii="Times New Roman" w:cs="Times New Roman" w:eastAsia="Times New Roman" w:hAnsi="Times New Roman"/>
                <w:sz w:val="14"/>
                <w:szCs w:val="14"/>
                <w:color w:val="auto"/>
                <w:w w:val="99"/>
              </w:rPr>
              <w:t>—</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gridSpan w:val="2"/>
          </w:tcPr>
          <w:p>
            <w:pPr>
              <w:jc w:val="center"/>
              <w:ind w:left="173"/>
              <w:spacing w:after="0"/>
              <w:rPr>
                <w:sz w:val="20"/>
                <w:szCs w:val="20"/>
                <w:color w:val="auto"/>
              </w:rPr>
            </w:pPr>
            <w:r>
              <w:rPr>
                <w:rFonts w:ascii="Times New Roman" w:cs="Times New Roman" w:eastAsia="Times New Roman" w:hAnsi="Times New Roman"/>
                <w:sz w:val="14"/>
                <w:szCs w:val="14"/>
                <w:color w:val="auto"/>
                <w:w w:val="99"/>
              </w:rPr>
              <w:t>—</w:t>
            </w:r>
          </w:p>
        </w:tc>
        <w:tc>
          <w:tcPr>
            <w:tcW w:w="760" w:type="dxa"/>
            <w:vAlign w:val="bottom"/>
          </w:tcPr>
          <w:p>
            <w:pPr>
              <w:spacing w:after="0"/>
              <w:rPr>
                <w:sz w:val="16"/>
                <w:szCs w:val="16"/>
                <w:color w:val="auto"/>
              </w:rPr>
            </w:pPr>
          </w:p>
        </w:tc>
      </w:tr>
    </w:tbl>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stock-based compensation expense by line item in the accompanying consolidated statements of operations is summarized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54"/>
        </w:trPr>
        <w:tc>
          <w:tcPr>
            <w:tcW w:w="618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7"/>
        </w:trPr>
        <w:tc>
          <w:tcPr>
            <w:tcW w:w="6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174,546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69,612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34,960</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50,161</w:t>
            </w:r>
          </w:p>
        </w:tc>
      </w:tr>
      <w:tr>
        <w:trPr>
          <w:trHeight w:val="18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532,371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229,297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146,377</w:t>
            </w:r>
          </w:p>
        </w:tc>
      </w:tr>
      <w:tr>
        <w:trPr>
          <w:trHeight w:val="18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217,115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65,378</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44,320</w:t>
            </w:r>
          </w:p>
        </w:tc>
      </w:tr>
      <w:tr>
        <w:trPr>
          <w:trHeight w:val="171"/>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1,285,752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477,287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275,818</w:t>
            </w:r>
          </w:p>
        </w:tc>
      </w:tr>
      <w:tr>
        <w:trPr>
          <w:trHeight w:val="180"/>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(199,971)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(84,245)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 recorded to net income</w:t>
            </w: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1,085,781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393,042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275,818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the net income before the provision for (benefit from) income taxes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2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7"/>
        </w:trPr>
        <w:tc>
          <w:tcPr>
            <w:tcW w:w="6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w:t>
            </w: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1,047,318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663,909</w:t>
            </w:r>
          </w:p>
        </w:tc>
      </w:tr>
      <w:tr>
        <w:trPr>
          <w:trHeight w:val="18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53,052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54,314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14,125</w:t>
            </w:r>
          </w:p>
        </w:tc>
      </w:tr>
      <w:tr>
        <w:trPr>
          <w:trHeight w:val="196"/>
        </w:trPr>
        <w:tc>
          <w:tcPr>
            <w:tcW w:w="6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249,276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1,101,632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678,034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provision for (benefit from) income taxes was as follows: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65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7"/>
        </w:trPr>
        <w:tc>
          <w:tcPr>
            <w:tcW w:w="6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0"/>
        </w:trPr>
        <w:tc>
          <w:tcPr>
            <w:tcW w:w="6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254,505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69,853</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r>
      <w:tr>
        <w:trPr>
          <w:trHeight w:val="180"/>
        </w:trPr>
        <w:tc>
          <w:tcPr>
            <w:tcW w:w="65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18,473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3,933</w:t>
            </w:r>
          </w:p>
        </w:tc>
      </w:tr>
      <w:tr>
        <w:trPr>
          <w:trHeight w:val="171"/>
        </w:trPr>
        <w:tc>
          <w:tcPr>
            <w:tcW w:w="6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current income tax expense</w:t>
            </w:r>
          </w:p>
        </w:tc>
        <w:tc>
          <w:tcPr>
            <w:tcW w:w="9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306,526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102,054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4,956</w:t>
            </w:r>
          </w:p>
        </w:tc>
      </w:tr>
      <w:tr>
        <w:trPr>
          <w:trHeight w:val="16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0"/>
        </w:trPr>
        <w:tc>
          <w:tcPr>
            <w:tcW w:w="6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(293,704)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r>
      <w:tr>
        <w:trPr>
          <w:trHeight w:val="180"/>
        </w:trPr>
        <w:tc>
          <w:tcPr>
            <w:tcW w:w="6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(82,561)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80"/>
        </w:trPr>
        <w:tc>
          <w:tcPr>
            <w:tcW w:w="6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71"/>
        </w:trPr>
        <w:tc>
          <w:tcPr>
            <w:tcW w:w="65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deferred income tax expense</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(160,961)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(376,061)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w:t>
            </w:r>
          </w:p>
        </w:tc>
      </w:tr>
      <w:tr>
        <w:trPr>
          <w:trHeight w:val="196"/>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 for (benefit from) income taxes</w:t>
            </w:r>
          </w:p>
        </w:tc>
        <w:tc>
          <w:tcPr>
            <w:tcW w:w="92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145,565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(274,007)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provision for (benefit from) income taxes differs from the amount computed by applying the statutory federal tax rate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54"/>
        </w:trPr>
        <w:tc>
          <w:tcPr>
            <w:tcW w:w="614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8"/>
        </w:trPr>
        <w:tc>
          <w:tcPr>
            <w:tcW w:w="6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59"/>
        </w:trPr>
        <w:tc>
          <w:tcPr>
            <w:tcW w:w="6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at federal statutory rate</w:t>
            </w: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52,277</w:t>
            </w:r>
          </w:p>
        </w:tc>
        <w:tc>
          <w:tcPr>
            <w:tcW w:w="1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231,350</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142,387</w:t>
            </w: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taxes</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13,666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24,840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636</w:t>
            </w: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rate differential</w:t>
            </w:r>
          </w:p>
        </w:tc>
        <w:tc>
          <w:tcPr>
            <w:tcW w:w="980" w:type="dxa"/>
            <w:vAlign w:val="bottom"/>
          </w:tcPr>
          <w:p>
            <w:pPr>
              <w:spacing w:after="0"/>
              <w:rPr>
                <w:sz w:val="15"/>
                <w:szCs w:val="15"/>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1,830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89</w:t>
            </w: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compensation</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10,231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spacing w:after="0"/>
              <w:rPr>
                <w:sz w:val="15"/>
                <w:szCs w:val="15"/>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124,631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(135,250)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(302,362)</w:t>
            </w: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Items</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9,090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3,971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2,228</w:t>
            </w: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Foreign-derived intangible income deduction</w:t>
            </w:r>
          </w:p>
        </w:tc>
        <w:tc>
          <w:tcPr>
            <w:tcW w:w="980" w:type="dxa"/>
            <w:vAlign w:val="bottom"/>
          </w:tcPr>
          <w:p>
            <w:pPr>
              <w:spacing w:after="0"/>
              <w:rPr>
                <w:sz w:val="15"/>
                <w:szCs w:val="15"/>
                <w:color w:val="auto"/>
              </w:rPr>
            </w:pP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(76,686)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(34,131)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(38,127)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(42,973)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(3,170)</w:t>
            </w: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uncertainties</w:t>
            </w:r>
          </w:p>
        </w:tc>
        <w:tc>
          <w:tcPr>
            <w:tcW w:w="980" w:type="dxa"/>
            <w:vAlign w:val="bottom"/>
          </w:tcPr>
          <w:p>
            <w:pPr>
              <w:spacing w:after="0"/>
              <w:rPr>
                <w:sz w:val="15"/>
                <w:szCs w:val="15"/>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(607)</w:t>
            </w: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39,288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(322,231)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165,869</w:t>
            </w: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rate change</w:t>
            </w:r>
          </w:p>
        </w:tc>
        <w:tc>
          <w:tcPr>
            <w:tcW w:w="980" w:type="dxa"/>
            <w:vAlign w:val="bottom"/>
          </w:tcPr>
          <w:p>
            <w:pPr>
              <w:spacing w:after="0"/>
              <w:rPr>
                <w:sz w:val="15"/>
                <w:szCs w:val="15"/>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5,868</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(1,658)</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648</w:t>
            </w:r>
          </w:p>
        </w:tc>
      </w:tr>
      <w:tr>
        <w:trPr>
          <w:trHeight w:val="171"/>
        </w:trPr>
        <w:tc>
          <w:tcPr>
            <w:tcW w:w="6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145,565</w:t>
            </w:r>
          </w:p>
        </w:tc>
        <w:tc>
          <w:tcPr>
            <w:tcW w:w="10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(274,007)</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5,718</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3"/>
        </w:trPr>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Effective tax rate</w:t>
            </w: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r>
    </w:tbl>
    <w:p>
      <w:pPr>
        <w:spacing w:after="0" w:line="2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Deferred income taxes result from differences in the recognition of amounts for tax and financial reporting purposes, as well as operating loss and tax credit carryforwards. Significant components of our deferred income tax assets as of January 31, 2023 and 2022 are as follows: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As of January 31,</w:t>
            </w:r>
          </w:p>
        </w:tc>
        <w:tc>
          <w:tcPr>
            <w:tcW w:w="1200" w:type="dxa"/>
            <w:vAlign w:val="bottom"/>
            <w:tcBorders>
              <w:bottom w:val="single" w:sz="8" w:color="auto"/>
            </w:tcBorders>
          </w:tcPr>
          <w:p>
            <w:pPr>
              <w:spacing w:after="0"/>
              <w:rPr>
                <w:sz w:val="13"/>
                <w:szCs w:val="13"/>
                <w:color w:val="auto"/>
              </w:rPr>
            </w:pPr>
          </w:p>
        </w:tc>
      </w:tr>
      <w:tr>
        <w:trPr>
          <w:trHeight w:val="154"/>
        </w:trPr>
        <w:tc>
          <w:tcPr>
            <w:tcW w:w="7620" w:type="dxa"/>
            <w:vAlign w:val="bottom"/>
          </w:tcPr>
          <w:p>
            <w:pPr>
              <w:spacing w:after="0"/>
              <w:rPr>
                <w:sz w:val="13"/>
                <w:szCs w:val="13"/>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7"/>
        </w:trPr>
        <w:tc>
          <w:tcPr>
            <w:tcW w:w="7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0" w:type="dxa"/>
            <w:vAlign w:val="bottom"/>
          </w:tcPr>
          <w:p>
            <w:pPr>
              <w:spacing w:after="0"/>
              <w:rPr>
                <w:sz w:val="15"/>
                <w:szCs w:val="15"/>
                <w:color w:val="auto"/>
              </w:rPr>
            </w:pPr>
          </w:p>
        </w:tc>
      </w:tr>
      <w:tr>
        <w:trPr>
          <w:trHeight w:val="19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0"/>
        </w:trPr>
        <w:tc>
          <w:tcPr>
            <w:tcW w:w="7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100" w:type="dxa"/>
            <w:vAlign w:val="bottom"/>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14,788</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21,558</w:t>
            </w:r>
          </w:p>
        </w:tc>
      </w:tr>
      <w:tr>
        <w:trPr>
          <w:trHeight w:val="180"/>
        </w:trPr>
        <w:tc>
          <w:tcPr>
            <w:tcW w:w="7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 credit carryforwards</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9,985</w:t>
            </w:r>
          </w:p>
        </w:tc>
      </w:tr>
      <w:tr>
        <w:trPr>
          <w:trHeight w:val="180"/>
        </w:trPr>
        <w:tc>
          <w:tcPr>
            <w:tcW w:w="7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116,798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44,490</w:t>
            </w:r>
          </w:p>
        </w:tc>
      </w:tr>
      <w:tr>
        <w:trPr>
          <w:trHeight w:val="180"/>
        </w:trPr>
        <w:tc>
          <w:tcPr>
            <w:tcW w:w="7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Accruals and reserves</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14,475</w:t>
            </w:r>
          </w:p>
        </w:tc>
      </w:tr>
      <w:tr>
        <w:trPr>
          <w:trHeight w:val="180"/>
        </w:trPr>
        <w:tc>
          <w:tcPr>
            <w:tcW w:w="7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303,167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260,322</w:t>
            </w:r>
          </w:p>
        </w:tc>
      </w:tr>
      <w:tr>
        <w:trPr>
          <w:trHeight w:val="180"/>
        </w:trPr>
        <w:tc>
          <w:tcPr>
            <w:tcW w:w="7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Capitalized research expenditures</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245,708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131,010</w:t>
            </w:r>
          </w:p>
        </w:tc>
      </w:tr>
      <w:tr>
        <w:trPr>
          <w:trHeight w:val="180"/>
        </w:trPr>
        <w:tc>
          <w:tcPr>
            <w:tcW w:w="7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25,892</w:t>
            </w:r>
          </w:p>
        </w:tc>
      </w:tr>
      <w:tr>
        <w:trPr>
          <w:trHeight w:val="171"/>
        </w:trPr>
        <w:tc>
          <w:tcPr>
            <w:tcW w:w="7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756,151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507,732</w:t>
            </w:r>
          </w:p>
        </w:tc>
      </w:tr>
      <w:tr>
        <w:trPr>
          <w:trHeight w:val="180"/>
        </w:trPr>
        <w:tc>
          <w:tcPr>
            <w:tcW w:w="76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Valuation allowance</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(53,570)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(12,605)</w:t>
            </w:r>
          </w:p>
        </w:tc>
      </w:tr>
      <w:tr>
        <w:trPr>
          <w:trHeight w:val="171"/>
        </w:trPr>
        <w:tc>
          <w:tcPr>
            <w:tcW w:w="7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deferred tax assets net of valuation allowance</w:t>
            </w: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702,581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495,127</w:t>
            </w:r>
          </w:p>
        </w:tc>
      </w:tr>
      <w:tr>
        <w:trPr>
          <w:trHeight w:val="202"/>
        </w:trPr>
        <w:tc>
          <w:tcPr>
            <w:tcW w:w="7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7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and intangible assets</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(36,274)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(26,733)</w:t>
            </w:r>
          </w:p>
        </w:tc>
      </w:tr>
      <w:tr>
        <w:trPr>
          <w:trHeight w:val="180"/>
        </w:trPr>
        <w:tc>
          <w:tcPr>
            <w:tcW w:w="7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(89,839)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(62,814)</w:t>
            </w:r>
          </w:p>
        </w:tc>
      </w:tr>
      <w:tr>
        <w:trPr>
          <w:trHeight w:val="180"/>
        </w:trPr>
        <w:tc>
          <w:tcPr>
            <w:tcW w:w="7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(19,352)</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(23,466)</w:t>
            </w:r>
          </w:p>
        </w:tc>
      </w:tr>
      <w:tr>
        <w:trPr>
          <w:trHeight w:val="171"/>
        </w:trPr>
        <w:tc>
          <w:tcPr>
            <w:tcW w:w="7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(145,465)</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(113,013)</w:t>
            </w:r>
          </w:p>
        </w:tc>
      </w:tr>
      <w:tr>
        <w:trPr>
          <w:trHeight w:val="182"/>
        </w:trPr>
        <w:tc>
          <w:tcPr>
            <w:tcW w:w="7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5"/>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10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557,116</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382,114</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year ended January 31, 2023, we continue to believe that it is more likely than not that the tax benefits of the U.K. net deferred tax assets may not be realized. Accordingly, we maintained a full valuation allowance against the tax benefits of these net deferred tax assets. Based on the available objective evidence during the year ended January 31, 2023, we believe that it is more likely than not that the tax benefits relating to U.S. losses that are capital in nature may not be realized prior to expiration. Accordingly, we have maintained a valuation allowance against these deferred tax assets. Based on the available objective evidence during the year ended January 31, 2023, we believe that it is more likely than not that the tax benefits of certain state net deferred tax assets may not be realized. Management applied significant judgement in assessing the positive and negative evidence available in the determination of the amount of certain state deferred tax assets that were more likely than not to be realized in the future. Accordingly, given our current earnings, anticipated future earnings, and continued accumulation of certain state tax credits, we have recorded a full valuation allowance against the tax benefits of these deferred tax assets. We intend to maintain the applicable valuation allowance until sufficient positive evidence exists to support a reversal of, or decrease in, the valuation allowance.</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January 31, 2023, we had net operating loss carryforwards of approximately $22.9 million for federal income tax purposes, $26.9 million for state income tax purposes, which will begin to expire in the year 2033 if unused. We also had certain foreign net operating loss carryforwards of $32.5 million, which have an indefinite life.</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January 31, 2023, we also had research and development credit carryforwards of approximately $1.2 million for federal income tax purposes and $22.8 million for state income tax purposes. The federal research and development tax credits have a twenty-year carryover period while the state research and development tax credits carry forward indefinitely.</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federal and state net operating loss carryforwards may be subject to significant limitations under Section 382 and Section 383 of the Internal Revenue Code of 1986 and similar provisions under state law. Such provisions limit the net operating loss carryforwards that may be used in any given year in the event of special occurrences, including significant ownership changes. We have completed a Section 382 review and determined that materially none of our operating losses will expire solely due to Section 382 limitation(s).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indefinitely reinvest earnings from our foreign subsidiaries and therefore no deferred tax liability has been recognized on the basis difference created by such earnings. We have not provided foreign withholding taxes for any undistributed earnings of our foreign subsidiaries.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reconciliation of the beginning and ending balance of total unrecognized tax benefits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00" w:type="dxa"/>
            <w:vAlign w:val="bottom"/>
            <w:tcBorders>
              <w:bottom w:val="single" w:sz="8" w:color="auto"/>
            </w:tcBorders>
          </w:tcPr>
          <w:p>
            <w:pPr>
              <w:spacing w:after="0"/>
              <w:rPr>
                <w:sz w:val="13"/>
                <w:szCs w:val="13"/>
                <w:color w:val="auto"/>
              </w:rPr>
            </w:pPr>
          </w:p>
        </w:tc>
        <w:tc>
          <w:tcPr>
            <w:tcW w:w="5300" w:type="dxa"/>
            <w:vAlign w:val="bottom"/>
            <w:tcBorders>
              <w:bottom w:val="single" w:sz="8" w:color="auto"/>
            </w:tcBorders>
            <w:gridSpan w:val="2"/>
          </w:tcPr>
          <w:p>
            <w:pPr>
              <w:jc w:val="right"/>
              <w:ind w:right="3149"/>
              <w:spacing w:after="0"/>
              <w:rPr>
                <w:sz w:val="20"/>
                <w:szCs w:val="20"/>
                <w:color w:val="auto"/>
              </w:rPr>
            </w:pPr>
            <w:r>
              <w:rPr>
                <w:rFonts w:ascii="Times New Roman" w:cs="Times New Roman" w:eastAsia="Times New Roman" w:hAnsi="Times New Roman"/>
                <w:sz w:val="11"/>
                <w:szCs w:val="11"/>
                <w:b w:val="1"/>
                <w:bCs w:val="1"/>
                <w:color w:val="auto"/>
              </w:rPr>
              <w:t>Unrecognized Tax Benefits (in thousands)</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2100" w:type="dxa"/>
            <w:vAlign w:val="bottom"/>
          </w:tcPr>
          <w:p>
            <w:pPr>
              <w:spacing w:after="0"/>
              <w:rPr>
                <w:sz w:val="13"/>
                <w:szCs w:val="13"/>
                <w:color w:val="auto"/>
              </w:rPr>
            </w:pPr>
          </w:p>
        </w:tc>
        <w:tc>
          <w:tcPr>
            <w:tcW w:w="5300" w:type="dxa"/>
            <w:vAlign w:val="bottom"/>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49"/>
        </w:trPr>
        <w:tc>
          <w:tcPr>
            <w:tcW w:w="2100" w:type="dxa"/>
            <w:vAlign w:val="bottom"/>
          </w:tcPr>
          <w:p>
            <w:pPr>
              <w:spacing w:after="0"/>
              <w:rPr>
                <w:sz w:val="4"/>
                <w:szCs w:val="4"/>
                <w:color w:val="auto"/>
              </w:rPr>
            </w:pPr>
          </w:p>
        </w:tc>
        <w:tc>
          <w:tcPr>
            <w:tcW w:w="428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r>
      <w:tr>
        <w:trPr>
          <w:trHeight w:val="18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530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8,106</w:t>
            </w:r>
          </w:p>
        </w:tc>
      </w:tr>
      <w:tr>
        <w:trPr>
          <w:trHeight w:val="180"/>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Positions taken in prior year:</w:t>
            </w:r>
          </w:p>
        </w:tc>
        <w:tc>
          <w:tcPr>
            <w:tcW w:w="4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increases</w:t>
            </w:r>
          </w:p>
        </w:tc>
        <w:tc>
          <w:tcPr>
            <w:tcW w:w="4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180"/>
        </w:trPr>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Gross decreases</w:t>
            </w:r>
          </w:p>
        </w:tc>
        <w:tc>
          <w:tcPr>
            <w:tcW w:w="4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Positions taken in current year:</w:t>
            </w:r>
          </w:p>
        </w:tc>
        <w:tc>
          <w:tcPr>
            <w:tcW w:w="4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21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Gross increases</w:t>
            </w:r>
          </w:p>
        </w:tc>
        <w:tc>
          <w:tcPr>
            <w:tcW w:w="4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6,001</w:t>
            </w:r>
          </w:p>
        </w:tc>
      </w:tr>
      <w:tr>
        <w:trPr>
          <w:trHeight w:val="180"/>
        </w:trPr>
        <w:tc>
          <w:tcPr>
            <w:tcW w:w="2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Gross decreases</w:t>
            </w:r>
          </w:p>
        </w:tc>
        <w:tc>
          <w:tcPr>
            <w:tcW w:w="4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4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r>
      <w:tr>
        <w:trPr>
          <w:trHeight w:val="18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4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r>
      <w:tr>
        <w:trPr>
          <w:trHeight w:val="171"/>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42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30,404</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14,884</w:t>
            </w:r>
          </w:p>
        </w:tc>
      </w:tr>
      <w:tr>
        <w:trPr>
          <w:trHeight w:val="20"/>
        </w:trPr>
        <w:tc>
          <w:tcPr>
            <w:tcW w:w="2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of January 31, 2023, gross unrecognized tax benefits related to uncertain tax positions were $30.4 million ($32.5 million total, including $1.6 million associated with interest and penalties). As of January 31, 2022, gross unrecognized tax benefits related to uncertain tax positions were $19.2 million ($19.6 million total, including $0.4 million associated with interest and penalties). As of January 31, 2021, gross unrecognized tax benefits related to uncertain tax positions were $14.9 million ($15.0 million total, including $0.1 million associated with interest and penalties). We recognized approximately $1.6 million, $0.4 million, and $0.1 million in potential interest and penalties associated with uncertain tax positions during fiscal years ended January 31, 2023, 2022, and 2021, respectively. To the extent taxes are not assessed with respect to uncertain tax positions, substantially all amounts accrued (including interest and penalties) will be reduced and reflected as a reduction of the overall income tax provision. Unrecognized tax benefits and associated accrued interest and penalties are included in our income tax provision.</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file income tax returns in the U.S. federal jurisdiction, various state jurisdictions, and various foreign jurisdictions. As of January 31, 2023, all of the years remain open to examination by the federal and state tax authorities, for three or four years from the tax year in which net operating losses or tax credits are utilized. We believe that an adequate provision has been made for any adjustments that may result from tax examinations. Although the timing of the resolution, settlement, and closure of audits is not certain, we do not believe it is reasonably possible that our unrecognized tax benefits will materially change in the next 12 months.</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required by the 2017 Tax Cuts and Jobs Act, we are capitalizing research and development expenses incurred in fiscal year 2023. These expenses are capitalized and amortized over five years for domestic research and fifteen years for international research. The mandatory capitalization requirement increased our cash tax liabilities but also decreased our effective tax rate due to increasing the foreign-derived intangible income deduction. The cash flow impact may decrease over time as capitalized research and development expenditures continue to amortize.</w:t>
      </w:r>
    </w:p>
    <w:p>
      <w:pPr>
        <w:spacing w:after="0" w:line="15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Inflation Reduction Act was signed into law in August 2022. The act included tax provisions for a 15% corporate book income minimum tax effective for tax years beginning after December 31, 2022. We do not expect the Inflation Reduction Act to have a material impact on our consolidated financial statements.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Net Income Per Share Attributable to Common Stockholders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per share attributable to common stockholders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2021</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0" w:type="dxa"/>
            <w:vAlign w:val="bottom"/>
          </w:tcPr>
          <w:p>
            <w:pPr>
              <w:spacing w:after="0"/>
              <w:rPr>
                <w:sz w:val="1"/>
                <w:szCs w:val="1"/>
                <w:color w:val="auto"/>
              </w:rPr>
            </w:pPr>
          </w:p>
        </w:tc>
      </w:tr>
      <w:tr>
        <w:trPr>
          <w:trHeight w:val="199"/>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80" w:type="dxa"/>
            <w:vAlign w:val="bottom"/>
            <w:gridSpan w:val="7"/>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87,246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16,465</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1,105,368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270,271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432,968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239,348</w:t>
            </w: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undistributed earnings attributable to participating securities</w:t>
            </w:r>
          </w:p>
        </w:tc>
        <w:tc>
          <w:tcPr>
            <w:tcW w:w="2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0" w:type="dxa"/>
            <w:vAlign w:val="bottom"/>
          </w:tcPr>
          <w:p>
            <w:pPr>
              <w:spacing w:after="0"/>
              <w:rPr>
                <w:sz w:val="1"/>
                <w:szCs w:val="1"/>
                <w:color w:val="auto"/>
              </w:rPr>
            </w:pPr>
          </w:p>
        </w:tc>
      </w:tr>
      <w:tr>
        <w:trPr>
          <w:trHeight w:val="18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common stockholders, basic</w:t>
            </w: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87,246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1,105,368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432,968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238,559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Reallocation of net income attributable to common stockholders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220" w:type="dxa"/>
            <w:vAlign w:val="bottom"/>
            <w:tcBorders>
              <w:bottom w:val="single" w:sz="8" w:color="CCEEFF"/>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(1,205)</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1,205</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(23,891)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23,891</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(14,321)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14,321</w:t>
            </w:r>
          </w:p>
        </w:tc>
        <w:tc>
          <w:tcPr>
            <w:tcW w:w="0" w:type="dxa"/>
            <w:vAlign w:val="bottom"/>
          </w:tcPr>
          <w:p>
            <w:pPr>
              <w:spacing w:after="0"/>
              <w:rPr>
                <w:sz w:val="1"/>
                <w:szCs w:val="1"/>
                <w:color w:val="auto"/>
              </w:rPr>
            </w:pPr>
          </w:p>
        </w:tc>
      </w:tr>
      <w:tr>
        <w:trPr>
          <w:trHeight w:val="18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common stockholders, diluted</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86,041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17,663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1,081,477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293,580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418,647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252,880</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2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Weighted-average shares used in computing net income per share attributable to</w:t>
            </w: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249,494,904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47,065,597</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238,214,936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58,119,958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183,015,245</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100,838,409</w:t>
            </w:r>
          </w:p>
        </w:tc>
        <w:tc>
          <w:tcPr>
            <w:tcW w:w="0" w:type="dxa"/>
            <w:vAlign w:val="bottom"/>
          </w:tcPr>
          <w:p>
            <w:pPr>
              <w:spacing w:after="0"/>
              <w:rPr>
                <w:sz w:val="1"/>
                <w:szCs w:val="1"/>
                <w:color w:val="auto"/>
              </w:rPr>
            </w:pPr>
          </w:p>
        </w:tc>
      </w:tr>
      <w:tr>
        <w:trPr>
          <w:trHeight w:val="17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stockholders, basic</w:t>
            </w: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2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Weighted-average shares used in computing net income per share attributable to</w:t>
            </w: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252,413,234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51,818,116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240,531,470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65,295,035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185,860,412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112,267,257</w:t>
            </w:r>
          </w:p>
        </w:tc>
        <w:tc>
          <w:tcPr>
            <w:tcW w:w="0" w:type="dxa"/>
            <w:vAlign w:val="bottom"/>
          </w:tcPr>
          <w:p>
            <w:pPr>
              <w:spacing w:after="0"/>
              <w:rPr>
                <w:sz w:val="1"/>
                <w:szCs w:val="1"/>
                <w:color w:val="auto"/>
              </w:rPr>
            </w:pPr>
          </w:p>
        </w:tc>
      </w:tr>
      <w:tr>
        <w:trPr>
          <w:trHeight w:val="168"/>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common stockholders, diluted</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per share attributable to common stockholders, basic</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2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Net income per share attributable to common stockholders, diluted</w:t>
            </w:r>
          </w:p>
        </w:tc>
        <w:tc>
          <w:tcPr>
            <w:tcW w:w="220" w:type="dxa"/>
            <w:vAlign w:val="bottom"/>
            <w:tcBorders>
              <w:top w:val="single" w:sz="8" w:color="auto"/>
              <w:bottom w:val="single" w:sz="8" w:color="auto"/>
            </w:tcBorders>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0.34</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0.34</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4.50</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2.25</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potential shares of common stock that were excluded from the computation of diluted net income per share attributable to common stockholders for the periods presented because including them would have been anti-dilutive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Year Ended January 31,</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4160" w:type="dxa"/>
            <w:vAlign w:val="bottom"/>
          </w:tcPr>
          <w:p>
            <w:pPr>
              <w:spacing w:after="0"/>
              <w:rPr>
                <w:sz w:val="13"/>
                <w:szCs w:val="13"/>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2021</w:t>
            </w:r>
          </w:p>
        </w:tc>
        <w:tc>
          <w:tcPr>
            <w:tcW w:w="900" w:type="dxa"/>
            <w:vAlign w:val="bottom"/>
            <w:tcBorders>
              <w:bottom w:val="single" w:sz="8" w:color="auto"/>
            </w:tcBorders>
          </w:tcPr>
          <w:p>
            <w:pPr>
              <w:spacing w:after="0"/>
              <w:rPr>
                <w:sz w:val="13"/>
                <w:szCs w:val="13"/>
                <w:color w:val="auto"/>
              </w:rPr>
            </w:pPr>
          </w:p>
        </w:tc>
      </w:tr>
      <w:tr>
        <w:trPr>
          <w:trHeight w:val="150"/>
        </w:trPr>
        <w:tc>
          <w:tcPr>
            <w:tcW w:w="4160" w:type="dxa"/>
            <w:vAlign w:val="bottom"/>
          </w:tcPr>
          <w:p>
            <w:pPr>
              <w:spacing w:after="0"/>
              <w:rPr>
                <w:sz w:val="13"/>
                <w:szCs w:val="13"/>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 w:type="dxa"/>
            <w:vAlign w:val="bottom"/>
          </w:tcPr>
          <w:p>
            <w:pPr>
              <w:spacing w:after="0"/>
              <w:rPr>
                <w:sz w:val="13"/>
                <w:szCs w:val="13"/>
                <w:color w:val="auto"/>
              </w:rPr>
            </w:pPr>
          </w:p>
        </w:tc>
        <w:tc>
          <w:tcPr>
            <w:tcW w:w="1040" w:type="dxa"/>
            <w:vAlign w:val="bottom"/>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3"/>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9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Class B</w:t>
            </w:r>
          </w:p>
        </w:tc>
      </w:tr>
      <w:tr>
        <w:trPr>
          <w:trHeight w:val="16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Outstanding stock options</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88,019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51,444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Unvested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9,228,633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1,015,860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98,941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rights committed under the ESPP</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1,674,853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241,107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4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10,991,505</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1,256,967</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165,336</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4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For the years ended January 31, 2023, 2022, and 2021, the table above does not include 405,156 of issued Class A common stock held by us that are reserved for the sole purpose of being transferred to nonprofit organizations.</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Subsequent Events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February 7, 2023, we announced a restructuring plan (the “Plan”) intended to reduce operating costs and continue advancing our ongoing commitment to profitable growth. The Plan includes a reduction of our current workforce by approximately 15%. Decisions regarding the elimination of positions are subject to local law and consultation requirements in certain countries, as well as our business needs.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estimate that we will incur approximately $50 million to $68 million in charges in connection with the Plan, which will be substantially incurred in the first quarter of fiscal year 2024. These charges primarily relate to employee transition, severance payments, employee benefits, and stock-based compensation. Of the aggregate amount of charges that we estimate we will incur in connection with the Plan, we expect that approximately $43 million to $59 million will be in future cash expenditures.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actions associated with the employee restructuring under the Plan are expected to be substantially complete by the first quarter of fiscal year 2024, subject to local law and consultation requirements.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estimates of the charges and expenditures that we expect to incur in connection with the Plan, and the timing thereof, are subject to a number of assumptions, including local law requirements in various jurisdictions, and actual amounts may differ materially from estimates. In addition, we may incur other charges or cash expenditures not currently contemplated due to unanticipated events that may occur, including in connection with the implementation of the Plan.</w:t>
      </w:r>
    </w:p>
    <w:p>
      <w:pPr>
        <w:spacing w:after="0" w:line="134" w:lineRule="exact"/>
        <w:rPr>
          <w:sz w:val="20"/>
          <w:szCs w:val="20"/>
          <w:color w:val="auto"/>
        </w:rPr>
      </w:pPr>
    </w:p>
    <w:p>
      <w:pPr>
        <w:ind w:right="3360"/>
        <w:spacing w:after="0" w:line="416" w:lineRule="auto"/>
        <w:rPr>
          <w:sz w:val="20"/>
          <w:szCs w:val="20"/>
          <w:color w:val="auto"/>
        </w:rPr>
      </w:pPr>
      <w:r>
        <w:rPr>
          <w:rFonts w:ascii="Times New Roman" w:cs="Times New Roman" w:eastAsia="Times New Roman" w:hAnsi="Times New Roman"/>
          <w:sz w:val="14"/>
          <w:szCs w:val="14"/>
          <w:b w:val="1"/>
          <w:bCs w:val="1"/>
          <w:color w:val="auto"/>
        </w:rPr>
        <w:t xml:space="preserve">Item 9. CHANGES IN AND DISAGREEMENTS WITH ACCOUNTANTS ON ACCOUNTING AND FINANCIAL DISCLOSURE </w:t>
      </w:r>
      <w:r>
        <w:rPr>
          <w:rFonts w:ascii="Times New Roman" w:cs="Times New Roman" w:eastAsia="Times New Roman" w:hAnsi="Times New Roman"/>
          <w:sz w:val="14"/>
          <w:szCs w:val="14"/>
          <w:color w:val="auto"/>
        </w:rPr>
        <w:t>None.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criteria established in Internal Control – Integrated Framework (2013) issued by the Committee of Sponsoring Organizations of the Treadway Commission. Management has concluded that its internal control over financial reporting was effective as of January 31, 2023 to provide reasonable assurance regarding the reliability of financial reporting and the preparation of financial statements in accordance with U.S. GAAP.</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January 31, 2023 has been audited by KPMG LLP, an independent registered public accounting firm, as stated in their report, which is included in Item 8 of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There has been no change in our internal control over financial reporting (as defined in Rules 13a-15(d) and 15d-15(d) under the Exchange Act) that occurred during the quarter ended January 31, 2023 that has materially affected, or is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Disclosure Controls and Procedures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March 1, 2023, our Board of Directors (the “Board”) approved amendments to our Amended and Restated Bylaws (the “Bylaws”), which became effective the same day. Among other things, the amendments: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firstLine="387"/>
        <w:spacing w:after="0" w:line="287" w:lineRule="auto"/>
        <w:tabs>
          <w:tab w:leader="none" w:pos="50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update the advance notice provisions that apply where a stockholder intends to propose a director nomination or other business at a stockholder meeting, including to address newly adopted Rule 14a-19 of the Exchange Act (“Rule 14a-19”), by requiring:</w:t>
      </w:r>
    </w:p>
    <w:p>
      <w:pPr>
        <w:spacing w:after="0" w:line="39" w:lineRule="exact"/>
        <w:rPr>
          <w:rFonts w:ascii="Times New Roman" w:cs="Times New Roman" w:eastAsia="Times New Roman" w:hAnsi="Times New Roman"/>
          <w:sz w:val="14"/>
          <w:szCs w:val="14"/>
          <w:color w:val="auto"/>
        </w:rPr>
      </w:pPr>
    </w:p>
    <w:p>
      <w:pPr>
        <w:ind w:left="520" w:firstLine="376"/>
        <w:spacing w:after="0" w:line="287" w:lineRule="auto"/>
        <w:tabs>
          <w:tab w:leader="none" w:pos="1037"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stockholder submitting a nomination notice to make a representation as to whether such stockholder intends to solicit proxies in support of director nominees other than our nominees in accordance with Rule 14a-19 and to provide reasonable evidence that certain requirements of such rule have been satisfied;</w:t>
      </w:r>
    </w:p>
    <w:p>
      <w:pPr>
        <w:spacing w:after="0" w:line="39" w:lineRule="exact"/>
        <w:rPr>
          <w:rFonts w:ascii="Times New Roman" w:cs="Times New Roman" w:eastAsia="Times New Roman" w:hAnsi="Times New Roman"/>
          <w:sz w:val="14"/>
          <w:szCs w:val="14"/>
          <w:color w:val="auto"/>
        </w:rPr>
      </w:pPr>
    </w:p>
    <w:p>
      <w:pPr>
        <w:jc w:val="both"/>
        <w:ind w:left="520" w:firstLine="376"/>
        <w:spacing w:after="0" w:line="264" w:lineRule="auto"/>
        <w:tabs>
          <w:tab w:leader="none" w:pos="1026"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nomination of each proposed director nominee other than our nominees be disregarded (notwithstanding that the nominee is included as a nominee in our proxy statement, notice of meeting or other proxy materials for any stockholder meeting (or any supplement thereto) and notwithstanding that proxies or votes in respect of the election of such proposed nominees may have been received by us (which proxies and votes shall be disregarded)) if, after a stockholder provides notice pursuant to Rule 14a-19, such stockholder subsequently fails to comply with the requirements of Rule 14a-19 or fails to timely provide reasonable evidence that certain requirements of such rule have been satisfied;</w:t>
      </w:r>
    </w:p>
    <w:p>
      <w:pPr>
        <w:spacing w:after="0" w:line="55"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number of nominees a stockholder may nominate for election at a stockholder meeting may not exceed the number of directors to be elected at such meeting;</w:t>
      </w:r>
    </w:p>
    <w:p>
      <w:pPr>
        <w:spacing w:after="0" w:line="93" w:lineRule="exact"/>
        <w:rPr>
          <w:rFonts w:ascii="Times New Roman" w:cs="Times New Roman" w:eastAsia="Times New Roman" w:hAnsi="Times New Roman"/>
          <w:sz w:val="14"/>
          <w:szCs w:val="14"/>
          <w:color w:val="auto"/>
        </w:rPr>
      </w:pPr>
    </w:p>
    <w:p>
      <w:pPr>
        <w:ind w:left="520" w:firstLine="376"/>
        <w:spacing w:after="0" w:line="287" w:lineRule="auto"/>
        <w:tabs>
          <w:tab w:leader="none" w:pos="1026"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representations with respect to a proposed nominee regarding the absence of certain voting commitments, disclosure of compensation for service and compliance with our corporate governance and other policies, and intent to serve the entire term;</w:t>
      </w:r>
    </w:p>
    <w:p>
      <w:pPr>
        <w:spacing w:after="0" w:line="39" w:lineRule="exact"/>
        <w:rPr>
          <w:rFonts w:ascii="Times New Roman" w:cs="Times New Roman" w:eastAsia="Times New Roman" w:hAnsi="Times New Roman"/>
          <w:sz w:val="14"/>
          <w:szCs w:val="14"/>
          <w:color w:val="auto"/>
        </w:rPr>
      </w:pPr>
    </w:p>
    <w:p>
      <w:pPr>
        <w:ind w:left="520" w:firstLine="376"/>
        <w:spacing w:after="0" w:line="287" w:lineRule="auto"/>
        <w:tabs>
          <w:tab w:leader="none" w:pos="1026"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background information and disclosures regarding proposing stockholders, proposed nominees and business, and other persons related to a stockholder’s solicitation of proxies; and</w:t>
      </w:r>
    </w:p>
    <w:p>
      <w:pPr>
        <w:spacing w:after="0" w:line="39" w:lineRule="exact"/>
        <w:rPr>
          <w:rFonts w:ascii="Times New Roman" w:cs="Times New Roman" w:eastAsia="Times New Roman" w:hAnsi="Times New Roman"/>
          <w:sz w:val="14"/>
          <w:szCs w:val="14"/>
          <w:color w:val="auto"/>
        </w:rPr>
      </w:pPr>
    </w:p>
    <w:p>
      <w:pPr>
        <w:ind w:left="520" w:firstLine="376"/>
        <w:spacing w:after="0" w:line="287" w:lineRule="auto"/>
        <w:tabs>
          <w:tab w:leader="none" w:pos="1026"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whenever a document or information must be delivered to us under the advance notice provisions such document or information must be in writing exclusively and must be delivered exclusively by hand, or by certified or registered mail, return receipt requested.</w:t>
      </w:r>
    </w:p>
    <w:p>
      <w:pPr>
        <w:spacing w:after="0" w:line="39" w:lineRule="exact"/>
        <w:rPr>
          <w:rFonts w:ascii="Times New Roman" w:cs="Times New Roman" w:eastAsia="Times New Roman" w:hAnsi="Times New Roman"/>
          <w:sz w:val="14"/>
          <w:szCs w:val="14"/>
          <w:color w:val="auto"/>
        </w:rPr>
      </w:pPr>
    </w:p>
    <w:p>
      <w:pPr>
        <w:ind w:firstLine="387"/>
        <w:spacing w:after="0" w:line="287" w:lineRule="auto"/>
        <w:tabs>
          <w:tab w:leader="none" w:pos="50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any stockholder directly or indirectly soliciting proxies from other stockholders must use a proxy card color other than white, with the white proxy card being reserved for exclusive use by our Board; and</w:t>
      </w:r>
    </w:p>
    <w:p>
      <w:pPr>
        <w:spacing w:after="0" w:line="39"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certain other technical, modernizing and clarifying changes.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foregoing description is a summary and is qualified in its entirety by reference to the full text of the Bylaws, a copy of which is attached as Exhibit 3.2 hereto and is incorporated by reference herein.</w:t>
      </w:r>
    </w:p>
    <w:p>
      <w:pPr>
        <w:spacing w:after="0" w:line="122" w:lineRule="exact"/>
        <w:rPr>
          <w:sz w:val="20"/>
          <w:szCs w:val="20"/>
          <w:color w:val="auto"/>
        </w:rPr>
      </w:pPr>
    </w:p>
    <w:p>
      <w:pPr>
        <w:ind w:right="4900"/>
        <w:spacing w:after="0" w:line="328" w:lineRule="auto"/>
        <w:rPr>
          <w:sz w:val="20"/>
          <w:szCs w:val="20"/>
          <w:color w:val="auto"/>
        </w:rPr>
      </w:pPr>
      <w:r>
        <w:rPr>
          <w:rFonts w:ascii="Times New Roman" w:cs="Times New Roman" w:eastAsia="Times New Roman" w:hAnsi="Times New Roman"/>
          <w:sz w:val="14"/>
          <w:szCs w:val="14"/>
          <w:b w:val="1"/>
          <w:bCs w:val="1"/>
          <w:color w:val="auto"/>
        </w:rPr>
        <w:t xml:space="preserve">Item 9C. DISCLOSURE REGARDING FOREIGN JURISDICTIONS THAT PREVENT INSPECTIONS </w:t>
      </w:r>
      <w:r>
        <w:rPr>
          <w:rFonts w:ascii="Times New Roman" w:cs="Times New Roman" w:eastAsia="Times New Roman" w:hAnsi="Times New Roman"/>
          <w:sz w:val="14"/>
          <w:szCs w:val="14"/>
          <w:color w:val="auto"/>
        </w:rPr>
        <w:t>Not applicable.</w:t>
      </w:r>
    </w:p>
    <w:p>
      <w:pPr>
        <w:spacing w:after="0" w:line="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7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maintain a Code of Business Conduct and Ethics that incorporates our code of ethics applicable to all employees, including all directors and executive officers. Our Code of Business Conduct and Ethics is published on our Investor Relations website at investors.zoom.us under “Corporate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remaining information required by this item is incorporated by reference to the definitive Proxy Statement for our 2023 Annual Meeting of Stockholders, which will be filed with the SEC no later than 120 days after January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definitive Proxy Statement for our 2023 Annual Meeting of Stockholders, which will be filed with the SEC no later than 120 days after January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definitive Proxy Statement for our 2023 Annual Meeting of Stockholders, which will be filed with the SEC no later than 120 days after January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definitive Proxy Statement for our 2023 Annual Meeting of Stockholders, which will be filed with the SEC no later than 120 days after January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definitive Proxy Statement for our 2023 Annual Meeting of Stockholders, which will be filed with the SEC no later than 120 days after January 31, 2023.</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79" w:lineRule="exact"/>
        <w:rPr>
          <w:sz w:val="20"/>
          <w:szCs w:val="20"/>
          <w:color w:val="auto"/>
        </w:rPr>
      </w:pPr>
    </w:p>
    <w:p>
      <w:pPr>
        <w:ind w:left="580" w:hanging="193"/>
        <w:spacing w:after="0"/>
        <w:tabs>
          <w:tab w:leader="none" w:pos="5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filed as a part of this Annual Report on Form 10-K:</w:t>
      </w:r>
    </w:p>
    <w:p>
      <w:pPr>
        <w:spacing w:after="0" w:line="93" w:lineRule="exact"/>
        <w:rPr>
          <w:rFonts w:ascii="Times New Roman" w:cs="Times New Roman" w:eastAsia="Times New Roman" w:hAnsi="Times New Roman"/>
          <w:sz w:val="14"/>
          <w:szCs w:val="14"/>
          <w:color w:val="auto"/>
        </w:rPr>
      </w:pPr>
    </w:p>
    <w:p>
      <w:pPr>
        <w:ind w:left="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Consolidated Financial Statements:</w:t>
      </w:r>
    </w:p>
    <w:p>
      <w:pPr>
        <w:spacing w:after="0" w:line="93" w:lineRule="exact"/>
        <w:rPr>
          <w:rFonts w:ascii="Times New Roman" w:cs="Times New Roman" w:eastAsia="Times New Roman" w:hAnsi="Times New Roman"/>
          <w:sz w:val="14"/>
          <w:szCs w:val="14"/>
          <w:color w:val="auto"/>
        </w:rPr>
      </w:pPr>
    </w:p>
    <w:p>
      <w:pPr>
        <w:ind w:left="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Consolidated Financial Statements are listed in the “Index to Consolidated Financial Statements” under Part II, Item 8 of this Annual Report on Form 10-K.</w:t>
      </w:r>
    </w:p>
    <w:p>
      <w:pPr>
        <w:spacing w:after="0" w:line="93" w:lineRule="exact"/>
        <w:rPr>
          <w:rFonts w:ascii="Times New Roman" w:cs="Times New Roman" w:eastAsia="Times New Roman" w:hAnsi="Times New Roman"/>
          <w:sz w:val="14"/>
          <w:szCs w:val="14"/>
          <w:color w:val="auto"/>
        </w:rPr>
      </w:pPr>
    </w:p>
    <w:p>
      <w:pPr>
        <w:ind w:left="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Financial Statement Schedules:</w:t>
      </w:r>
    </w:p>
    <w:p>
      <w:pPr>
        <w:spacing w:after="0" w:line="9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Schedule II: Valuation and Qualifying Accounts is filed as part of this Annual Report on Form 10-K and should be read in conjunction with the Consolidated Financial Statements and Notes thereto.</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Schedules not listed above have been omitted because the information required to be set forth therein is not applicable or is shown in the financial statements or notes herein.</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(3) Exhibits</w:t>
      </w:r>
    </w:p>
    <w:p>
      <w:pPr>
        <w:spacing w:after="0" w:line="9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documents listed in the following Exhibit Index of this Annual Report on Form 10-K are incorporated by reference or are filed with this Annual Report on Form 10-K, in each case as indicated therein (numbered in accordance with Item 601 of Regulation S-K).</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1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740" w:type="dxa"/>
            <w:vAlign w:val="bottom"/>
            <w:tcBorders>
              <w:bottom w:val="single" w:sz="8" w:color="auto"/>
            </w:tcBorders>
          </w:tcPr>
          <w:p>
            <w:pPr>
              <w:spacing w:after="0"/>
              <w:rPr>
                <w:sz w:val="13"/>
                <w:szCs w:val="13"/>
                <w:color w:val="auto"/>
              </w:rPr>
            </w:pPr>
          </w:p>
        </w:tc>
      </w:tr>
      <w:tr>
        <w:trPr>
          <w:trHeight w:val="151"/>
        </w:trPr>
        <w:tc>
          <w:tcPr>
            <w:tcW w:w="1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17"/>
          </w:tcPr>
          <w:p>
            <w:pPr>
              <w:ind w:left="4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1200" w:type="dxa"/>
            <w:vAlign w:val="bottom"/>
          </w:tcPr>
          <w:p>
            <w:pPr>
              <w:ind w:left="58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560" w:type="dxa"/>
            <w:vAlign w:val="bottom"/>
          </w:tcPr>
          <w:p>
            <w:pPr>
              <w:ind w:left="86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480" w:type="dxa"/>
            <w:vAlign w:val="bottom"/>
          </w:tcPr>
          <w:p>
            <w:pPr>
              <w:ind w:left="8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740" w:type="dxa"/>
            <w:vAlign w:val="bottom"/>
          </w:tcPr>
          <w:p>
            <w:pPr>
              <w:ind w:left="740"/>
              <w:spacing w:after="0"/>
              <w:rPr>
                <w:sz w:val="20"/>
                <w:szCs w:val="20"/>
                <w:color w:val="auto"/>
              </w:rPr>
            </w:pPr>
            <w:r>
              <w:rPr>
                <w:rFonts w:ascii="Times New Roman" w:cs="Times New Roman" w:eastAsia="Times New Roman" w:hAnsi="Times New Roman"/>
                <w:sz w:val="11"/>
                <w:szCs w:val="11"/>
                <w:b w:val="1"/>
                <w:bCs w:val="1"/>
                <w:color w:val="auto"/>
              </w:rPr>
              <w:t>Filing Date</w:t>
            </w:r>
          </w:p>
        </w:tc>
      </w:tr>
      <w:tr>
        <w:trPr>
          <w:trHeight w:val="125"/>
        </w:trPr>
        <w:tc>
          <w:tcPr>
            <w:tcW w:w="114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3.1</w:t>
            </w:r>
          </w:p>
        </w:tc>
        <w:tc>
          <w:tcPr>
            <w:tcW w:w="4140" w:type="dxa"/>
            <w:vAlign w:val="bottom"/>
            <w:gridSpan w:val="23"/>
          </w:tcPr>
          <w:p>
            <w:pPr>
              <w:spacing w:after="0" w:line="125"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Amended and Restated Certificate of Incorporation of Zoom Video Communications,</w:t>
              </w:r>
            </w:hyperlink>
          </w:p>
        </w:tc>
        <w:tc>
          <w:tcPr>
            <w:tcW w:w="120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color w:val="auto"/>
              </w:rPr>
              <w:t>8-K</w:t>
            </w:r>
          </w:p>
        </w:tc>
        <w:tc>
          <w:tcPr>
            <w:tcW w:w="1560" w:type="dxa"/>
            <w:vAlign w:val="bottom"/>
          </w:tcPr>
          <w:p>
            <w:pPr>
              <w:ind w:left="340"/>
              <w:spacing w:after="0" w:line="125" w:lineRule="exact"/>
              <w:rPr>
                <w:sz w:val="20"/>
                <w:szCs w:val="20"/>
                <w:color w:val="auto"/>
              </w:rPr>
            </w:pPr>
            <w:r>
              <w:rPr>
                <w:rFonts w:ascii="Times New Roman" w:cs="Times New Roman" w:eastAsia="Times New Roman" w:hAnsi="Times New Roman"/>
                <w:sz w:val="11"/>
                <w:szCs w:val="11"/>
                <w:color w:val="auto"/>
              </w:rPr>
              <w:t>001-38865</w:t>
            </w:r>
          </w:p>
        </w:tc>
        <w:tc>
          <w:tcPr>
            <w:tcW w:w="1480" w:type="dxa"/>
            <w:vAlign w:val="bottom"/>
          </w:tcPr>
          <w:p>
            <w:pPr>
              <w:ind w:left="300"/>
              <w:spacing w:after="0" w:line="125" w:lineRule="exact"/>
              <w:rPr>
                <w:sz w:val="20"/>
                <w:szCs w:val="20"/>
                <w:color w:val="auto"/>
              </w:rPr>
            </w:pPr>
            <w:r>
              <w:rPr>
                <w:rFonts w:ascii="Times New Roman" w:cs="Times New Roman" w:eastAsia="Times New Roman" w:hAnsi="Times New Roman"/>
                <w:sz w:val="11"/>
                <w:szCs w:val="11"/>
                <w:color w:val="auto"/>
              </w:rPr>
              <w:t>3.1</w:t>
            </w:r>
          </w:p>
        </w:tc>
        <w:tc>
          <w:tcPr>
            <w:tcW w:w="1740" w:type="dxa"/>
            <w:vAlign w:val="bottom"/>
          </w:tcPr>
          <w:p>
            <w:pPr>
              <w:ind w:left="300"/>
              <w:spacing w:after="0" w:line="125" w:lineRule="exact"/>
              <w:rPr>
                <w:sz w:val="20"/>
                <w:szCs w:val="20"/>
                <w:color w:val="auto"/>
              </w:rPr>
            </w:pPr>
            <w:r>
              <w:rPr>
                <w:rFonts w:ascii="Times New Roman" w:cs="Times New Roman" w:eastAsia="Times New Roman" w:hAnsi="Times New Roman"/>
                <w:sz w:val="11"/>
                <w:szCs w:val="11"/>
                <w:color w:val="auto"/>
              </w:rPr>
              <w:t>April 23, 2019</w:t>
            </w:r>
          </w:p>
        </w:tc>
      </w:tr>
      <w:tr>
        <w:trPr>
          <w:trHeight w:val="97"/>
        </w:trPr>
        <w:tc>
          <w:tcPr>
            <w:tcW w:w="1140" w:type="dxa"/>
            <w:vAlign w:val="bottom"/>
          </w:tcPr>
          <w:p>
            <w:pPr>
              <w:spacing w:after="0"/>
              <w:rPr>
                <w:sz w:val="8"/>
                <w:szCs w:val="8"/>
                <w:color w:val="auto"/>
              </w:rPr>
            </w:pPr>
          </w:p>
        </w:tc>
        <w:tc>
          <w:tcPr>
            <w:tcW w:w="18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w w:val="94"/>
              </w:rPr>
            </w:pPr>
            <w:hyperlink r:id="rId122">
              <w:r>
                <w:rPr>
                  <w:rFonts w:ascii="Times New Roman" w:cs="Times New Roman" w:eastAsia="Times New Roman" w:hAnsi="Times New Roman"/>
                  <w:sz w:val="11"/>
                  <w:szCs w:val="11"/>
                  <w:color w:val="0000FF"/>
                  <w:w w:val="94"/>
                </w:rPr>
                <w:t>Inc.</w:t>
              </w:r>
            </w:hyperlink>
          </w:p>
        </w:tc>
        <w:tc>
          <w:tcPr>
            <w:tcW w:w="3700" w:type="dxa"/>
            <w:vAlign w:val="bottom"/>
            <w:tcBorders>
              <w:top w:val="single" w:sz="8" w:color="0000FF"/>
            </w:tcBorders>
            <w:gridSpan w:val="16"/>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3.2</w:t>
            </w:r>
          </w:p>
        </w:tc>
        <w:tc>
          <w:tcPr>
            <w:tcW w:w="4140" w:type="dxa"/>
            <w:vAlign w:val="bottom"/>
            <w:gridSpan w:val="23"/>
          </w:tcPr>
          <w:p>
            <w:pPr>
              <w:spacing w:after="0"/>
              <w:rPr>
                <w:sz w:val="20"/>
                <w:szCs w:val="20"/>
                <w:color w:val="auto"/>
              </w:rPr>
            </w:pPr>
            <w:r>
              <w:rPr>
                <w:rFonts w:ascii="Times New Roman" w:cs="Times New Roman" w:eastAsia="Times New Roman" w:hAnsi="Times New Roman"/>
                <w:sz w:val="11"/>
                <w:szCs w:val="11"/>
                <w:color w:val="0000FF"/>
              </w:rPr>
              <w:t>Amended and Restated Bylaws of Zoom Video Communications, Inc.</w:t>
            </w:r>
          </w:p>
        </w:tc>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4.1</w:t>
            </w:r>
          </w:p>
        </w:tc>
        <w:tc>
          <w:tcPr>
            <w:tcW w:w="2000" w:type="dxa"/>
            <w:vAlign w:val="bottom"/>
            <w:tcBorders>
              <w:top w:val="single" w:sz="8" w:color="0000FF"/>
              <w:bottom w:val="single" w:sz="8" w:color="auto"/>
            </w:tcBorders>
            <w:gridSpan w:val="9"/>
          </w:tcPr>
          <w:p>
            <w:pPr>
              <w:spacing w:after="0"/>
              <w:rPr>
                <w:rFonts w:ascii="Times New Roman" w:cs="Times New Roman" w:eastAsia="Times New Roman" w:hAnsi="Times New Roman"/>
                <w:sz w:val="11"/>
                <w:szCs w:val="11"/>
                <w:color w:val="auto"/>
              </w:rPr>
            </w:pPr>
            <w:hyperlink r:id="rId123">
              <w:r>
                <w:rPr>
                  <w:rFonts w:ascii="Times New Roman" w:cs="Times New Roman" w:eastAsia="Times New Roman" w:hAnsi="Times New Roman"/>
                  <w:sz w:val="11"/>
                  <w:szCs w:val="11"/>
                  <w:color w:val="auto"/>
                </w:rPr>
                <w:t>Form of Class A Common Stock Certificate</w:t>
              </w:r>
            </w:hyperlink>
          </w:p>
        </w:tc>
        <w:tc>
          <w:tcPr>
            <w:tcW w:w="1160" w:type="dxa"/>
            <w:vAlign w:val="bottom"/>
            <w:tcBorders>
              <w:top w:val="single" w:sz="8" w:color="0000FF"/>
            </w:tcBorders>
            <w:gridSpan w:val="3"/>
          </w:tcPr>
          <w:p>
            <w:pPr>
              <w:spacing w:after="0"/>
              <w:rPr>
                <w:sz w:val="12"/>
                <w:szCs w:val="12"/>
                <w:color w:val="auto"/>
              </w:rPr>
            </w:pPr>
          </w:p>
        </w:tc>
        <w:tc>
          <w:tcPr>
            <w:tcW w:w="980" w:type="dxa"/>
            <w:vAlign w:val="bottom"/>
            <w:gridSpan w:val="11"/>
          </w:tcPr>
          <w:p>
            <w:pPr>
              <w:spacing w:after="0"/>
              <w:rPr>
                <w:sz w:val="12"/>
                <w:szCs w:val="12"/>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S-1/A</w:t>
            </w:r>
          </w:p>
        </w:tc>
        <w:tc>
          <w:tcPr>
            <w:tcW w:w="1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333-230444</w:t>
            </w:r>
          </w:p>
        </w:tc>
        <w:tc>
          <w:tcPr>
            <w:tcW w:w="1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4.1</w:t>
            </w:r>
          </w:p>
        </w:tc>
        <w:tc>
          <w:tcPr>
            <w:tcW w:w="1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April 8, 2019</w:t>
            </w: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4.2#</w:t>
            </w:r>
          </w:p>
        </w:tc>
        <w:tc>
          <w:tcPr>
            <w:tcW w:w="4140" w:type="dxa"/>
            <w:vAlign w:val="bottom"/>
            <w:gridSpan w:val="23"/>
          </w:tcPr>
          <w:p>
            <w:pPr>
              <w:spacing w:after="0"/>
              <w:rPr>
                <w:rFonts w:ascii="Times New Roman" w:cs="Times New Roman" w:eastAsia="Times New Roman" w:hAnsi="Times New Roman"/>
                <w:sz w:val="11"/>
                <w:szCs w:val="11"/>
                <w:color w:val="0000FF"/>
              </w:rPr>
            </w:pPr>
            <w:hyperlink r:id="rId124">
              <w:r>
                <w:rPr>
                  <w:rFonts w:ascii="Times New Roman" w:cs="Times New Roman" w:eastAsia="Times New Roman" w:hAnsi="Times New Roman"/>
                  <w:sz w:val="11"/>
                  <w:szCs w:val="11"/>
                  <w:color w:val="0000FF"/>
                </w:rPr>
                <w:t>Third Amended and Restated Investors’ Rights Agreement by and among the Registrant</w:t>
              </w:r>
            </w:hyperlink>
          </w:p>
        </w:tc>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S-1</w:t>
            </w:r>
          </w:p>
        </w:tc>
        <w:tc>
          <w:tcPr>
            <w:tcW w:w="1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333-230444</w:t>
            </w:r>
          </w:p>
        </w:tc>
        <w:tc>
          <w:tcPr>
            <w:tcW w:w="1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4.2</w:t>
            </w:r>
          </w:p>
        </w:tc>
        <w:tc>
          <w:tcPr>
            <w:tcW w:w="1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March 22, 2019</w:t>
            </w:r>
          </w:p>
        </w:tc>
      </w:tr>
      <w:tr>
        <w:trPr>
          <w:trHeight w:val="97"/>
        </w:trPr>
        <w:tc>
          <w:tcPr>
            <w:tcW w:w="1140" w:type="dxa"/>
            <w:vAlign w:val="bottom"/>
          </w:tcPr>
          <w:p>
            <w:pPr>
              <w:spacing w:after="0"/>
              <w:rPr>
                <w:sz w:val="8"/>
                <w:szCs w:val="8"/>
                <w:color w:val="auto"/>
              </w:rPr>
            </w:pPr>
          </w:p>
        </w:tc>
        <w:tc>
          <w:tcPr>
            <w:tcW w:w="4020" w:type="dxa"/>
            <w:vAlign w:val="bottom"/>
            <w:tcBorders>
              <w:top w:val="single" w:sz="8" w:color="0000FF"/>
            </w:tcBorders>
            <w:gridSpan w:val="22"/>
          </w:tcPr>
          <w:p>
            <w:pPr>
              <w:spacing w:after="0" w:line="97" w:lineRule="exact"/>
              <w:rPr>
                <w:rFonts w:ascii="Times New Roman" w:cs="Times New Roman" w:eastAsia="Times New Roman" w:hAnsi="Times New Roman"/>
                <w:sz w:val="11"/>
                <w:szCs w:val="11"/>
                <w:color w:val="0000FF"/>
              </w:rPr>
            </w:pPr>
            <w:hyperlink r:id="rId124">
              <w:r>
                <w:rPr>
                  <w:rFonts w:ascii="Times New Roman" w:cs="Times New Roman" w:eastAsia="Times New Roman" w:hAnsi="Times New Roman"/>
                  <w:sz w:val="11"/>
                  <w:szCs w:val="11"/>
                  <w:color w:val="0000FF"/>
                </w:rPr>
                <w:t>and certain of its stockholders, dated December 1, 2016</w:t>
              </w:r>
            </w:hyperlink>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4.3</w:t>
            </w:r>
          </w:p>
        </w:tc>
        <w:tc>
          <w:tcPr>
            <w:tcW w:w="25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1"/>
                <w:szCs w:val="11"/>
                <w:color w:val="0000FF"/>
              </w:rPr>
              <w:t>Description of Securities</w:t>
            </w:r>
          </w:p>
        </w:tc>
        <w:tc>
          <w:tcPr>
            <w:tcW w:w="1620" w:type="dxa"/>
            <w:vAlign w:val="bottom"/>
            <w:gridSpan w:val="13"/>
          </w:tcPr>
          <w:p>
            <w:pPr>
              <w:spacing w:after="0"/>
              <w:rPr>
                <w:sz w:val="11"/>
                <w:szCs w:val="11"/>
                <w:color w:val="auto"/>
              </w:rPr>
            </w:pPr>
          </w:p>
        </w:tc>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w:t>
            </w:r>
          </w:p>
        </w:tc>
        <w:tc>
          <w:tcPr>
            <w:tcW w:w="4140" w:type="dxa"/>
            <w:vAlign w:val="bottom"/>
            <w:gridSpan w:val="23"/>
          </w:tcPr>
          <w:p>
            <w:pPr>
              <w:spacing w:after="0"/>
              <w:rPr>
                <w:rFonts w:ascii="Times New Roman" w:cs="Times New Roman" w:eastAsia="Times New Roman" w:hAnsi="Times New Roman"/>
                <w:sz w:val="11"/>
                <w:szCs w:val="11"/>
                <w:color w:val="0000FF"/>
              </w:rPr>
            </w:pPr>
            <w:hyperlink r:id="rId125">
              <w:r>
                <w:rPr>
                  <w:rFonts w:ascii="Times New Roman" w:cs="Times New Roman" w:eastAsia="Times New Roman" w:hAnsi="Times New Roman"/>
                  <w:sz w:val="11"/>
                  <w:szCs w:val="11"/>
                  <w:color w:val="0000FF"/>
                </w:rPr>
                <w:t>Zoom Video Communications, Inc. Fourth Amended and Restated 2011 Global Share</w:t>
              </w:r>
            </w:hyperlink>
          </w:p>
        </w:tc>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S-1</w:t>
            </w:r>
          </w:p>
        </w:tc>
        <w:tc>
          <w:tcPr>
            <w:tcW w:w="1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333-230444</w:t>
            </w:r>
          </w:p>
        </w:tc>
        <w:tc>
          <w:tcPr>
            <w:tcW w:w="1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10.1</w:t>
            </w:r>
          </w:p>
        </w:tc>
        <w:tc>
          <w:tcPr>
            <w:tcW w:w="1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March 22, 2019</w:t>
            </w:r>
          </w:p>
        </w:tc>
      </w:tr>
      <w:tr>
        <w:trPr>
          <w:trHeight w:val="97"/>
        </w:trPr>
        <w:tc>
          <w:tcPr>
            <w:tcW w:w="1140" w:type="dxa"/>
            <w:vAlign w:val="bottom"/>
          </w:tcPr>
          <w:p>
            <w:pPr>
              <w:spacing w:after="0"/>
              <w:rPr>
                <w:sz w:val="8"/>
                <w:szCs w:val="8"/>
                <w:color w:val="auto"/>
              </w:rPr>
            </w:pPr>
          </w:p>
        </w:tc>
        <w:tc>
          <w:tcPr>
            <w:tcW w:w="1900" w:type="dxa"/>
            <w:vAlign w:val="bottom"/>
            <w:tcBorders>
              <w:top w:val="single" w:sz="8" w:color="0000FF"/>
              <w:bottom w:val="single" w:sz="8" w:color="0000FF"/>
            </w:tcBorders>
            <w:gridSpan w:val="8"/>
          </w:tcPr>
          <w:p>
            <w:pPr>
              <w:spacing w:after="0" w:line="97" w:lineRule="exact"/>
              <w:rPr>
                <w:rFonts w:ascii="Times New Roman" w:cs="Times New Roman" w:eastAsia="Times New Roman" w:hAnsi="Times New Roman"/>
                <w:sz w:val="11"/>
                <w:szCs w:val="11"/>
                <w:color w:val="0000FF"/>
              </w:rPr>
            </w:pPr>
            <w:hyperlink r:id="rId125">
              <w:r>
                <w:rPr>
                  <w:rFonts w:ascii="Times New Roman" w:cs="Times New Roman" w:eastAsia="Times New Roman" w:hAnsi="Times New Roman"/>
                  <w:sz w:val="11"/>
                  <w:szCs w:val="11"/>
                  <w:color w:val="0000FF"/>
                </w:rPr>
                <w:t>Plan, and forms of agreements thereunder</w:t>
              </w:r>
            </w:hyperlink>
          </w:p>
        </w:tc>
        <w:tc>
          <w:tcPr>
            <w:tcW w:w="2000" w:type="dxa"/>
            <w:vAlign w:val="bottom"/>
            <w:tcBorders>
              <w:top w:val="single" w:sz="8" w:color="0000FF"/>
            </w:tcBorders>
            <w:gridSpan w:val="10"/>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10.2#</w:t>
            </w:r>
          </w:p>
        </w:tc>
        <w:tc>
          <w:tcPr>
            <w:tcW w:w="4140" w:type="dxa"/>
            <w:vAlign w:val="bottom"/>
            <w:gridSpan w:val="23"/>
          </w:tcPr>
          <w:p>
            <w:pPr>
              <w:spacing w:after="0"/>
              <w:rPr>
                <w:rFonts w:ascii="Times New Roman" w:cs="Times New Roman" w:eastAsia="Times New Roman" w:hAnsi="Times New Roman"/>
                <w:sz w:val="11"/>
                <w:szCs w:val="11"/>
                <w:color w:val="0000FF"/>
              </w:rPr>
            </w:pPr>
            <w:hyperlink r:id="rId126">
              <w:r>
                <w:rPr>
                  <w:rFonts w:ascii="Times New Roman" w:cs="Times New Roman" w:eastAsia="Times New Roman" w:hAnsi="Times New Roman"/>
                  <w:sz w:val="11"/>
                  <w:szCs w:val="11"/>
                  <w:color w:val="0000FF"/>
                </w:rPr>
                <w:t>Zoom Video Communications, Inc. 2019 Equity Incentive Plan, as amended, and forms</w:t>
              </w:r>
            </w:hyperlink>
          </w:p>
        </w:tc>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10-Q</w:t>
            </w:r>
          </w:p>
        </w:tc>
        <w:tc>
          <w:tcPr>
            <w:tcW w:w="1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001-38865</w:t>
            </w:r>
          </w:p>
        </w:tc>
        <w:tc>
          <w:tcPr>
            <w:tcW w:w="1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10.2</w:t>
            </w:r>
          </w:p>
        </w:tc>
        <w:tc>
          <w:tcPr>
            <w:tcW w:w="1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November 23, 2022</w:t>
            </w:r>
          </w:p>
        </w:tc>
      </w:tr>
      <w:tr>
        <w:trPr>
          <w:trHeight w:val="97"/>
        </w:trPr>
        <w:tc>
          <w:tcPr>
            <w:tcW w:w="1140" w:type="dxa"/>
            <w:vAlign w:val="bottom"/>
          </w:tcPr>
          <w:p>
            <w:pPr>
              <w:spacing w:after="0"/>
              <w:rPr>
                <w:sz w:val="8"/>
                <w:szCs w:val="8"/>
                <w:color w:val="auto"/>
              </w:rPr>
            </w:pPr>
          </w:p>
        </w:tc>
        <w:tc>
          <w:tcPr>
            <w:tcW w:w="1160" w:type="dxa"/>
            <w:vAlign w:val="bottom"/>
            <w:tcBorders>
              <w:top w:val="single" w:sz="8" w:color="0000FF"/>
              <w:bottom w:val="single" w:sz="8" w:color="0000FF"/>
            </w:tcBorders>
            <w:gridSpan w:val="5"/>
          </w:tcPr>
          <w:p>
            <w:pPr>
              <w:spacing w:after="0" w:line="97" w:lineRule="exact"/>
              <w:rPr>
                <w:rFonts w:ascii="Times New Roman" w:cs="Times New Roman" w:eastAsia="Times New Roman" w:hAnsi="Times New Roman"/>
                <w:sz w:val="11"/>
                <w:szCs w:val="11"/>
                <w:color w:val="0000FF"/>
              </w:rPr>
            </w:pPr>
            <w:hyperlink r:id="rId126">
              <w:r>
                <w:rPr>
                  <w:rFonts w:ascii="Times New Roman" w:cs="Times New Roman" w:eastAsia="Times New Roman" w:hAnsi="Times New Roman"/>
                  <w:sz w:val="11"/>
                  <w:szCs w:val="11"/>
                  <w:color w:val="0000FF"/>
                </w:rPr>
                <w:t>of agreements thereunder</w:t>
              </w:r>
            </w:hyperlink>
          </w:p>
        </w:tc>
        <w:tc>
          <w:tcPr>
            <w:tcW w:w="2800" w:type="dxa"/>
            <w:vAlign w:val="bottom"/>
            <w:tcBorders>
              <w:top w:val="single" w:sz="8" w:color="0000FF"/>
            </w:tcBorders>
            <w:gridSpan w:val="1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10.3</w:t>
            </w:r>
          </w:p>
        </w:tc>
        <w:tc>
          <w:tcPr>
            <w:tcW w:w="4140" w:type="dxa"/>
            <w:vAlign w:val="bottom"/>
            <w:gridSpan w:val="23"/>
          </w:tcPr>
          <w:p>
            <w:pPr>
              <w:spacing w:after="0"/>
              <w:rPr>
                <w:rFonts w:ascii="Times New Roman" w:cs="Times New Roman" w:eastAsia="Times New Roman" w:hAnsi="Times New Roman"/>
                <w:sz w:val="11"/>
                <w:szCs w:val="11"/>
                <w:color w:val="0000FF"/>
              </w:rPr>
            </w:pPr>
            <w:hyperlink r:id="rId127">
              <w:r>
                <w:rPr>
                  <w:rFonts w:ascii="Times New Roman" w:cs="Times New Roman" w:eastAsia="Times New Roman" w:hAnsi="Times New Roman"/>
                  <w:sz w:val="11"/>
                  <w:szCs w:val="11"/>
                  <w:color w:val="0000FF"/>
                </w:rPr>
                <w:t>Zoom Video Communications, Inc. 2019 Equity Incentive Plan Non-Employee Director</w:t>
              </w:r>
            </w:hyperlink>
          </w:p>
        </w:tc>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10-Q</w:t>
            </w:r>
          </w:p>
        </w:tc>
        <w:tc>
          <w:tcPr>
            <w:tcW w:w="1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001-38865</w:t>
            </w:r>
          </w:p>
        </w:tc>
        <w:tc>
          <w:tcPr>
            <w:tcW w:w="1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10.3</w:t>
            </w:r>
          </w:p>
        </w:tc>
        <w:tc>
          <w:tcPr>
            <w:tcW w:w="1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September 3, 2020</w:t>
            </w:r>
          </w:p>
        </w:tc>
      </w:tr>
      <w:tr>
        <w:trPr>
          <w:trHeight w:val="97"/>
        </w:trPr>
        <w:tc>
          <w:tcPr>
            <w:tcW w:w="1140" w:type="dxa"/>
            <w:vAlign w:val="bottom"/>
          </w:tcPr>
          <w:p>
            <w:pPr>
              <w:spacing w:after="0"/>
              <w:rPr>
                <w:sz w:val="8"/>
                <w:szCs w:val="8"/>
                <w:color w:val="auto"/>
              </w:rPr>
            </w:pPr>
          </w:p>
        </w:tc>
        <w:tc>
          <w:tcPr>
            <w:tcW w:w="4000" w:type="dxa"/>
            <w:vAlign w:val="bottom"/>
            <w:tcBorders>
              <w:top w:val="single" w:sz="8" w:color="0000FF"/>
            </w:tcBorders>
            <w:gridSpan w:val="21"/>
          </w:tcPr>
          <w:p>
            <w:pPr>
              <w:spacing w:after="0" w:line="97" w:lineRule="exact"/>
              <w:rPr>
                <w:rFonts w:ascii="Times New Roman" w:cs="Times New Roman" w:eastAsia="Times New Roman" w:hAnsi="Times New Roman"/>
                <w:sz w:val="11"/>
                <w:szCs w:val="11"/>
                <w:color w:val="0000FF"/>
              </w:rPr>
            </w:pPr>
            <w:hyperlink r:id="rId127">
              <w:r>
                <w:rPr>
                  <w:rFonts w:ascii="Times New Roman" w:cs="Times New Roman" w:eastAsia="Times New Roman" w:hAnsi="Times New Roman"/>
                  <w:sz w:val="11"/>
                  <w:szCs w:val="11"/>
                  <w:color w:val="0000FF"/>
                </w:rPr>
                <w:t>Global Restricted Stock Unit Award Grant Notice, as amended</w:t>
              </w:r>
            </w:hyperlink>
          </w:p>
        </w:tc>
        <w:tc>
          <w:tcPr>
            <w:tcW w:w="14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10.4</w:t>
            </w:r>
          </w:p>
        </w:tc>
        <w:tc>
          <w:tcPr>
            <w:tcW w:w="4140" w:type="dxa"/>
            <w:vAlign w:val="bottom"/>
            <w:gridSpan w:val="23"/>
          </w:tcPr>
          <w:p>
            <w:pPr>
              <w:spacing w:after="0"/>
              <w:rPr>
                <w:rFonts w:ascii="Times New Roman" w:cs="Times New Roman" w:eastAsia="Times New Roman" w:hAnsi="Times New Roman"/>
                <w:sz w:val="11"/>
                <w:szCs w:val="11"/>
                <w:color w:val="0000FF"/>
              </w:rPr>
            </w:pPr>
            <w:hyperlink r:id="rId128">
              <w:r>
                <w:rPr>
                  <w:rFonts w:ascii="Times New Roman" w:cs="Times New Roman" w:eastAsia="Times New Roman" w:hAnsi="Times New Roman"/>
                  <w:sz w:val="11"/>
                  <w:szCs w:val="11"/>
                  <w:color w:val="0000FF"/>
                </w:rPr>
                <w:t>Zoom Video Communications, Inc. 2019 Equity Incentive Plan Global Restricted Stock</w:t>
              </w:r>
            </w:hyperlink>
          </w:p>
        </w:tc>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10-Q</w:t>
            </w:r>
          </w:p>
        </w:tc>
        <w:tc>
          <w:tcPr>
            <w:tcW w:w="1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001-38865</w:t>
            </w:r>
          </w:p>
        </w:tc>
        <w:tc>
          <w:tcPr>
            <w:tcW w:w="1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10.1</w:t>
            </w:r>
          </w:p>
        </w:tc>
        <w:tc>
          <w:tcPr>
            <w:tcW w:w="1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December 4, 2020</w:t>
            </w:r>
          </w:p>
        </w:tc>
      </w:tr>
      <w:tr>
        <w:trPr>
          <w:trHeight w:val="97"/>
        </w:trPr>
        <w:tc>
          <w:tcPr>
            <w:tcW w:w="1140" w:type="dxa"/>
            <w:vAlign w:val="bottom"/>
          </w:tcPr>
          <w:p>
            <w:pPr>
              <w:spacing w:after="0"/>
              <w:rPr>
                <w:sz w:val="8"/>
                <w:szCs w:val="8"/>
                <w:color w:val="auto"/>
              </w:rPr>
            </w:pPr>
          </w:p>
        </w:tc>
        <w:tc>
          <w:tcPr>
            <w:tcW w:w="2840" w:type="dxa"/>
            <w:vAlign w:val="bottom"/>
            <w:tcBorders>
              <w:top w:val="single" w:sz="8" w:color="0000FF"/>
              <w:bottom w:val="single" w:sz="8" w:color="0000FF"/>
            </w:tcBorders>
            <w:gridSpan w:val="11"/>
          </w:tcPr>
          <w:p>
            <w:pPr>
              <w:spacing w:after="0" w:line="97" w:lineRule="exact"/>
              <w:rPr>
                <w:rFonts w:ascii="Times New Roman" w:cs="Times New Roman" w:eastAsia="Times New Roman" w:hAnsi="Times New Roman"/>
                <w:sz w:val="11"/>
                <w:szCs w:val="11"/>
                <w:color w:val="0000FF"/>
              </w:rPr>
            </w:pPr>
            <w:hyperlink r:id="rId128">
              <w:r>
                <w:rPr>
                  <w:rFonts w:ascii="Times New Roman" w:cs="Times New Roman" w:eastAsia="Times New Roman" w:hAnsi="Times New Roman"/>
                  <w:sz w:val="11"/>
                  <w:szCs w:val="11"/>
                  <w:color w:val="0000FF"/>
                </w:rPr>
                <w:t>Unit Award Grant Notice for Executive Officers, as amended</w:t>
              </w:r>
            </w:hyperlink>
          </w:p>
        </w:tc>
        <w:tc>
          <w:tcPr>
            <w:tcW w:w="1140" w:type="dxa"/>
            <w:vAlign w:val="bottom"/>
            <w:tcBorders>
              <w:top w:val="single" w:sz="8" w:color="0000FF"/>
            </w:tcBorders>
            <w:gridSpan w:val="9"/>
          </w:tcPr>
          <w:p>
            <w:pPr>
              <w:spacing w:after="0"/>
              <w:rPr>
                <w:sz w:val="8"/>
                <w:szCs w:val="8"/>
                <w:color w:val="auto"/>
              </w:rPr>
            </w:pPr>
          </w:p>
        </w:tc>
        <w:tc>
          <w:tcPr>
            <w:tcW w:w="160" w:type="dxa"/>
            <w:vAlign w:val="bottom"/>
            <w:gridSpan w:val="3"/>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10.5#</w:t>
            </w:r>
          </w:p>
        </w:tc>
        <w:tc>
          <w:tcPr>
            <w:tcW w:w="3300" w:type="dxa"/>
            <w:vAlign w:val="bottom"/>
            <w:tcBorders>
              <w:bottom w:val="single" w:sz="8" w:color="auto"/>
            </w:tcBorders>
            <w:gridSpan w:val="13"/>
          </w:tcPr>
          <w:p>
            <w:pPr>
              <w:spacing w:after="0"/>
              <w:rPr>
                <w:rFonts w:ascii="Times New Roman" w:cs="Times New Roman" w:eastAsia="Times New Roman" w:hAnsi="Times New Roman"/>
                <w:sz w:val="11"/>
                <w:szCs w:val="11"/>
                <w:color w:val="auto"/>
              </w:rPr>
            </w:pPr>
            <w:hyperlink r:id="rId129">
              <w:r>
                <w:rPr>
                  <w:rFonts w:ascii="Times New Roman" w:cs="Times New Roman" w:eastAsia="Times New Roman" w:hAnsi="Times New Roman"/>
                  <w:sz w:val="11"/>
                  <w:szCs w:val="11"/>
                  <w:color w:val="auto"/>
                </w:rPr>
                <w:t>Zoom Video Communications, Inc. 2019 Employee Stock Purchase Plan</w:t>
              </w:r>
            </w:hyperlink>
          </w:p>
        </w:tc>
        <w:tc>
          <w:tcPr>
            <w:tcW w:w="840" w:type="dxa"/>
            <w:vAlign w:val="bottom"/>
            <w:gridSpan w:val="10"/>
          </w:tcPr>
          <w:p>
            <w:pPr>
              <w:spacing w:after="0"/>
              <w:rPr>
                <w:sz w:val="11"/>
                <w:szCs w:val="11"/>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S-1/A</w:t>
            </w:r>
          </w:p>
        </w:tc>
        <w:tc>
          <w:tcPr>
            <w:tcW w:w="1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333-230444</w:t>
            </w:r>
          </w:p>
        </w:tc>
        <w:tc>
          <w:tcPr>
            <w:tcW w:w="1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10.3</w:t>
            </w:r>
          </w:p>
        </w:tc>
        <w:tc>
          <w:tcPr>
            <w:tcW w:w="1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April 8, 2019</w:t>
            </w: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10.6#</w:t>
            </w:r>
          </w:p>
        </w:tc>
        <w:tc>
          <w:tcPr>
            <w:tcW w:w="4140" w:type="dxa"/>
            <w:vAlign w:val="bottom"/>
            <w:gridSpan w:val="23"/>
          </w:tcPr>
          <w:p>
            <w:pPr>
              <w:spacing w:after="0"/>
              <w:rPr>
                <w:rFonts w:ascii="Times New Roman" w:cs="Times New Roman" w:eastAsia="Times New Roman" w:hAnsi="Times New Roman"/>
                <w:sz w:val="11"/>
                <w:szCs w:val="11"/>
                <w:color w:val="0000FF"/>
              </w:rPr>
            </w:pPr>
            <w:hyperlink r:id="rId130">
              <w:r>
                <w:rPr>
                  <w:rFonts w:ascii="Times New Roman" w:cs="Times New Roman" w:eastAsia="Times New Roman" w:hAnsi="Times New Roman"/>
                  <w:sz w:val="11"/>
                  <w:szCs w:val="11"/>
                  <w:color w:val="0000FF"/>
                </w:rPr>
                <w:t>Form of Indemnification Agreement entered into by and between the Registrant and</w:t>
              </w:r>
            </w:hyperlink>
          </w:p>
        </w:tc>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S-1</w:t>
            </w:r>
          </w:p>
        </w:tc>
        <w:tc>
          <w:tcPr>
            <w:tcW w:w="1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333-230444</w:t>
            </w:r>
          </w:p>
        </w:tc>
        <w:tc>
          <w:tcPr>
            <w:tcW w:w="1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10.4</w:t>
            </w:r>
          </w:p>
        </w:tc>
        <w:tc>
          <w:tcPr>
            <w:tcW w:w="1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March 22, 2019</w:t>
            </w:r>
          </w:p>
        </w:tc>
      </w:tr>
      <w:tr>
        <w:trPr>
          <w:trHeight w:val="97"/>
        </w:trPr>
        <w:tc>
          <w:tcPr>
            <w:tcW w:w="1140" w:type="dxa"/>
            <w:vAlign w:val="bottom"/>
          </w:tcPr>
          <w:p>
            <w:pPr>
              <w:spacing w:after="0"/>
              <w:rPr>
                <w:sz w:val="8"/>
                <w:szCs w:val="8"/>
                <w:color w:val="auto"/>
              </w:rPr>
            </w:pPr>
          </w:p>
        </w:tc>
        <w:tc>
          <w:tcPr>
            <w:tcW w:w="1580" w:type="dxa"/>
            <w:vAlign w:val="bottom"/>
            <w:tcBorders>
              <w:top w:val="single" w:sz="8" w:color="0000FF"/>
              <w:bottom w:val="single" w:sz="8" w:color="0000FF"/>
            </w:tcBorders>
            <w:gridSpan w:val="7"/>
          </w:tcPr>
          <w:p>
            <w:pPr>
              <w:spacing w:after="0" w:line="97" w:lineRule="exact"/>
              <w:rPr>
                <w:rFonts w:ascii="Times New Roman" w:cs="Times New Roman" w:eastAsia="Times New Roman" w:hAnsi="Times New Roman"/>
                <w:sz w:val="11"/>
                <w:szCs w:val="11"/>
                <w:color w:val="0000FF"/>
              </w:rPr>
            </w:pPr>
            <w:hyperlink r:id="rId130">
              <w:r>
                <w:rPr>
                  <w:rFonts w:ascii="Times New Roman" w:cs="Times New Roman" w:eastAsia="Times New Roman" w:hAnsi="Times New Roman"/>
                  <w:sz w:val="11"/>
                  <w:szCs w:val="11"/>
                  <w:color w:val="0000FF"/>
                </w:rPr>
                <w:t>each director and executive officer</w:t>
              </w:r>
            </w:hyperlink>
          </w:p>
        </w:tc>
        <w:tc>
          <w:tcPr>
            <w:tcW w:w="2220" w:type="dxa"/>
            <w:vAlign w:val="bottom"/>
            <w:tcBorders>
              <w:top w:val="single" w:sz="8" w:color="0000FF"/>
            </w:tcBorders>
            <w:gridSpan w:val="8"/>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gridSpan w:val="7"/>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10.7#</w:t>
            </w:r>
          </w:p>
        </w:tc>
        <w:tc>
          <w:tcPr>
            <w:tcW w:w="4140" w:type="dxa"/>
            <w:vAlign w:val="bottom"/>
            <w:gridSpan w:val="23"/>
          </w:tcPr>
          <w:p>
            <w:pPr>
              <w:spacing w:after="0"/>
              <w:rPr>
                <w:sz w:val="20"/>
                <w:szCs w:val="20"/>
                <w:color w:val="auto"/>
              </w:rPr>
            </w:pPr>
            <w:r>
              <w:rPr>
                <w:rFonts w:ascii="Times New Roman" w:cs="Times New Roman" w:eastAsia="Times New Roman" w:hAnsi="Times New Roman"/>
                <w:sz w:val="11"/>
                <w:szCs w:val="11"/>
                <w:color w:val="0000FF"/>
              </w:rPr>
              <w:t>Zoom Video Communications, Inc. Non-Employee Director Compensation Policy, as</w:t>
            </w:r>
          </w:p>
        </w:tc>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97"/>
        </w:trPr>
        <w:tc>
          <w:tcPr>
            <w:tcW w:w="1140" w:type="dxa"/>
            <w:vAlign w:val="bottom"/>
          </w:tcPr>
          <w:p>
            <w:pPr>
              <w:spacing w:after="0"/>
              <w:rPr>
                <w:sz w:val="8"/>
                <w:szCs w:val="8"/>
                <w:color w:val="auto"/>
              </w:rPr>
            </w:pPr>
          </w:p>
        </w:tc>
        <w:tc>
          <w:tcPr>
            <w:tcW w:w="420" w:type="dxa"/>
            <w:vAlign w:val="bottom"/>
            <w:tcBorders>
              <w:top w:val="single" w:sz="8" w:color="0000FF"/>
              <w:bottom w:val="single" w:sz="8" w:color="0000FF"/>
            </w:tcBorders>
            <w:gridSpan w:val="2"/>
          </w:tcPr>
          <w:p>
            <w:pPr>
              <w:spacing w:after="0" w:line="97" w:lineRule="exact"/>
              <w:rPr>
                <w:sz w:val="20"/>
                <w:szCs w:val="20"/>
                <w:color w:val="auto"/>
              </w:rPr>
            </w:pPr>
            <w:r>
              <w:rPr>
                <w:rFonts w:ascii="Times New Roman" w:cs="Times New Roman" w:eastAsia="Times New Roman" w:hAnsi="Times New Roman"/>
                <w:sz w:val="11"/>
                <w:szCs w:val="11"/>
                <w:color w:val="0000FF"/>
              </w:rPr>
              <w:t>amended</w:t>
            </w:r>
          </w:p>
        </w:tc>
        <w:tc>
          <w:tcPr>
            <w:tcW w:w="3440" w:type="dxa"/>
            <w:vAlign w:val="bottom"/>
            <w:tcBorders>
              <w:top w:val="single" w:sz="8" w:color="0000FF"/>
            </w:tcBorders>
            <w:gridSpan w:val="14"/>
          </w:tcPr>
          <w:p>
            <w:pPr>
              <w:spacing w:after="0"/>
              <w:rPr>
                <w:sz w:val="8"/>
                <w:szCs w:val="8"/>
                <w:color w:val="auto"/>
              </w:rPr>
            </w:pPr>
          </w:p>
        </w:tc>
        <w:tc>
          <w:tcPr>
            <w:tcW w:w="280" w:type="dxa"/>
            <w:vAlign w:val="bottom"/>
            <w:gridSpan w:val="7"/>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10.8#</w:t>
            </w:r>
          </w:p>
        </w:tc>
        <w:tc>
          <w:tcPr>
            <w:tcW w:w="4140" w:type="dxa"/>
            <w:vAlign w:val="bottom"/>
            <w:gridSpan w:val="23"/>
          </w:tcPr>
          <w:p>
            <w:pPr>
              <w:spacing w:after="0"/>
              <w:rPr>
                <w:rFonts w:ascii="Times New Roman" w:cs="Times New Roman" w:eastAsia="Times New Roman" w:hAnsi="Times New Roman"/>
                <w:sz w:val="11"/>
                <w:szCs w:val="11"/>
                <w:color w:val="0000FF"/>
              </w:rPr>
            </w:pPr>
            <w:hyperlink r:id="rId131">
              <w:r>
                <w:rPr>
                  <w:rFonts w:ascii="Times New Roman" w:cs="Times New Roman" w:eastAsia="Times New Roman" w:hAnsi="Times New Roman"/>
                  <w:sz w:val="11"/>
                  <w:szCs w:val="11"/>
                  <w:color w:val="0000FF"/>
                </w:rPr>
                <w:t>Zoom Video Communications, Inc. 2019 Equity Incentive Plan Global RSU Award</w:t>
              </w:r>
            </w:hyperlink>
          </w:p>
        </w:tc>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10-Q</w:t>
            </w:r>
          </w:p>
        </w:tc>
        <w:tc>
          <w:tcPr>
            <w:tcW w:w="1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001-38865</w:t>
            </w:r>
          </w:p>
        </w:tc>
        <w:tc>
          <w:tcPr>
            <w:tcW w:w="1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10.2</w:t>
            </w:r>
          </w:p>
        </w:tc>
        <w:tc>
          <w:tcPr>
            <w:tcW w:w="1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September 13, 2019</w:t>
            </w:r>
          </w:p>
        </w:tc>
      </w:tr>
      <w:tr>
        <w:trPr>
          <w:trHeight w:val="97"/>
        </w:trPr>
        <w:tc>
          <w:tcPr>
            <w:tcW w:w="1140" w:type="dxa"/>
            <w:vAlign w:val="bottom"/>
          </w:tcPr>
          <w:p>
            <w:pPr>
              <w:spacing w:after="0"/>
              <w:rPr>
                <w:sz w:val="8"/>
                <w:szCs w:val="8"/>
                <w:color w:val="auto"/>
              </w:rPr>
            </w:pPr>
          </w:p>
        </w:tc>
        <w:tc>
          <w:tcPr>
            <w:tcW w:w="600" w:type="dxa"/>
            <w:vAlign w:val="bottom"/>
            <w:tcBorders>
              <w:top w:val="single" w:sz="8" w:color="0000FF"/>
              <w:bottom w:val="single" w:sz="8" w:color="0000FF"/>
            </w:tcBorders>
            <w:gridSpan w:val="3"/>
          </w:tcPr>
          <w:p>
            <w:pPr>
              <w:spacing w:after="0" w:line="97" w:lineRule="exact"/>
              <w:rPr>
                <w:rFonts w:ascii="Times New Roman" w:cs="Times New Roman" w:eastAsia="Times New Roman" w:hAnsi="Times New Roman"/>
                <w:sz w:val="11"/>
                <w:szCs w:val="11"/>
                <w:color w:val="0000FF"/>
              </w:rPr>
            </w:pPr>
            <w:hyperlink r:id="rId131">
              <w:r>
                <w:rPr>
                  <w:rFonts w:ascii="Times New Roman" w:cs="Times New Roman" w:eastAsia="Times New Roman" w:hAnsi="Times New Roman"/>
                  <w:sz w:val="11"/>
                  <w:szCs w:val="11"/>
                  <w:color w:val="0000FF"/>
                </w:rPr>
                <w:t>Grant Notice</w:t>
              </w:r>
            </w:hyperlink>
          </w:p>
        </w:tc>
        <w:tc>
          <w:tcPr>
            <w:tcW w:w="3180" w:type="dxa"/>
            <w:vAlign w:val="bottom"/>
            <w:tcBorders>
              <w:top w:val="single" w:sz="8" w:color="0000FF"/>
            </w:tcBorders>
            <w:gridSpan w:val="11"/>
          </w:tcPr>
          <w:p>
            <w:pPr>
              <w:spacing w:after="0"/>
              <w:rPr>
                <w:sz w:val="8"/>
                <w:szCs w:val="8"/>
                <w:color w:val="auto"/>
              </w:rPr>
            </w:pPr>
          </w:p>
        </w:tc>
        <w:tc>
          <w:tcPr>
            <w:tcW w:w="360" w:type="dxa"/>
            <w:vAlign w:val="bottom"/>
            <w:gridSpan w:val="9"/>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10.9#</w:t>
            </w:r>
          </w:p>
        </w:tc>
        <w:tc>
          <w:tcPr>
            <w:tcW w:w="4140" w:type="dxa"/>
            <w:vAlign w:val="bottom"/>
            <w:gridSpan w:val="23"/>
          </w:tcPr>
          <w:p>
            <w:pPr>
              <w:spacing w:after="0"/>
              <w:rPr>
                <w:rFonts w:ascii="Times New Roman" w:cs="Times New Roman" w:eastAsia="Times New Roman" w:hAnsi="Times New Roman"/>
                <w:sz w:val="11"/>
                <w:szCs w:val="11"/>
                <w:color w:val="0000FF"/>
              </w:rPr>
            </w:pPr>
            <w:hyperlink r:id="rId132">
              <w:r>
                <w:rPr>
                  <w:rFonts w:ascii="Times New Roman" w:cs="Times New Roman" w:eastAsia="Times New Roman" w:hAnsi="Times New Roman"/>
                  <w:sz w:val="11"/>
                  <w:szCs w:val="11"/>
                  <w:color w:val="0000FF"/>
                </w:rPr>
                <w:t>Zoom Video Communications, Inc. 2019 Equity Incentive Plan Non-Employee Director</w:t>
              </w:r>
            </w:hyperlink>
          </w:p>
        </w:tc>
        <w:tc>
          <w:tcPr>
            <w:tcW w:w="1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10-Q</w:t>
            </w:r>
          </w:p>
        </w:tc>
        <w:tc>
          <w:tcPr>
            <w:tcW w:w="15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001-38865</w:t>
            </w:r>
          </w:p>
        </w:tc>
        <w:tc>
          <w:tcPr>
            <w:tcW w:w="1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10.3</w:t>
            </w:r>
          </w:p>
        </w:tc>
        <w:tc>
          <w:tcPr>
            <w:tcW w:w="174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September 13, 2019</w:t>
            </w:r>
          </w:p>
        </w:tc>
      </w:tr>
      <w:tr>
        <w:trPr>
          <w:trHeight w:val="97"/>
        </w:trPr>
        <w:tc>
          <w:tcPr>
            <w:tcW w:w="1140" w:type="dxa"/>
            <w:vAlign w:val="bottom"/>
          </w:tcPr>
          <w:p>
            <w:pPr>
              <w:spacing w:after="0"/>
              <w:rPr>
                <w:sz w:val="8"/>
                <w:szCs w:val="8"/>
                <w:color w:val="auto"/>
              </w:rPr>
            </w:pPr>
          </w:p>
        </w:tc>
        <w:tc>
          <w:tcPr>
            <w:tcW w:w="4000" w:type="dxa"/>
            <w:vAlign w:val="bottom"/>
            <w:tcBorders>
              <w:top w:val="single" w:sz="8" w:color="0000FF"/>
            </w:tcBorders>
            <w:gridSpan w:val="21"/>
          </w:tcPr>
          <w:p>
            <w:pPr>
              <w:spacing w:after="0" w:line="97" w:lineRule="exact"/>
              <w:rPr>
                <w:rFonts w:ascii="Times New Roman" w:cs="Times New Roman" w:eastAsia="Times New Roman" w:hAnsi="Times New Roman"/>
                <w:sz w:val="11"/>
                <w:szCs w:val="11"/>
                <w:color w:val="0000FF"/>
              </w:rPr>
            </w:pPr>
            <w:hyperlink r:id="rId132">
              <w:r>
                <w:rPr>
                  <w:rFonts w:ascii="Times New Roman" w:cs="Times New Roman" w:eastAsia="Times New Roman" w:hAnsi="Times New Roman"/>
                  <w:sz w:val="11"/>
                  <w:szCs w:val="11"/>
                  <w:color w:val="0000FF"/>
                </w:rPr>
                <w:t>Global RSU Award Grant Notice</w:t>
              </w:r>
            </w:hyperlink>
          </w:p>
        </w:tc>
        <w:tc>
          <w:tcPr>
            <w:tcW w:w="14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tcPr>
          <w:p>
            <w:pPr>
              <w:spacing w:after="0"/>
              <w:rPr>
                <w:sz w:val="8"/>
                <w:szCs w:val="8"/>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400" w:type="dxa"/>
        <w:tblCellMar>
          <w:top w:w="0" w:type="dxa"/>
          <w:left w:w="0" w:type="dxa"/>
          <w:bottom w:w="0" w:type="dxa"/>
          <w:right w:w="0" w:type="dxa"/>
        </w:tblCellMar>
      </w:tblPr>
      <w:tr>
        <w:trPr>
          <w:trHeight w:val="126"/>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10.10#</w:t>
            </w:r>
          </w:p>
        </w:tc>
        <w:tc>
          <w:tcPr>
            <w:tcW w:w="4080" w:type="dxa"/>
            <w:vAlign w:val="bottom"/>
            <w:gridSpan w:val="31"/>
          </w:tcPr>
          <w:p>
            <w:pPr>
              <w:spacing w:after="0"/>
              <w:rPr>
                <w:rFonts w:ascii="Times New Roman" w:cs="Times New Roman" w:eastAsia="Times New Roman" w:hAnsi="Times New Roman"/>
                <w:sz w:val="11"/>
                <w:szCs w:val="11"/>
                <w:color w:val="0000FF"/>
              </w:rPr>
            </w:pPr>
            <w:hyperlink r:id="rId134">
              <w:r>
                <w:rPr>
                  <w:rFonts w:ascii="Times New Roman" w:cs="Times New Roman" w:eastAsia="Times New Roman" w:hAnsi="Times New Roman"/>
                  <w:sz w:val="11"/>
                  <w:szCs w:val="11"/>
                  <w:color w:val="0000FF"/>
                </w:rPr>
                <w:t>Confirmatory Offer Letter by and between the Registrant and Eric S. Yuan, dated</w:t>
              </w:r>
            </w:hyperlink>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S-1</w:t>
            </w:r>
          </w:p>
        </w:tc>
      </w:tr>
      <w:tr>
        <w:trPr>
          <w:trHeight w:val="97"/>
        </w:trPr>
        <w:tc>
          <w:tcPr>
            <w:tcW w:w="1140" w:type="dxa"/>
            <w:vAlign w:val="bottom"/>
          </w:tcPr>
          <w:p>
            <w:pPr>
              <w:spacing w:after="0"/>
              <w:rPr>
                <w:sz w:val="8"/>
                <w:szCs w:val="8"/>
                <w:color w:val="auto"/>
              </w:rPr>
            </w:pPr>
          </w:p>
        </w:tc>
        <w:tc>
          <w:tcPr>
            <w:tcW w:w="900" w:type="dxa"/>
            <w:vAlign w:val="bottom"/>
            <w:tcBorders>
              <w:top w:val="single" w:sz="8" w:color="0000FF"/>
              <w:bottom w:val="single" w:sz="8" w:color="0000FF"/>
            </w:tcBorders>
            <w:gridSpan w:val="5"/>
          </w:tcPr>
          <w:p>
            <w:pPr>
              <w:spacing w:after="0" w:line="97" w:lineRule="exact"/>
              <w:rPr>
                <w:rFonts w:ascii="Times New Roman" w:cs="Times New Roman" w:eastAsia="Times New Roman" w:hAnsi="Times New Roman"/>
                <w:sz w:val="11"/>
                <w:szCs w:val="11"/>
                <w:color w:val="0000FF"/>
              </w:rPr>
            </w:pPr>
            <w:hyperlink r:id="rId134">
              <w:r>
                <w:rPr>
                  <w:rFonts w:ascii="Times New Roman" w:cs="Times New Roman" w:eastAsia="Times New Roman" w:hAnsi="Times New Roman"/>
                  <w:sz w:val="11"/>
                  <w:szCs w:val="11"/>
                  <w:color w:val="0000FF"/>
                </w:rPr>
                <w:t>December 18, 2018</w:t>
              </w:r>
            </w:hyperlink>
          </w:p>
        </w:tc>
        <w:tc>
          <w:tcPr>
            <w:tcW w:w="2780" w:type="dxa"/>
            <w:vAlign w:val="bottom"/>
            <w:tcBorders>
              <w:top w:val="single" w:sz="8" w:color="0000FF"/>
            </w:tcBorders>
            <w:gridSpan w:val="11"/>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10.11#</w:t>
            </w:r>
          </w:p>
        </w:tc>
        <w:tc>
          <w:tcPr>
            <w:tcW w:w="4080" w:type="dxa"/>
            <w:vAlign w:val="bottom"/>
            <w:gridSpan w:val="31"/>
          </w:tcPr>
          <w:p>
            <w:pPr>
              <w:spacing w:after="0"/>
              <w:rPr>
                <w:rFonts w:ascii="Times New Roman" w:cs="Times New Roman" w:eastAsia="Times New Roman" w:hAnsi="Times New Roman"/>
                <w:sz w:val="11"/>
                <w:szCs w:val="11"/>
                <w:color w:val="0000FF"/>
              </w:rPr>
            </w:pPr>
            <w:hyperlink r:id="rId135">
              <w:r>
                <w:rPr>
                  <w:rFonts w:ascii="Times New Roman" w:cs="Times New Roman" w:eastAsia="Times New Roman" w:hAnsi="Times New Roman"/>
                  <w:sz w:val="11"/>
                  <w:szCs w:val="11"/>
                  <w:color w:val="0000FF"/>
                </w:rPr>
                <w:t>Confirmatory Offer Letter by and between the Registrant and Aparna Bawa, dated</w:t>
              </w:r>
            </w:hyperlink>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S-1</w:t>
            </w:r>
          </w:p>
        </w:tc>
      </w:tr>
      <w:tr>
        <w:trPr>
          <w:trHeight w:val="97"/>
        </w:trPr>
        <w:tc>
          <w:tcPr>
            <w:tcW w:w="1140" w:type="dxa"/>
            <w:vAlign w:val="bottom"/>
          </w:tcPr>
          <w:p>
            <w:pPr>
              <w:spacing w:after="0"/>
              <w:rPr>
                <w:sz w:val="8"/>
                <w:szCs w:val="8"/>
                <w:color w:val="auto"/>
              </w:rPr>
            </w:pPr>
          </w:p>
        </w:tc>
        <w:tc>
          <w:tcPr>
            <w:tcW w:w="900" w:type="dxa"/>
            <w:vAlign w:val="bottom"/>
            <w:tcBorders>
              <w:top w:val="single" w:sz="8" w:color="0000FF"/>
              <w:bottom w:val="single" w:sz="8" w:color="0000FF"/>
            </w:tcBorders>
            <w:gridSpan w:val="5"/>
          </w:tcPr>
          <w:p>
            <w:pPr>
              <w:spacing w:after="0" w:line="97" w:lineRule="exact"/>
              <w:rPr>
                <w:rFonts w:ascii="Times New Roman" w:cs="Times New Roman" w:eastAsia="Times New Roman" w:hAnsi="Times New Roman"/>
                <w:sz w:val="11"/>
                <w:szCs w:val="11"/>
                <w:color w:val="0000FF"/>
              </w:rPr>
            </w:pPr>
            <w:hyperlink r:id="rId135">
              <w:r>
                <w:rPr>
                  <w:rFonts w:ascii="Times New Roman" w:cs="Times New Roman" w:eastAsia="Times New Roman" w:hAnsi="Times New Roman"/>
                  <w:sz w:val="11"/>
                  <w:szCs w:val="11"/>
                  <w:color w:val="0000FF"/>
                </w:rPr>
                <w:t>December 18, 2018</w:t>
              </w:r>
            </w:hyperlink>
          </w:p>
        </w:tc>
        <w:tc>
          <w:tcPr>
            <w:tcW w:w="2840" w:type="dxa"/>
            <w:vAlign w:val="bottom"/>
            <w:tcBorders>
              <w:top w:val="single" w:sz="8" w:color="0000FF"/>
            </w:tcBorders>
            <w:gridSpan w:val="14"/>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10.12#</w:t>
            </w:r>
          </w:p>
        </w:tc>
        <w:tc>
          <w:tcPr>
            <w:tcW w:w="4080" w:type="dxa"/>
            <w:vAlign w:val="bottom"/>
            <w:gridSpan w:val="31"/>
          </w:tcPr>
          <w:p>
            <w:pPr>
              <w:spacing w:after="0"/>
              <w:rPr>
                <w:rFonts w:ascii="Times New Roman" w:cs="Times New Roman" w:eastAsia="Times New Roman" w:hAnsi="Times New Roman"/>
                <w:sz w:val="11"/>
                <w:szCs w:val="11"/>
                <w:color w:val="0000FF"/>
              </w:rPr>
            </w:pPr>
            <w:hyperlink r:id="rId136">
              <w:r>
                <w:rPr>
                  <w:rFonts w:ascii="Times New Roman" w:cs="Times New Roman" w:eastAsia="Times New Roman" w:hAnsi="Times New Roman"/>
                  <w:sz w:val="11"/>
                  <w:szCs w:val="11"/>
                  <w:color w:val="0000FF"/>
                </w:rPr>
                <w:t>Confirmatory Offer Letter by and between the Registrant and Janine Pelosi, dated</w:t>
              </w:r>
            </w:hyperlink>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S-1</w:t>
            </w:r>
          </w:p>
        </w:tc>
      </w:tr>
      <w:tr>
        <w:trPr>
          <w:trHeight w:val="97"/>
        </w:trPr>
        <w:tc>
          <w:tcPr>
            <w:tcW w:w="1140" w:type="dxa"/>
            <w:vAlign w:val="bottom"/>
          </w:tcPr>
          <w:p>
            <w:pPr>
              <w:spacing w:after="0"/>
              <w:rPr>
                <w:sz w:val="8"/>
                <w:szCs w:val="8"/>
                <w:color w:val="auto"/>
              </w:rPr>
            </w:pPr>
          </w:p>
        </w:tc>
        <w:tc>
          <w:tcPr>
            <w:tcW w:w="900" w:type="dxa"/>
            <w:vAlign w:val="bottom"/>
            <w:tcBorders>
              <w:top w:val="single" w:sz="8" w:color="0000FF"/>
              <w:bottom w:val="single" w:sz="8" w:color="0000FF"/>
            </w:tcBorders>
            <w:gridSpan w:val="5"/>
          </w:tcPr>
          <w:p>
            <w:pPr>
              <w:spacing w:after="0" w:line="97" w:lineRule="exact"/>
              <w:rPr>
                <w:rFonts w:ascii="Times New Roman" w:cs="Times New Roman" w:eastAsia="Times New Roman" w:hAnsi="Times New Roman"/>
                <w:sz w:val="11"/>
                <w:szCs w:val="11"/>
                <w:color w:val="0000FF"/>
              </w:rPr>
            </w:pPr>
            <w:hyperlink r:id="rId136">
              <w:r>
                <w:rPr>
                  <w:rFonts w:ascii="Times New Roman" w:cs="Times New Roman" w:eastAsia="Times New Roman" w:hAnsi="Times New Roman"/>
                  <w:sz w:val="11"/>
                  <w:szCs w:val="11"/>
                  <w:color w:val="0000FF"/>
                </w:rPr>
                <w:t>December 18, 2018</w:t>
              </w:r>
            </w:hyperlink>
          </w:p>
        </w:tc>
        <w:tc>
          <w:tcPr>
            <w:tcW w:w="2820" w:type="dxa"/>
            <w:vAlign w:val="bottom"/>
            <w:tcBorders>
              <w:top w:val="single" w:sz="8" w:color="0000FF"/>
            </w:tcBorders>
            <w:gridSpan w:val="13"/>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10.13#</w:t>
            </w:r>
          </w:p>
        </w:tc>
        <w:tc>
          <w:tcPr>
            <w:tcW w:w="4080" w:type="dxa"/>
            <w:vAlign w:val="bottom"/>
            <w:gridSpan w:val="31"/>
          </w:tcPr>
          <w:p>
            <w:pPr>
              <w:spacing w:after="0"/>
              <w:rPr>
                <w:rFonts w:ascii="Times New Roman" w:cs="Times New Roman" w:eastAsia="Times New Roman" w:hAnsi="Times New Roman"/>
                <w:sz w:val="11"/>
                <w:szCs w:val="11"/>
                <w:color w:val="0000FF"/>
              </w:rPr>
            </w:pPr>
            <w:hyperlink r:id="rId137">
              <w:r>
                <w:rPr>
                  <w:rFonts w:ascii="Times New Roman" w:cs="Times New Roman" w:eastAsia="Times New Roman" w:hAnsi="Times New Roman"/>
                  <w:sz w:val="11"/>
                  <w:szCs w:val="11"/>
                  <w:color w:val="0000FF"/>
                </w:rPr>
                <w:t>Confirmatory Offer Letter by and between the Registrant and Kelly Steckelberg, dated</w:t>
              </w:r>
            </w:hyperlink>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S-1</w:t>
            </w:r>
          </w:p>
        </w:tc>
      </w:tr>
      <w:tr>
        <w:trPr>
          <w:trHeight w:val="97"/>
        </w:trPr>
        <w:tc>
          <w:tcPr>
            <w:tcW w:w="1140" w:type="dxa"/>
            <w:vAlign w:val="bottom"/>
          </w:tcPr>
          <w:p>
            <w:pPr>
              <w:spacing w:after="0"/>
              <w:rPr>
                <w:sz w:val="8"/>
                <w:szCs w:val="8"/>
                <w:color w:val="auto"/>
              </w:rPr>
            </w:pPr>
          </w:p>
        </w:tc>
        <w:tc>
          <w:tcPr>
            <w:tcW w:w="900" w:type="dxa"/>
            <w:vAlign w:val="bottom"/>
            <w:tcBorders>
              <w:top w:val="single" w:sz="8" w:color="0000FF"/>
              <w:bottom w:val="single" w:sz="8" w:color="0000FF"/>
            </w:tcBorders>
            <w:gridSpan w:val="5"/>
          </w:tcPr>
          <w:p>
            <w:pPr>
              <w:spacing w:after="0" w:line="97" w:lineRule="exact"/>
              <w:rPr>
                <w:rFonts w:ascii="Times New Roman" w:cs="Times New Roman" w:eastAsia="Times New Roman" w:hAnsi="Times New Roman"/>
                <w:sz w:val="11"/>
                <w:szCs w:val="11"/>
                <w:color w:val="0000FF"/>
              </w:rPr>
            </w:pPr>
            <w:hyperlink r:id="rId137">
              <w:r>
                <w:rPr>
                  <w:rFonts w:ascii="Times New Roman" w:cs="Times New Roman" w:eastAsia="Times New Roman" w:hAnsi="Times New Roman"/>
                  <w:sz w:val="11"/>
                  <w:szCs w:val="11"/>
                  <w:color w:val="0000FF"/>
                </w:rPr>
                <w:t>December 18, 2018</w:t>
              </w:r>
            </w:hyperlink>
          </w:p>
        </w:tc>
        <w:tc>
          <w:tcPr>
            <w:tcW w:w="3040" w:type="dxa"/>
            <w:vAlign w:val="bottom"/>
            <w:tcBorders>
              <w:top w:val="single" w:sz="8" w:color="0000FF"/>
            </w:tcBorders>
            <w:gridSpan w:val="19"/>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10.14#</w:t>
            </w:r>
          </w:p>
        </w:tc>
        <w:tc>
          <w:tcPr>
            <w:tcW w:w="3640" w:type="dxa"/>
            <w:vAlign w:val="bottom"/>
            <w:tcBorders>
              <w:bottom w:val="single" w:sz="8" w:color="0000FF"/>
            </w:tcBorders>
            <w:gridSpan w:val="15"/>
          </w:tcPr>
          <w:p>
            <w:pPr>
              <w:spacing w:after="0"/>
              <w:rPr>
                <w:rFonts w:ascii="Times New Roman" w:cs="Times New Roman" w:eastAsia="Times New Roman" w:hAnsi="Times New Roman"/>
                <w:sz w:val="11"/>
                <w:szCs w:val="11"/>
                <w:color w:val="0000FF"/>
              </w:rPr>
            </w:pPr>
            <w:hyperlink r:id="rId138">
              <w:r>
                <w:rPr>
                  <w:rFonts w:ascii="Times New Roman" w:cs="Times New Roman" w:eastAsia="Times New Roman" w:hAnsi="Times New Roman"/>
                  <w:sz w:val="11"/>
                  <w:szCs w:val="11"/>
                  <w:color w:val="0000FF"/>
                </w:rPr>
                <w:t>Offer Letter by and between the Registrant and Ryan Azus dated June 29, 2019</w:t>
              </w:r>
            </w:hyperlink>
          </w:p>
        </w:tc>
        <w:tc>
          <w:tcPr>
            <w:tcW w:w="440" w:type="dxa"/>
            <w:vAlign w:val="bottom"/>
            <w:gridSpan w:val="16"/>
          </w:tcPr>
          <w:p>
            <w:pPr>
              <w:spacing w:after="0"/>
              <w:rPr>
                <w:sz w:val="11"/>
                <w:szCs w:val="1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10.15#</w:t>
            </w:r>
          </w:p>
        </w:tc>
        <w:tc>
          <w:tcPr>
            <w:tcW w:w="4080" w:type="dxa"/>
            <w:vAlign w:val="bottom"/>
            <w:gridSpan w:val="31"/>
          </w:tcPr>
          <w:p>
            <w:pPr>
              <w:spacing w:after="0"/>
              <w:rPr>
                <w:rFonts w:ascii="Times New Roman" w:cs="Times New Roman" w:eastAsia="Times New Roman" w:hAnsi="Times New Roman"/>
                <w:sz w:val="11"/>
                <w:szCs w:val="11"/>
                <w:color w:val="0000FF"/>
              </w:rPr>
            </w:pPr>
            <w:hyperlink r:id="rId139">
              <w:r>
                <w:rPr>
                  <w:rFonts w:ascii="Times New Roman" w:cs="Times New Roman" w:eastAsia="Times New Roman" w:hAnsi="Times New Roman"/>
                  <w:sz w:val="11"/>
                  <w:szCs w:val="11"/>
                  <w:color w:val="0000FF"/>
                </w:rPr>
                <w:t>Offer Letter by and between the Registrant and Velchamy Sankarlingam dated May 19,</w:t>
              </w:r>
            </w:hyperlink>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r>
      <w:tr>
        <w:trPr>
          <w:trHeight w:val="97"/>
        </w:trPr>
        <w:tc>
          <w:tcPr>
            <w:tcW w:w="1140" w:type="dxa"/>
            <w:vAlign w:val="bottom"/>
          </w:tcPr>
          <w:p>
            <w:pPr>
              <w:spacing w:after="0"/>
              <w:rPr>
                <w:sz w:val="8"/>
                <w:szCs w:val="8"/>
                <w:color w:val="auto"/>
              </w:rPr>
            </w:pPr>
          </w:p>
        </w:tc>
        <w:tc>
          <w:tcPr>
            <w:tcW w:w="24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w w:val="99"/>
              </w:rPr>
            </w:pPr>
            <w:hyperlink r:id="rId139">
              <w:r>
                <w:rPr>
                  <w:rFonts w:ascii="Times New Roman" w:cs="Times New Roman" w:eastAsia="Times New Roman" w:hAnsi="Times New Roman"/>
                  <w:sz w:val="11"/>
                  <w:szCs w:val="11"/>
                  <w:color w:val="0000FF"/>
                  <w:w w:val="99"/>
                </w:rPr>
                <w:t>2020</w:t>
              </w:r>
            </w:hyperlink>
          </w:p>
        </w:tc>
        <w:tc>
          <w:tcPr>
            <w:tcW w:w="6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10.16#</w:t>
            </w:r>
          </w:p>
        </w:tc>
        <w:tc>
          <w:tcPr>
            <w:tcW w:w="4080" w:type="dxa"/>
            <w:vAlign w:val="bottom"/>
            <w:gridSpan w:val="31"/>
          </w:tcPr>
          <w:p>
            <w:pPr>
              <w:spacing w:after="0"/>
              <w:rPr>
                <w:rFonts w:ascii="Times New Roman" w:cs="Times New Roman" w:eastAsia="Times New Roman" w:hAnsi="Times New Roman"/>
                <w:sz w:val="11"/>
                <w:szCs w:val="11"/>
                <w:color w:val="0000FF"/>
              </w:rPr>
            </w:pPr>
            <w:hyperlink r:id="rId140">
              <w:r>
                <w:rPr>
                  <w:rFonts w:ascii="Times New Roman" w:cs="Times New Roman" w:eastAsia="Times New Roman" w:hAnsi="Times New Roman"/>
                  <w:sz w:val="11"/>
                  <w:szCs w:val="11"/>
                  <w:color w:val="0000FF"/>
                </w:rPr>
                <w:t>Offer Letter by and between the Registrant and Greg Tomb, dated May 31, 2020</w:t>
              </w:r>
            </w:hyperlink>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r>
      <w:tr>
        <w:trPr>
          <w:trHeight w:val="20"/>
        </w:trPr>
        <w:tc>
          <w:tcPr>
            <w:tcW w:w="114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10.17#</w:t>
            </w:r>
          </w:p>
        </w:tc>
        <w:tc>
          <w:tcPr>
            <w:tcW w:w="4080" w:type="dxa"/>
            <w:vAlign w:val="bottom"/>
            <w:gridSpan w:val="31"/>
          </w:tcPr>
          <w:p>
            <w:pPr>
              <w:spacing w:after="0"/>
              <w:rPr>
                <w:rFonts w:ascii="Times New Roman" w:cs="Times New Roman" w:eastAsia="Times New Roman" w:hAnsi="Times New Roman"/>
                <w:sz w:val="11"/>
                <w:szCs w:val="11"/>
                <w:color w:val="0000FF"/>
              </w:rPr>
            </w:pPr>
            <w:hyperlink r:id="rId141">
              <w:r>
                <w:rPr>
                  <w:rFonts w:ascii="Times New Roman" w:cs="Times New Roman" w:eastAsia="Times New Roman" w:hAnsi="Times New Roman"/>
                  <w:sz w:val="11"/>
                  <w:szCs w:val="11"/>
                  <w:color w:val="0000FF"/>
                </w:rPr>
                <w:t>Director Offer Letter by and between the Registrant and Lieut. General H.R. McMaster</w:t>
              </w:r>
            </w:hyperlink>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r>
      <w:tr>
        <w:trPr>
          <w:trHeight w:val="97"/>
        </w:trPr>
        <w:tc>
          <w:tcPr>
            <w:tcW w:w="1140" w:type="dxa"/>
            <w:vAlign w:val="bottom"/>
          </w:tcPr>
          <w:p>
            <w:pPr>
              <w:spacing w:after="0"/>
              <w:rPr>
                <w:sz w:val="8"/>
                <w:szCs w:val="8"/>
                <w:color w:val="auto"/>
              </w:rPr>
            </w:pPr>
          </w:p>
        </w:tc>
        <w:tc>
          <w:tcPr>
            <w:tcW w:w="88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41">
              <w:r>
                <w:rPr>
                  <w:rFonts w:ascii="Times New Roman" w:cs="Times New Roman" w:eastAsia="Times New Roman" w:hAnsi="Times New Roman"/>
                  <w:sz w:val="11"/>
                  <w:szCs w:val="11"/>
                  <w:color w:val="0000FF"/>
                </w:rPr>
                <w:t>dated May 6, 2020</w:t>
              </w:r>
            </w:hyperlink>
          </w:p>
        </w:tc>
        <w:tc>
          <w:tcPr>
            <w:tcW w:w="3120" w:type="dxa"/>
            <w:vAlign w:val="bottom"/>
            <w:tcBorders>
              <w:top w:val="single" w:sz="8" w:color="0000FF"/>
            </w:tcBorders>
            <w:gridSpan w:val="2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10.18#</w:t>
            </w:r>
          </w:p>
        </w:tc>
        <w:tc>
          <w:tcPr>
            <w:tcW w:w="4080" w:type="dxa"/>
            <w:vAlign w:val="bottom"/>
            <w:gridSpan w:val="31"/>
          </w:tcPr>
          <w:p>
            <w:pPr>
              <w:spacing w:after="0"/>
              <w:rPr>
                <w:rFonts w:ascii="Times New Roman" w:cs="Times New Roman" w:eastAsia="Times New Roman" w:hAnsi="Times New Roman"/>
                <w:sz w:val="11"/>
                <w:szCs w:val="11"/>
                <w:color w:val="0000FF"/>
              </w:rPr>
            </w:pPr>
            <w:hyperlink r:id="rId142">
              <w:r>
                <w:rPr>
                  <w:rFonts w:ascii="Times New Roman" w:cs="Times New Roman" w:eastAsia="Times New Roman" w:hAnsi="Times New Roman"/>
                  <w:sz w:val="11"/>
                  <w:szCs w:val="11"/>
                  <w:color w:val="0000FF"/>
                </w:rPr>
                <w:t>Director Offer Letter by and between the Registrant and Janet Napolitano dated</w:t>
              </w:r>
            </w:hyperlink>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10-K</w:t>
            </w:r>
          </w:p>
        </w:tc>
      </w:tr>
      <w:tr>
        <w:trPr>
          <w:trHeight w:val="97"/>
        </w:trPr>
        <w:tc>
          <w:tcPr>
            <w:tcW w:w="1140" w:type="dxa"/>
            <w:vAlign w:val="bottom"/>
          </w:tcPr>
          <w:p>
            <w:pPr>
              <w:spacing w:after="0"/>
              <w:rPr>
                <w:sz w:val="8"/>
                <w:szCs w:val="8"/>
                <w:color w:val="auto"/>
              </w:rPr>
            </w:pPr>
          </w:p>
        </w:tc>
        <w:tc>
          <w:tcPr>
            <w:tcW w:w="860" w:type="dxa"/>
            <w:vAlign w:val="bottom"/>
            <w:tcBorders>
              <w:top w:val="single" w:sz="8" w:color="0000FF"/>
              <w:bottom w:val="single" w:sz="8" w:color="0000FF"/>
            </w:tcBorders>
            <w:gridSpan w:val="3"/>
          </w:tcPr>
          <w:p>
            <w:pPr>
              <w:spacing w:after="0" w:line="97" w:lineRule="exact"/>
              <w:rPr>
                <w:rFonts w:ascii="Times New Roman" w:cs="Times New Roman" w:eastAsia="Times New Roman" w:hAnsi="Times New Roman"/>
                <w:sz w:val="11"/>
                <w:szCs w:val="11"/>
                <w:color w:val="0000FF"/>
              </w:rPr>
            </w:pPr>
            <w:hyperlink r:id="rId142">
              <w:r>
                <w:rPr>
                  <w:rFonts w:ascii="Times New Roman" w:cs="Times New Roman" w:eastAsia="Times New Roman" w:hAnsi="Times New Roman"/>
                  <w:sz w:val="11"/>
                  <w:szCs w:val="11"/>
                  <w:color w:val="0000FF"/>
                </w:rPr>
                <w:t>November 2, 2020</w:t>
              </w:r>
            </w:hyperlink>
          </w:p>
        </w:tc>
        <w:tc>
          <w:tcPr>
            <w:tcW w:w="2780" w:type="dxa"/>
            <w:vAlign w:val="bottom"/>
            <w:tcBorders>
              <w:top w:val="single" w:sz="8" w:color="0000FF"/>
            </w:tcBorders>
            <w:gridSpan w:val="12"/>
          </w:tcPr>
          <w:p>
            <w:pPr>
              <w:spacing w:after="0"/>
              <w:rPr>
                <w:sz w:val="8"/>
                <w:szCs w:val="8"/>
                <w:color w:val="auto"/>
              </w:rPr>
            </w:pPr>
          </w:p>
        </w:tc>
        <w:tc>
          <w:tcPr>
            <w:tcW w:w="60" w:type="dxa"/>
            <w:vAlign w:val="bottom"/>
            <w:gridSpan w:val="2"/>
          </w:tcPr>
          <w:p>
            <w:pPr>
              <w:spacing w:after="0"/>
              <w:rPr>
                <w:sz w:val="8"/>
                <w:szCs w:val="8"/>
                <w:color w:val="auto"/>
              </w:rPr>
            </w:pPr>
          </w:p>
        </w:tc>
        <w:tc>
          <w:tcPr>
            <w:tcW w:w="8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10.19#</w:t>
            </w:r>
          </w:p>
        </w:tc>
        <w:tc>
          <w:tcPr>
            <w:tcW w:w="4080" w:type="dxa"/>
            <w:vAlign w:val="bottom"/>
            <w:gridSpan w:val="31"/>
          </w:tcPr>
          <w:p>
            <w:pPr>
              <w:spacing w:after="0"/>
              <w:rPr>
                <w:rFonts w:ascii="Times New Roman" w:cs="Times New Roman" w:eastAsia="Times New Roman" w:hAnsi="Times New Roman"/>
                <w:sz w:val="11"/>
                <w:szCs w:val="11"/>
                <w:color w:val="0000FF"/>
              </w:rPr>
            </w:pPr>
            <w:hyperlink r:id="rId143">
              <w:r>
                <w:rPr>
                  <w:rFonts w:ascii="Times New Roman" w:cs="Times New Roman" w:eastAsia="Times New Roman" w:hAnsi="Times New Roman"/>
                  <w:sz w:val="11"/>
                  <w:szCs w:val="11"/>
                  <w:color w:val="0000FF"/>
                </w:rPr>
                <w:t>Director Offer Letter by and between the Registrant and William R. McDermott dated</w:t>
              </w:r>
            </w:hyperlink>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r>
      <w:tr>
        <w:trPr>
          <w:trHeight w:val="97"/>
        </w:trPr>
        <w:tc>
          <w:tcPr>
            <w:tcW w:w="1140" w:type="dxa"/>
            <w:vAlign w:val="bottom"/>
          </w:tcPr>
          <w:p>
            <w:pPr>
              <w:spacing w:after="0"/>
              <w:rPr>
                <w:sz w:val="8"/>
                <w:szCs w:val="8"/>
                <w:color w:val="auto"/>
              </w:rPr>
            </w:pPr>
          </w:p>
        </w:tc>
        <w:tc>
          <w:tcPr>
            <w:tcW w:w="840" w:type="dxa"/>
            <w:vAlign w:val="bottom"/>
            <w:tcBorders>
              <w:top w:val="single" w:sz="8" w:color="0000FF"/>
              <w:bottom w:val="single" w:sz="8" w:color="0000FF"/>
            </w:tcBorders>
            <w:gridSpan w:val="2"/>
          </w:tcPr>
          <w:p>
            <w:pPr>
              <w:spacing w:after="0" w:line="97" w:lineRule="exact"/>
              <w:rPr>
                <w:rFonts w:ascii="Times New Roman" w:cs="Times New Roman" w:eastAsia="Times New Roman" w:hAnsi="Times New Roman"/>
                <w:sz w:val="11"/>
                <w:szCs w:val="11"/>
                <w:color w:val="0000FF"/>
              </w:rPr>
            </w:pPr>
            <w:hyperlink r:id="rId143">
              <w:r>
                <w:rPr>
                  <w:rFonts w:ascii="Times New Roman" w:cs="Times New Roman" w:eastAsia="Times New Roman" w:hAnsi="Times New Roman"/>
                  <w:sz w:val="11"/>
                  <w:szCs w:val="11"/>
                  <w:color w:val="0000FF"/>
                </w:rPr>
                <w:t>February 23, 2022</w:t>
              </w:r>
            </w:hyperlink>
          </w:p>
        </w:tc>
        <w:tc>
          <w:tcPr>
            <w:tcW w:w="3060" w:type="dxa"/>
            <w:vAlign w:val="bottom"/>
            <w:tcBorders>
              <w:top w:val="single" w:sz="8" w:color="0000FF"/>
            </w:tcBorders>
            <w:gridSpan w:val="20"/>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10.20#</w:t>
            </w:r>
          </w:p>
        </w:tc>
        <w:tc>
          <w:tcPr>
            <w:tcW w:w="4080" w:type="dxa"/>
            <w:vAlign w:val="bottom"/>
            <w:gridSpan w:val="31"/>
          </w:tcPr>
          <w:p>
            <w:pPr>
              <w:spacing w:after="0"/>
              <w:rPr>
                <w:sz w:val="20"/>
                <w:szCs w:val="20"/>
                <w:color w:val="auto"/>
              </w:rPr>
            </w:pPr>
            <w:r>
              <w:rPr>
                <w:rFonts w:ascii="Times New Roman" w:cs="Times New Roman" w:eastAsia="Times New Roman" w:hAnsi="Times New Roman"/>
                <w:sz w:val="11"/>
                <w:szCs w:val="11"/>
                <w:color w:val="0000FF"/>
              </w:rPr>
              <w:t>Director Offer Letter by and between the Registrant and Cindy Hoots dated January 4,</w:t>
            </w:r>
          </w:p>
        </w:tc>
        <w:tc>
          <w:tcPr>
            <w:tcW w:w="340" w:type="dxa"/>
            <w:vAlign w:val="bottom"/>
          </w:tcPr>
          <w:p>
            <w:pPr>
              <w:spacing w:after="0"/>
              <w:rPr>
                <w:sz w:val="11"/>
                <w:szCs w:val="11"/>
                <w:color w:val="auto"/>
              </w:rPr>
            </w:pPr>
          </w:p>
        </w:tc>
      </w:tr>
      <w:tr>
        <w:trPr>
          <w:trHeight w:val="97"/>
        </w:trPr>
        <w:tc>
          <w:tcPr>
            <w:tcW w:w="1140" w:type="dxa"/>
            <w:vAlign w:val="bottom"/>
          </w:tcPr>
          <w:p>
            <w:pPr>
              <w:spacing w:after="0"/>
              <w:rPr>
                <w:sz w:val="8"/>
                <w:szCs w:val="8"/>
                <w:color w:val="auto"/>
              </w:rPr>
            </w:pPr>
          </w:p>
        </w:tc>
        <w:tc>
          <w:tcPr>
            <w:tcW w:w="240" w:type="dxa"/>
            <w:vAlign w:val="bottom"/>
            <w:tcBorders>
              <w:top w:val="single" w:sz="8" w:color="0000FF"/>
              <w:bottom w:val="single" w:sz="8" w:color="0000FF"/>
            </w:tcBorders>
          </w:tcPr>
          <w:p>
            <w:pPr>
              <w:spacing w:after="0" w:line="97" w:lineRule="exact"/>
              <w:rPr>
                <w:sz w:val="20"/>
                <w:szCs w:val="20"/>
                <w:color w:val="auto"/>
              </w:rPr>
            </w:pPr>
            <w:r>
              <w:rPr>
                <w:rFonts w:ascii="Times New Roman" w:cs="Times New Roman" w:eastAsia="Times New Roman" w:hAnsi="Times New Roman"/>
                <w:sz w:val="11"/>
                <w:szCs w:val="11"/>
                <w:color w:val="0000FF"/>
                <w:w w:val="99"/>
              </w:rPr>
              <w:t>2023</w:t>
            </w:r>
          </w:p>
        </w:tc>
        <w:tc>
          <w:tcPr>
            <w:tcW w:w="6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10.21</w:t>
            </w:r>
          </w:p>
        </w:tc>
        <w:tc>
          <w:tcPr>
            <w:tcW w:w="4080" w:type="dxa"/>
            <w:vAlign w:val="bottom"/>
            <w:gridSpan w:val="31"/>
          </w:tcPr>
          <w:p>
            <w:pPr>
              <w:spacing w:after="0"/>
              <w:rPr>
                <w:rFonts w:ascii="Times New Roman" w:cs="Times New Roman" w:eastAsia="Times New Roman" w:hAnsi="Times New Roman"/>
                <w:sz w:val="11"/>
                <w:szCs w:val="11"/>
                <w:color w:val="0000FF"/>
              </w:rPr>
            </w:pPr>
            <w:hyperlink r:id="rId144">
              <w:r>
                <w:rPr>
                  <w:rFonts w:ascii="Times New Roman" w:cs="Times New Roman" w:eastAsia="Times New Roman" w:hAnsi="Times New Roman"/>
                  <w:sz w:val="11"/>
                  <w:szCs w:val="11"/>
                  <w:color w:val="0000FF"/>
                </w:rPr>
                <w:t>Lease Agreement dated August 1, 2016, as amended, by and between the Registrant and</w:t>
              </w:r>
            </w:hyperlink>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S-1</w:t>
            </w:r>
          </w:p>
        </w:tc>
      </w:tr>
      <w:tr>
        <w:trPr>
          <w:trHeight w:val="97"/>
        </w:trPr>
        <w:tc>
          <w:tcPr>
            <w:tcW w:w="1140" w:type="dxa"/>
            <w:vAlign w:val="bottom"/>
          </w:tcPr>
          <w:p>
            <w:pPr>
              <w:spacing w:after="0"/>
              <w:rPr>
                <w:sz w:val="8"/>
                <w:szCs w:val="8"/>
                <w:color w:val="auto"/>
              </w:rPr>
            </w:pPr>
          </w:p>
        </w:tc>
        <w:tc>
          <w:tcPr>
            <w:tcW w:w="1780" w:type="dxa"/>
            <w:vAlign w:val="bottom"/>
            <w:tcBorders>
              <w:top w:val="single" w:sz="8" w:color="0000FF"/>
              <w:bottom w:val="single" w:sz="8" w:color="0000FF"/>
            </w:tcBorders>
            <w:gridSpan w:val="9"/>
          </w:tcPr>
          <w:p>
            <w:pPr>
              <w:spacing w:after="0" w:line="97" w:lineRule="exact"/>
              <w:rPr>
                <w:rFonts w:ascii="Times New Roman" w:cs="Times New Roman" w:eastAsia="Times New Roman" w:hAnsi="Times New Roman"/>
                <w:sz w:val="11"/>
                <w:szCs w:val="11"/>
                <w:color w:val="0000FF"/>
              </w:rPr>
            </w:pPr>
            <w:hyperlink r:id="rId144">
              <w:r>
                <w:rPr>
                  <w:rFonts w:ascii="Times New Roman" w:cs="Times New Roman" w:eastAsia="Times New Roman" w:hAnsi="Times New Roman"/>
                  <w:sz w:val="11"/>
                  <w:szCs w:val="11"/>
                  <w:color w:val="0000FF"/>
                </w:rPr>
                <w:t>KBSIII Almaden Financial Plaza, LLC</w:t>
              </w:r>
            </w:hyperlink>
          </w:p>
        </w:tc>
        <w:tc>
          <w:tcPr>
            <w:tcW w:w="2280" w:type="dxa"/>
            <w:vAlign w:val="bottom"/>
            <w:tcBorders>
              <w:top w:val="single" w:sz="8" w:color="0000FF"/>
            </w:tcBorders>
            <w:gridSpan w:val="21"/>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10.22</w:t>
            </w:r>
          </w:p>
        </w:tc>
        <w:tc>
          <w:tcPr>
            <w:tcW w:w="4080" w:type="dxa"/>
            <w:vAlign w:val="bottom"/>
            <w:gridSpan w:val="31"/>
          </w:tcPr>
          <w:p>
            <w:pPr>
              <w:spacing w:after="0"/>
              <w:rPr>
                <w:rFonts w:ascii="Times New Roman" w:cs="Times New Roman" w:eastAsia="Times New Roman" w:hAnsi="Times New Roman"/>
                <w:sz w:val="11"/>
                <w:szCs w:val="11"/>
                <w:color w:val="0000FF"/>
              </w:rPr>
            </w:pPr>
            <w:hyperlink r:id="rId145">
              <w:r>
                <w:rPr>
                  <w:rFonts w:ascii="Times New Roman" w:cs="Times New Roman" w:eastAsia="Times New Roman" w:hAnsi="Times New Roman"/>
                  <w:sz w:val="11"/>
                  <w:szCs w:val="11"/>
                  <w:color w:val="0000FF"/>
                </w:rPr>
                <w:t>Fourth Amendment to Lease Agreement by and between the Registrant and KBSIII</w:t>
              </w:r>
            </w:hyperlink>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r>
      <w:tr>
        <w:trPr>
          <w:trHeight w:val="97"/>
        </w:trPr>
        <w:tc>
          <w:tcPr>
            <w:tcW w:w="1140" w:type="dxa"/>
            <w:vAlign w:val="bottom"/>
          </w:tcPr>
          <w:p>
            <w:pPr>
              <w:spacing w:after="0"/>
              <w:rPr>
                <w:sz w:val="8"/>
                <w:szCs w:val="8"/>
                <w:color w:val="auto"/>
              </w:rPr>
            </w:pPr>
          </w:p>
        </w:tc>
        <w:tc>
          <w:tcPr>
            <w:tcW w:w="1420" w:type="dxa"/>
            <w:vAlign w:val="bottom"/>
            <w:tcBorders>
              <w:top w:val="single" w:sz="8" w:color="0000FF"/>
              <w:bottom w:val="single" w:sz="8" w:color="0000FF"/>
            </w:tcBorders>
            <w:gridSpan w:val="6"/>
          </w:tcPr>
          <w:p>
            <w:pPr>
              <w:spacing w:after="0" w:line="97" w:lineRule="exact"/>
              <w:rPr>
                <w:rFonts w:ascii="Times New Roman" w:cs="Times New Roman" w:eastAsia="Times New Roman" w:hAnsi="Times New Roman"/>
                <w:sz w:val="11"/>
                <w:szCs w:val="11"/>
                <w:color w:val="0000FF"/>
              </w:rPr>
            </w:pPr>
            <w:hyperlink r:id="rId145">
              <w:r>
                <w:rPr>
                  <w:rFonts w:ascii="Times New Roman" w:cs="Times New Roman" w:eastAsia="Times New Roman" w:hAnsi="Times New Roman"/>
                  <w:sz w:val="11"/>
                  <w:szCs w:val="11"/>
                  <w:color w:val="0000FF"/>
                </w:rPr>
                <w:t>Almaden Financial Plaza, LLC</w:t>
              </w:r>
            </w:hyperlink>
          </w:p>
        </w:tc>
        <w:tc>
          <w:tcPr>
            <w:tcW w:w="2360" w:type="dxa"/>
            <w:vAlign w:val="bottom"/>
            <w:tcBorders>
              <w:top w:val="single" w:sz="8" w:color="0000FF"/>
            </w:tcBorders>
            <w:gridSpan w:val="14"/>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10.23</w:t>
            </w:r>
          </w:p>
        </w:tc>
        <w:tc>
          <w:tcPr>
            <w:tcW w:w="4080" w:type="dxa"/>
            <w:vAlign w:val="bottom"/>
            <w:gridSpan w:val="31"/>
          </w:tcPr>
          <w:p>
            <w:pPr>
              <w:spacing w:after="0"/>
              <w:rPr>
                <w:rFonts w:ascii="Times New Roman" w:cs="Times New Roman" w:eastAsia="Times New Roman" w:hAnsi="Times New Roman"/>
                <w:sz w:val="11"/>
                <w:szCs w:val="11"/>
                <w:color w:val="0000FF"/>
              </w:rPr>
            </w:pPr>
            <w:hyperlink r:id="rId146">
              <w:r>
                <w:rPr>
                  <w:rFonts w:ascii="Times New Roman" w:cs="Times New Roman" w:eastAsia="Times New Roman" w:hAnsi="Times New Roman"/>
                  <w:sz w:val="11"/>
                  <w:szCs w:val="11"/>
                  <w:color w:val="0000FF"/>
                </w:rPr>
                <w:t>Fifth Amendment to Lease Agreement by and between Zoom Video Communications,</w:t>
              </w:r>
            </w:hyperlink>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r>
      <w:tr>
        <w:trPr>
          <w:trHeight w:val="97"/>
        </w:trPr>
        <w:tc>
          <w:tcPr>
            <w:tcW w:w="1140" w:type="dxa"/>
            <w:vAlign w:val="bottom"/>
          </w:tcPr>
          <w:p>
            <w:pPr>
              <w:spacing w:after="0"/>
              <w:rPr>
                <w:sz w:val="8"/>
                <w:szCs w:val="8"/>
                <w:color w:val="auto"/>
              </w:rPr>
            </w:pPr>
          </w:p>
        </w:tc>
        <w:tc>
          <w:tcPr>
            <w:tcW w:w="3140" w:type="dxa"/>
            <w:vAlign w:val="bottom"/>
            <w:tcBorders>
              <w:top w:val="single" w:sz="8" w:color="0000FF"/>
              <w:bottom w:val="single" w:sz="8" w:color="0000FF"/>
            </w:tcBorders>
            <w:gridSpan w:val="12"/>
          </w:tcPr>
          <w:p>
            <w:pPr>
              <w:spacing w:after="0" w:line="97" w:lineRule="exact"/>
              <w:rPr>
                <w:rFonts w:ascii="Times New Roman" w:cs="Times New Roman" w:eastAsia="Times New Roman" w:hAnsi="Times New Roman"/>
                <w:sz w:val="11"/>
                <w:szCs w:val="11"/>
                <w:color w:val="0000FF"/>
              </w:rPr>
            </w:pPr>
            <w:hyperlink r:id="rId146">
              <w:r>
                <w:rPr>
                  <w:rFonts w:ascii="Times New Roman" w:cs="Times New Roman" w:eastAsia="Times New Roman" w:hAnsi="Times New Roman"/>
                  <w:sz w:val="11"/>
                  <w:szCs w:val="11"/>
                  <w:color w:val="0000FF"/>
                </w:rPr>
                <w:t>Inc. and KBSIII Almaden Financial Plaza, LLC dated March 9, 2020</w:t>
              </w:r>
            </w:hyperlink>
          </w:p>
        </w:tc>
        <w:tc>
          <w:tcPr>
            <w:tcW w:w="780" w:type="dxa"/>
            <w:vAlign w:val="bottom"/>
            <w:tcBorders>
              <w:top w:val="single" w:sz="8" w:color="0000FF"/>
            </w:tcBorders>
            <w:gridSpan w:val="11"/>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10.24#</w:t>
            </w:r>
          </w:p>
        </w:tc>
        <w:tc>
          <w:tcPr>
            <w:tcW w:w="3240" w:type="dxa"/>
            <w:vAlign w:val="bottom"/>
            <w:tcBorders>
              <w:bottom w:val="single" w:sz="8" w:color="0000FF"/>
            </w:tcBorders>
            <w:gridSpan w:val="14"/>
          </w:tcPr>
          <w:p>
            <w:pPr>
              <w:spacing w:after="0"/>
              <w:rPr>
                <w:rFonts w:ascii="Times New Roman" w:cs="Times New Roman" w:eastAsia="Times New Roman" w:hAnsi="Times New Roman"/>
                <w:sz w:val="11"/>
                <w:szCs w:val="11"/>
                <w:color w:val="0000FF"/>
              </w:rPr>
            </w:pPr>
            <w:hyperlink r:id="rId147">
              <w:r>
                <w:rPr>
                  <w:rFonts w:ascii="Times New Roman" w:cs="Times New Roman" w:eastAsia="Times New Roman" w:hAnsi="Times New Roman"/>
                  <w:sz w:val="11"/>
                  <w:szCs w:val="11"/>
                  <w:color w:val="0000FF"/>
                </w:rPr>
                <w:t>Zoom Video Communications, Inc. Officer Incentive Plan, as amended</w:t>
              </w:r>
            </w:hyperlink>
          </w:p>
        </w:tc>
        <w:tc>
          <w:tcPr>
            <w:tcW w:w="840" w:type="dxa"/>
            <w:vAlign w:val="bottom"/>
            <w:gridSpan w:val="17"/>
          </w:tcPr>
          <w:p>
            <w:pPr>
              <w:spacing w:after="0"/>
              <w:rPr>
                <w:sz w:val="11"/>
                <w:szCs w:val="1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10-K</w:t>
            </w: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10.25</w:t>
            </w:r>
          </w:p>
        </w:tc>
        <w:tc>
          <w:tcPr>
            <w:tcW w:w="4080" w:type="dxa"/>
            <w:vAlign w:val="bottom"/>
            <w:gridSpan w:val="31"/>
          </w:tcPr>
          <w:p>
            <w:pPr>
              <w:spacing w:after="0"/>
              <w:rPr>
                <w:rFonts w:ascii="Times New Roman" w:cs="Times New Roman" w:eastAsia="Times New Roman" w:hAnsi="Times New Roman"/>
                <w:sz w:val="11"/>
                <w:szCs w:val="11"/>
                <w:color w:val="auto"/>
              </w:rPr>
            </w:pPr>
            <w:hyperlink r:id="rId148">
              <w:r>
                <w:rPr>
                  <w:rFonts w:ascii="Times New Roman" w:cs="Times New Roman" w:eastAsia="Times New Roman" w:hAnsi="Times New Roman"/>
                  <w:sz w:val="11"/>
                  <w:szCs w:val="11"/>
                  <w:color w:val="auto"/>
                </w:rPr>
                <w:t>Common Stock Purchase Agreement by and among the Registrant, salesforce.com, inc.</w:t>
              </w:r>
            </w:hyperlink>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91"/>
              </w:rPr>
              <w:t>S-1/A</w:t>
            </w:r>
          </w:p>
        </w:tc>
      </w:tr>
      <w:tr>
        <w:trPr>
          <w:trHeight w:val="97"/>
        </w:trPr>
        <w:tc>
          <w:tcPr>
            <w:tcW w:w="1140" w:type="dxa"/>
            <w:vAlign w:val="bottom"/>
          </w:tcPr>
          <w:p>
            <w:pPr>
              <w:spacing w:after="0"/>
              <w:rPr>
                <w:sz w:val="8"/>
                <w:szCs w:val="8"/>
                <w:color w:val="auto"/>
              </w:rPr>
            </w:pPr>
          </w:p>
        </w:tc>
        <w:tc>
          <w:tcPr>
            <w:tcW w:w="2520" w:type="dxa"/>
            <w:vAlign w:val="bottom"/>
            <w:tcBorders>
              <w:top w:val="single" w:sz="8" w:color="auto"/>
              <w:bottom w:val="single" w:sz="8" w:color="auto"/>
            </w:tcBorders>
            <w:gridSpan w:val="10"/>
          </w:tcPr>
          <w:p>
            <w:pPr>
              <w:spacing w:after="0" w:line="97" w:lineRule="exact"/>
              <w:rPr>
                <w:rFonts w:ascii="Times New Roman" w:cs="Times New Roman" w:eastAsia="Times New Roman" w:hAnsi="Times New Roman"/>
                <w:sz w:val="11"/>
                <w:szCs w:val="11"/>
                <w:color w:val="auto"/>
              </w:rPr>
            </w:pPr>
            <w:hyperlink r:id="rId148">
              <w:r>
                <w:rPr>
                  <w:rFonts w:ascii="Times New Roman" w:cs="Times New Roman" w:eastAsia="Times New Roman" w:hAnsi="Times New Roman"/>
                  <w:sz w:val="11"/>
                  <w:szCs w:val="11"/>
                  <w:color w:val="auto"/>
                </w:rPr>
                <w:t>and Salesforce Ventures LLC, dated as of April 5, 2019</w:t>
              </w:r>
            </w:hyperlink>
          </w:p>
        </w:tc>
        <w:tc>
          <w:tcPr>
            <w:tcW w:w="1520" w:type="dxa"/>
            <w:vAlign w:val="bottom"/>
            <w:tcBorders>
              <w:top w:val="single" w:sz="8" w:color="auto"/>
            </w:tcBorders>
            <w:gridSpan w:val="19"/>
          </w:tcPr>
          <w:p>
            <w:pPr>
              <w:spacing w:after="0"/>
              <w:rPr>
                <w:sz w:val="8"/>
                <w:szCs w:val="8"/>
                <w:color w:val="auto"/>
              </w:rPr>
            </w:pPr>
          </w:p>
        </w:tc>
        <w:tc>
          <w:tcPr>
            <w:tcW w:w="40" w:type="dxa"/>
            <w:vAlign w:val="bottom"/>
            <w:gridSpan w:val="2"/>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10.26#</w:t>
            </w:r>
          </w:p>
        </w:tc>
        <w:tc>
          <w:tcPr>
            <w:tcW w:w="4080" w:type="dxa"/>
            <w:vAlign w:val="bottom"/>
            <w:gridSpan w:val="31"/>
          </w:tcPr>
          <w:p>
            <w:pPr>
              <w:spacing w:after="0"/>
              <w:rPr>
                <w:rFonts w:ascii="Times New Roman" w:cs="Times New Roman" w:eastAsia="Times New Roman" w:hAnsi="Times New Roman"/>
                <w:sz w:val="11"/>
                <w:szCs w:val="11"/>
                <w:color w:val="0000FF"/>
              </w:rPr>
            </w:pPr>
            <w:hyperlink r:id="rId149">
              <w:r>
                <w:rPr>
                  <w:rFonts w:ascii="Times New Roman" w:cs="Times New Roman" w:eastAsia="Times New Roman" w:hAnsi="Times New Roman"/>
                  <w:sz w:val="11"/>
                  <w:szCs w:val="11"/>
                  <w:color w:val="0000FF"/>
                </w:rPr>
                <w:t>Zoom Video Communications, Inc. Severance and Change in Control Plan and form of</w:t>
              </w:r>
            </w:hyperlink>
          </w:p>
        </w:tc>
        <w:tc>
          <w:tcPr>
            <w:tcW w:w="3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10-Q</w:t>
            </w:r>
          </w:p>
        </w:tc>
      </w:tr>
      <w:tr>
        <w:trPr>
          <w:trHeight w:val="97"/>
        </w:trPr>
        <w:tc>
          <w:tcPr>
            <w:tcW w:w="1140" w:type="dxa"/>
            <w:vAlign w:val="bottom"/>
          </w:tcPr>
          <w:p>
            <w:pPr>
              <w:spacing w:after="0"/>
              <w:rPr>
                <w:sz w:val="8"/>
                <w:szCs w:val="8"/>
                <w:color w:val="auto"/>
              </w:rPr>
            </w:pPr>
          </w:p>
        </w:tc>
        <w:tc>
          <w:tcPr>
            <w:tcW w:w="3980" w:type="dxa"/>
            <w:vAlign w:val="bottom"/>
            <w:tcBorders>
              <w:top w:val="single" w:sz="8" w:color="0000FF"/>
            </w:tcBorders>
            <w:gridSpan w:val="26"/>
          </w:tcPr>
          <w:p>
            <w:pPr>
              <w:spacing w:after="0" w:line="97" w:lineRule="exact"/>
              <w:rPr>
                <w:rFonts w:ascii="Times New Roman" w:cs="Times New Roman" w:eastAsia="Times New Roman" w:hAnsi="Times New Roman"/>
                <w:sz w:val="11"/>
                <w:szCs w:val="11"/>
                <w:color w:val="0000FF"/>
              </w:rPr>
            </w:pPr>
            <w:hyperlink r:id="rId149">
              <w:r>
                <w:rPr>
                  <w:rFonts w:ascii="Times New Roman" w:cs="Times New Roman" w:eastAsia="Times New Roman" w:hAnsi="Times New Roman"/>
                  <w:sz w:val="11"/>
                  <w:szCs w:val="11"/>
                  <w:color w:val="0000FF"/>
                </w:rPr>
                <w:t>Participation Agreement thereunder</w:t>
              </w:r>
            </w:hyperlink>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340" w:type="dxa"/>
            <w:vAlign w:val="bottom"/>
          </w:tcPr>
          <w:p>
            <w:pPr>
              <w:spacing w:after="0"/>
              <w:rPr>
                <w:sz w:val="8"/>
                <w:szCs w:val="8"/>
                <w:color w:val="auto"/>
              </w:rPr>
            </w:pPr>
          </w:p>
        </w:tc>
      </w:tr>
      <w:tr>
        <w:trPr>
          <w:trHeight w:val="20"/>
        </w:trPr>
        <w:tc>
          <w:tcPr>
            <w:tcW w:w="1140" w:type="dxa"/>
            <w:vAlign w:val="bottom"/>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21.1</w:t>
            </w:r>
          </w:p>
        </w:tc>
        <w:tc>
          <w:tcPr>
            <w:tcW w:w="4080" w:type="dxa"/>
            <w:vAlign w:val="bottom"/>
            <w:gridSpan w:val="31"/>
          </w:tcPr>
          <w:p>
            <w:pPr>
              <w:spacing w:after="0"/>
              <w:rPr>
                <w:sz w:val="20"/>
                <w:szCs w:val="20"/>
                <w:color w:val="auto"/>
              </w:rPr>
            </w:pPr>
            <w:r>
              <w:rPr>
                <w:rFonts w:ascii="Times New Roman" w:cs="Times New Roman" w:eastAsia="Times New Roman" w:hAnsi="Times New Roman"/>
                <w:sz w:val="11"/>
                <w:szCs w:val="11"/>
                <w:color w:val="0000FF"/>
              </w:rPr>
              <w:t>List of subsidiaries of the Registrant</w:t>
            </w:r>
          </w:p>
        </w:tc>
        <w:tc>
          <w:tcPr>
            <w:tcW w:w="340" w:type="dxa"/>
            <w:vAlign w:val="bottom"/>
          </w:tcPr>
          <w:p>
            <w:pPr>
              <w:spacing w:after="0"/>
              <w:rPr>
                <w:sz w:val="11"/>
                <w:szCs w:val="11"/>
                <w:color w:val="auto"/>
              </w:rPr>
            </w:pPr>
          </w:p>
        </w:tc>
      </w:tr>
      <w:tr>
        <w:trPr>
          <w:trHeight w:val="20"/>
        </w:trPr>
        <w:tc>
          <w:tcPr>
            <w:tcW w:w="1140" w:type="dxa"/>
            <w:vAlign w:val="bottom"/>
          </w:tcPr>
          <w:p>
            <w:pPr>
              <w:spacing w:after="0" w:line="20" w:lineRule="exact"/>
              <w:rPr>
                <w:sz w:val="1"/>
                <w:szCs w:val="1"/>
                <w:color w:val="auto"/>
              </w:rPr>
            </w:pPr>
          </w:p>
        </w:tc>
        <w:tc>
          <w:tcPr>
            <w:tcW w:w="1640" w:type="dxa"/>
            <w:vAlign w:val="bottom"/>
            <w:gridSpan w:val="8"/>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23.1</w:t>
            </w:r>
          </w:p>
        </w:tc>
        <w:tc>
          <w:tcPr>
            <w:tcW w:w="32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1"/>
                <w:szCs w:val="11"/>
                <w:color w:val="0000FF"/>
              </w:rPr>
              <w:t>Consent of KPMG LLP, independent registered public accounting firm</w:t>
            </w:r>
          </w:p>
        </w:tc>
        <w:tc>
          <w:tcPr>
            <w:tcW w:w="860" w:type="dxa"/>
            <w:vAlign w:val="bottom"/>
            <w:gridSpan w:val="18"/>
          </w:tcPr>
          <w:p>
            <w:pPr>
              <w:spacing w:after="0"/>
              <w:rPr>
                <w:sz w:val="12"/>
                <w:szCs w:val="12"/>
                <w:color w:val="auto"/>
              </w:rPr>
            </w:pPr>
          </w:p>
        </w:tc>
        <w:tc>
          <w:tcPr>
            <w:tcW w:w="340" w:type="dxa"/>
            <w:vAlign w:val="bottom"/>
          </w:tcPr>
          <w:p>
            <w:pPr>
              <w:spacing w:after="0"/>
              <w:rPr>
                <w:sz w:val="12"/>
                <w:szCs w:val="12"/>
                <w:color w:val="auto"/>
              </w:rPr>
            </w:pP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24.1</w:t>
            </w:r>
          </w:p>
        </w:tc>
        <w:tc>
          <w:tcPr>
            <w:tcW w:w="4080" w:type="dxa"/>
            <w:vAlign w:val="bottom"/>
            <w:gridSpan w:val="31"/>
          </w:tcPr>
          <w:p>
            <w:pPr>
              <w:spacing w:after="0"/>
              <w:rPr>
                <w:sz w:val="20"/>
                <w:szCs w:val="20"/>
                <w:color w:val="auto"/>
              </w:rPr>
            </w:pPr>
            <w:r>
              <w:rPr>
                <w:rFonts w:ascii="Times New Roman" w:cs="Times New Roman" w:eastAsia="Times New Roman" w:hAnsi="Times New Roman"/>
                <w:sz w:val="11"/>
                <w:szCs w:val="11"/>
                <w:color w:val="0000FF"/>
              </w:rPr>
              <w:t>Power of Attorney (reference is made to the signature page hereto)</w:t>
            </w:r>
          </w:p>
        </w:tc>
        <w:tc>
          <w:tcPr>
            <w:tcW w:w="34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3020" w:type="dxa"/>
            <w:vAlign w:val="bottom"/>
            <w:gridSpan w:val="11"/>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31.1</w:t>
            </w:r>
          </w:p>
        </w:tc>
        <w:tc>
          <w:tcPr>
            <w:tcW w:w="4080" w:type="dxa"/>
            <w:vAlign w:val="bottom"/>
            <w:gridSpan w:val="31"/>
          </w:tcPr>
          <w:p>
            <w:pPr>
              <w:spacing w:after="0"/>
              <w:rPr>
                <w:sz w:val="20"/>
                <w:szCs w:val="20"/>
                <w:color w:val="auto"/>
              </w:rPr>
            </w:pPr>
            <w:r>
              <w:rPr>
                <w:rFonts w:ascii="Times New Roman" w:cs="Times New Roman" w:eastAsia="Times New Roman" w:hAnsi="Times New Roman"/>
                <w:sz w:val="11"/>
                <w:szCs w:val="11"/>
                <w:color w:val="0000FF"/>
              </w:rPr>
              <w:t>Certification of Chief Executive Officer pursuant to Exchange Act Rules 13a-14(a) and</w:t>
            </w:r>
          </w:p>
        </w:tc>
        <w:tc>
          <w:tcPr>
            <w:tcW w:w="340" w:type="dxa"/>
            <w:vAlign w:val="bottom"/>
          </w:tcPr>
          <w:p>
            <w:pPr>
              <w:spacing w:after="0"/>
              <w:rPr>
                <w:sz w:val="12"/>
                <w:szCs w:val="12"/>
                <w:color w:val="auto"/>
              </w:rPr>
            </w:pPr>
          </w:p>
        </w:tc>
      </w:tr>
      <w:tr>
        <w:trPr>
          <w:trHeight w:val="97"/>
        </w:trPr>
        <w:tc>
          <w:tcPr>
            <w:tcW w:w="1140" w:type="dxa"/>
            <w:vAlign w:val="bottom"/>
          </w:tcPr>
          <w:p>
            <w:pPr>
              <w:spacing w:after="0"/>
              <w:rPr>
                <w:sz w:val="8"/>
                <w:szCs w:val="8"/>
                <w:color w:val="auto"/>
              </w:rPr>
            </w:pPr>
          </w:p>
        </w:tc>
        <w:tc>
          <w:tcPr>
            <w:tcW w:w="3700" w:type="dxa"/>
            <w:vAlign w:val="bottom"/>
            <w:tcBorders>
              <w:top w:val="single" w:sz="8" w:color="0000FF"/>
              <w:bottom w:val="single" w:sz="8" w:color="0000FF"/>
            </w:tcBorders>
            <w:gridSpan w:val="17"/>
          </w:tcPr>
          <w:p>
            <w:pPr>
              <w:spacing w:after="0" w:line="97" w:lineRule="exact"/>
              <w:rPr>
                <w:sz w:val="20"/>
                <w:szCs w:val="20"/>
                <w:color w:val="auto"/>
              </w:rPr>
            </w:pPr>
            <w:r>
              <w:rPr>
                <w:rFonts w:ascii="Times New Roman" w:cs="Times New Roman" w:eastAsia="Times New Roman" w:hAnsi="Times New Roman"/>
                <w:sz w:val="11"/>
                <w:szCs w:val="11"/>
                <w:color w:val="0000FF"/>
              </w:rPr>
              <w:t>15d-14(a), as adopted pursuant to Section 302 of the Sarbanes-Oxley Act of 2002</w:t>
            </w:r>
          </w:p>
        </w:tc>
        <w:tc>
          <w:tcPr>
            <w:tcW w:w="320" w:type="dxa"/>
            <w:vAlign w:val="bottom"/>
            <w:tcBorders>
              <w:top w:val="single" w:sz="8" w:color="0000FF"/>
            </w:tcBorders>
            <w:gridSpan w:val="11"/>
          </w:tcPr>
          <w:p>
            <w:pPr>
              <w:spacing w:after="0"/>
              <w:rPr>
                <w:sz w:val="8"/>
                <w:szCs w:val="8"/>
                <w:color w:val="auto"/>
              </w:rPr>
            </w:pPr>
          </w:p>
        </w:tc>
        <w:tc>
          <w:tcPr>
            <w:tcW w:w="60" w:type="dxa"/>
            <w:vAlign w:val="bottom"/>
            <w:gridSpan w:val="3"/>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31.2</w:t>
            </w:r>
          </w:p>
        </w:tc>
        <w:tc>
          <w:tcPr>
            <w:tcW w:w="4080" w:type="dxa"/>
            <w:vAlign w:val="bottom"/>
            <w:gridSpan w:val="31"/>
          </w:tcPr>
          <w:p>
            <w:pPr>
              <w:spacing w:after="0"/>
              <w:rPr>
                <w:sz w:val="20"/>
                <w:szCs w:val="20"/>
                <w:color w:val="auto"/>
              </w:rPr>
            </w:pPr>
            <w:r>
              <w:rPr>
                <w:rFonts w:ascii="Times New Roman" w:cs="Times New Roman" w:eastAsia="Times New Roman" w:hAnsi="Times New Roman"/>
                <w:sz w:val="11"/>
                <w:szCs w:val="11"/>
                <w:color w:val="0000FF"/>
              </w:rPr>
              <w:t>Certification of Chief Financial Officer pursuant to Exchange Act Rules 13a-14(a) and</w:t>
            </w:r>
          </w:p>
        </w:tc>
        <w:tc>
          <w:tcPr>
            <w:tcW w:w="340" w:type="dxa"/>
            <w:vAlign w:val="bottom"/>
          </w:tcPr>
          <w:p>
            <w:pPr>
              <w:spacing w:after="0"/>
              <w:rPr>
                <w:sz w:val="11"/>
                <w:szCs w:val="11"/>
                <w:color w:val="auto"/>
              </w:rPr>
            </w:pPr>
          </w:p>
        </w:tc>
      </w:tr>
      <w:tr>
        <w:trPr>
          <w:trHeight w:val="97"/>
        </w:trPr>
        <w:tc>
          <w:tcPr>
            <w:tcW w:w="1140" w:type="dxa"/>
            <w:vAlign w:val="bottom"/>
          </w:tcPr>
          <w:p>
            <w:pPr>
              <w:spacing w:after="0"/>
              <w:rPr>
                <w:sz w:val="8"/>
                <w:szCs w:val="8"/>
                <w:color w:val="auto"/>
              </w:rPr>
            </w:pPr>
          </w:p>
        </w:tc>
        <w:tc>
          <w:tcPr>
            <w:tcW w:w="3700" w:type="dxa"/>
            <w:vAlign w:val="bottom"/>
            <w:tcBorders>
              <w:top w:val="single" w:sz="8" w:color="0000FF"/>
              <w:bottom w:val="single" w:sz="8" w:color="0000FF"/>
            </w:tcBorders>
            <w:gridSpan w:val="17"/>
          </w:tcPr>
          <w:p>
            <w:pPr>
              <w:spacing w:after="0" w:line="97" w:lineRule="exact"/>
              <w:rPr>
                <w:sz w:val="20"/>
                <w:szCs w:val="20"/>
                <w:color w:val="auto"/>
              </w:rPr>
            </w:pPr>
            <w:r>
              <w:rPr>
                <w:rFonts w:ascii="Times New Roman" w:cs="Times New Roman" w:eastAsia="Times New Roman" w:hAnsi="Times New Roman"/>
                <w:sz w:val="11"/>
                <w:szCs w:val="11"/>
                <w:color w:val="0000FF"/>
              </w:rPr>
              <w:t>15d-14(a), as adopted pursuant to Section 302 of the Sarbanes-Oxley Act of 2002</w:t>
            </w:r>
          </w:p>
        </w:tc>
        <w:tc>
          <w:tcPr>
            <w:tcW w:w="260" w:type="dxa"/>
            <w:vAlign w:val="bottom"/>
            <w:tcBorders>
              <w:top w:val="single" w:sz="8" w:color="0000FF"/>
            </w:tcBorders>
            <w:gridSpan w:val="8"/>
          </w:tcPr>
          <w:p>
            <w:pPr>
              <w:spacing w:after="0"/>
              <w:rPr>
                <w:sz w:val="8"/>
                <w:szCs w:val="8"/>
                <w:color w:val="auto"/>
              </w:rPr>
            </w:pPr>
          </w:p>
        </w:tc>
        <w:tc>
          <w:tcPr>
            <w:tcW w:w="120" w:type="dxa"/>
            <w:vAlign w:val="bottom"/>
            <w:gridSpan w:val="6"/>
          </w:tcPr>
          <w:p>
            <w:pPr>
              <w:spacing w:after="0"/>
              <w:rPr>
                <w:sz w:val="8"/>
                <w:szCs w:val="8"/>
                <w:color w:val="auto"/>
              </w:rPr>
            </w:pPr>
          </w:p>
        </w:tc>
        <w:tc>
          <w:tcPr>
            <w:tcW w:w="340" w:type="dxa"/>
            <w:vAlign w:val="bottom"/>
          </w:tcPr>
          <w:p>
            <w:pPr>
              <w:spacing w:after="0"/>
              <w:rPr>
                <w:sz w:val="8"/>
                <w:szCs w:val="8"/>
                <w:color w:val="auto"/>
              </w:rPr>
            </w:pPr>
          </w:p>
        </w:tc>
      </w:tr>
      <w:tr>
        <w:trPr>
          <w:trHeight w:val="12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32.1†</w:t>
            </w:r>
          </w:p>
        </w:tc>
        <w:tc>
          <w:tcPr>
            <w:tcW w:w="4080" w:type="dxa"/>
            <w:vAlign w:val="bottom"/>
            <w:gridSpan w:val="31"/>
          </w:tcPr>
          <w:p>
            <w:pPr>
              <w:spacing w:after="0"/>
              <w:rPr>
                <w:sz w:val="20"/>
                <w:szCs w:val="20"/>
                <w:color w:val="auto"/>
              </w:rPr>
            </w:pPr>
            <w:r>
              <w:rPr>
                <w:rFonts w:ascii="Times New Roman" w:cs="Times New Roman" w:eastAsia="Times New Roman" w:hAnsi="Times New Roman"/>
                <w:sz w:val="11"/>
                <w:szCs w:val="11"/>
                <w:color w:val="0000FF"/>
              </w:rPr>
              <w:t>Certifications of Chief Executive Officer and Chief Financial Officer pursuant to 18</w:t>
            </w:r>
          </w:p>
        </w:tc>
        <w:tc>
          <w:tcPr>
            <w:tcW w:w="340" w:type="dxa"/>
            <w:vAlign w:val="bottom"/>
          </w:tcPr>
          <w:p>
            <w:pPr>
              <w:spacing w:after="0"/>
              <w:rPr>
                <w:sz w:val="11"/>
                <w:szCs w:val="11"/>
                <w:color w:val="auto"/>
              </w:rPr>
            </w:pPr>
          </w:p>
        </w:tc>
      </w:tr>
      <w:tr>
        <w:trPr>
          <w:trHeight w:val="97"/>
        </w:trPr>
        <w:tc>
          <w:tcPr>
            <w:tcW w:w="1140" w:type="dxa"/>
            <w:vAlign w:val="bottom"/>
          </w:tcPr>
          <w:p>
            <w:pPr>
              <w:spacing w:after="0"/>
              <w:rPr>
                <w:sz w:val="8"/>
                <w:szCs w:val="8"/>
                <w:color w:val="auto"/>
              </w:rPr>
            </w:pPr>
          </w:p>
        </w:tc>
        <w:tc>
          <w:tcPr>
            <w:tcW w:w="3800" w:type="dxa"/>
            <w:vAlign w:val="bottom"/>
            <w:tcBorders>
              <w:top w:val="single" w:sz="8" w:color="0000FF"/>
            </w:tcBorders>
            <w:gridSpan w:val="21"/>
          </w:tcPr>
          <w:p>
            <w:pPr>
              <w:spacing w:after="0" w:line="97" w:lineRule="exact"/>
              <w:rPr>
                <w:sz w:val="20"/>
                <w:szCs w:val="20"/>
                <w:color w:val="auto"/>
              </w:rPr>
            </w:pPr>
            <w:r>
              <w:rPr>
                <w:rFonts w:ascii="Times New Roman" w:cs="Times New Roman" w:eastAsia="Times New Roman" w:hAnsi="Times New Roman"/>
                <w:sz w:val="11"/>
                <w:szCs w:val="11"/>
                <w:color w:val="0000FF"/>
              </w:rPr>
              <w:t>U.S.C. Section 1350, as adopted pursuant to Section 906 of the Sarbanes-Oxley Act</w:t>
            </w:r>
          </w:p>
        </w:tc>
        <w:tc>
          <w:tcPr>
            <w:tcW w:w="280" w:type="dxa"/>
            <w:vAlign w:val="bottom"/>
            <w:gridSpan w:val="10"/>
          </w:tcPr>
          <w:p>
            <w:pPr>
              <w:ind w:left="20"/>
              <w:spacing w:after="0" w:line="97" w:lineRule="exact"/>
              <w:rPr>
                <w:sz w:val="20"/>
                <w:szCs w:val="20"/>
                <w:color w:val="auto"/>
              </w:rPr>
            </w:pPr>
            <w:r>
              <w:rPr>
                <w:rFonts w:ascii="Times New Roman" w:cs="Times New Roman" w:eastAsia="Times New Roman" w:hAnsi="Times New Roman"/>
                <w:sz w:val="11"/>
                <w:szCs w:val="11"/>
                <w:color w:val="0000FF"/>
              </w:rPr>
              <w:t>of</w:t>
            </w:r>
          </w:p>
        </w:tc>
        <w:tc>
          <w:tcPr>
            <w:tcW w:w="340" w:type="dxa"/>
            <w:vAlign w:val="bottom"/>
          </w:tcPr>
          <w:p>
            <w:pPr>
              <w:spacing w:after="0"/>
              <w:rPr>
                <w:sz w:val="8"/>
                <w:szCs w:val="8"/>
                <w:color w:val="auto"/>
              </w:rPr>
            </w:pPr>
          </w:p>
        </w:tc>
      </w:tr>
      <w:tr>
        <w:trPr>
          <w:trHeight w:val="86"/>
        </w:trPr>
        <w:tc>
          <w:tcPr>
            <w:tcW w:w="1140" w:type="dxa"/>
            <w:vAlign w:val="bottom"/>
          </w:tcPr>
          <w:p>
            <w:pPr>
              <w:spacing w:after="0"/>
              <w:rPr>
                <w:sz w:val="7"/>
                <w:szCs w:val="7"/>
                <w:color w:val="auto"/>
              </w:rPr>
            </w:pPr>
          </w:p>
        </w:tc>
        <w:tc>
          <w:tcPr>
            <w:tcW w:w="240" w:type="dxa"/>
            <w:vAlign w:val="bottom"/>
            <w:tcBorders>
              <w:top w:val="single" w:sz="8" w:color="0000FF"/>
              <w:bottom w:val="single" w:sz="8" w:color="0000FF"/>
            </w:tcBorders>
          </w:tcPr>
          <w:p>
            <w:pPr>
              <w:spacing w:after="0" w:line="86" w:lineRule="exact"/>
              <w:rPr>
                <w:sz w:val="20"/>
                <w:szCs w:val="20"/>
                <w:color w:val="auto"/>
              </w:rPr>
            </w:pPr>
            <w:r>
              <w:rPr>
                <w:rFonts w:ascii="Times New Roman" w:cs="Times New Roman" w:eastAsia="Times New Roman" w:hAnsi="Times New Roman"/>
                <w:sz w:val="9"/>
                <w:szCs w:val="9"/>
                <w:color w:val="0000FF"/>
              </w:rPr>
              <w:t>2002</w:t>
            </w:r>
          </w:p>
        </w:tc>
        <w:tc>
          <w:tcPr>
            <w:tcW w:w="6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2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7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163"/>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101.INS</w:t>
            </w:r>
          </w:p>
        </w:tc>
        <w:tc>
          <w:tcPr>
            <w:tcW w:w="4080" w:type="dxa"/>
            <w:vAlign w:val="bottom"/>
            <w:gridSpan w:val="31"/>
          </w:tcPr>
          <w:p>
            <w:pPr>
              <w:spacing w:after="0"/>
              <w:rPr>
                <w:sz w:val="20"/>
                <w:szCs w:val="20"/>
                <w:color w:val="auto"/>
              </w:rPr>
            </w:pPr>
            <w:r>
              <w:rPr>
                <w:rFonts w:ascii="Times New Roman" w:cs="Times New Roman" w:eastAsia="Times New Roman" w:hAnsi="Times New Roman"/>
                <w:sz w:val="11"/>
                <w:szCs w:val="11"/>
                <w:color w:val="auto"/>
              </w:rPr>
              <w:t>XBRL Instance Document</w:t>
            </w:r>
          </w:p>
        </w:tc>
        <w:tc>
          <w:tcPr>
            <w:tcW w:w="340" w:type="dxa"/>
            <w:vAlign w:val="bottom"/>
          </w:tcPr>
          <w:p>
            <w:pPr>
              <w:spacing w:after="0"/>
              <w:rPr>
                <w:sz w:val="14"/>
                <w:szCs w:val="14"/>
                <w:color w:val="auto"/>
              </w:rPr>
            </w:pPr>
          </w:p>
        </w:tc>
      </w:tr>
      <w:tr>
        <w:trPr>
          <w:trHeight w:val="15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101.SCH</w:t>
            </w:r>
          </w:p>
        </w:tc>
        <w:tc>
          <w:tcPr>
            <w:tcW w:w="4080" w:type="dxa"/>
            <w:vAlign w:val="bottom"/>
            <w:gridSpan w:val="31"/>
          </w:tcPr>
          <w:p>
            <w:pPr>
              <w:spacing w:after="0"/>
              <w:rPr>
                <w:sz w:val="20"/>
                <w:szCs w:val="20"/>
                <w:color w:val="auto"/>
              </w:rPr>
            </w:pPr>
            <w:r>
              <w:rPr>
                <w:rFonts w:ascii="Times New Roman" w:cs="Times New Roman" w:eastAsia="Times New Roman" w:hAnsi="Times New Roman"/>
                <w:sz w:val="11"/>
                <w:szCs w:val="11"/>
                <w:color w:val="auto"/>
              </w:rPr>
              <w:t>XBRL Taxonomy Extension Schema Document</w:t>
            </w:r>
          </w:p>
        </w:tc>
        <w:tc>
          <w:tcPr>
            <w:tcW w:w="340" w:type="dxa"/>
            <w:vAlign w:val="bottom"/>
          </w:tcPr>
          <w:p>
            <w:pPr>
              <w:spacing w:after="0"/>
              <w:rPr>
                <w:sz w:val="13"/>
                <w:szCs w:val="13"/>
                <w:color w:val="auto"/>
              </w:rPr>
            </w:pPr>
          </w:p>
        </w:tc>
      </w:tr>
      <w:tr>
        <w:trPr>
          <w:trHeight w:val="15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101.CAL</w:t>
            </w:r>
          </w:p>
        </w:tc>
        <w:tc>
          <w:tcPr>
            <w:tcW w:w="4080" w:type="dxa"/>
            <w:vAlign w:val="bottom"/>
            <w:gridSpan w:val="31"/>
          </w:tcPr>
          <w:p>
            <w:pPr>
              <w:spacing w:after="0"/>
              <w:rPr>
                <w:sz w:val="20"/>
                <w:szCs w:val="20"/>
                <w:color w:val="auto"/>
              </w:rPr>
            </w:pPr>
            <w:r>
              <w:rPr>
                <w:rFonts w:ascii="Times New Roman" w:cs="Times New Roman" w:eastAsia="Times New Roman" w:hAnsi="Times New Roman"/>
                <w:sz w:val="11"/>
                <w:szCs w:val="11"/>
                <w:color w:val="auto"/>
              </w:rPr>
              <w:t>XBRL Taxonomy Extension Calculation Linkbase Document</w:t>
            </w:r>
          </w:p>
        </w:tc>
        <w:tc>
          <w:tcPr>
            <w:tcW w:w="340" w:type="dxa"/>
            <w:vAlign w:val="bottom"/>
          </w:tcPr>
          <w:p>
            <w:pPr>
              <w:spacing w:after="0"/>
              <w:rPr>
                <w:sz w:val="13"/>
                <w:szCs w:val="13"/>
                <w:color w:val="auto"/>
              </w:rPr>
            </w:pPr>
          </w:p>
        </w:tc>
      </w:tr>
      <w:tr>
        <w:trPr>
          <w:trHeight w:val="15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101.DEF</w:t>
            </w:r>
          </w:p>
        </w:tc>
        <w:tc>
          <w:tcPr>
            <w:tcW w:w="4080" w:type="dxa"/>
            <w:vAlign w:val="bottom"/>
            <w:gridSpan w:val="31"/>
          </w:tcPr>
          <w:p>
            <w:pPr>
              <w:spacing w:after="0"/>
              <w:rPr>
                <w:sz w:val="20"/>
                <w:szCs w:val="20"/>
                <w:color w:val="auto"/>
              </w:rPr>
            </w:pPr>
            <w:r>
              <w:rPr>
                <w:rFonts w:ascii="Times New Roman" w:cs="Times New Roman" w:eastAsia="Times New Roman" w:hAnsi="Times New Roman"/>
                <w:sz w:val="11"/>
                <w:szCs w:val="11"/>
                <w:color w:val="auto"/>
              </w:rPr>
              <w:t>XBRL Taxonomy Extension Definition Linkbase Document</w:t>
            </w:r>
          </w:p>
        </w:tc>
        <w:tc>
          <w:tcPr>
            <w:tcW w:w="340" w:type="dxa"/>
            <w:vAlign w:val="bottom"/>
          </w:tcPr>
          <w:p>
            <w:pPr>
              <w:spacing w:after="0"/>
              <w:rPr>
                <w:sz w:val="13"/>
                <w:szCs w:val="13"/>
                <w:color w:val="auto"/>
              </w:rPr>
            </w:pPr>
          </w:p>
        </w:tc>
      </w:tr>
      <w:tr>
        <w:trPr>
          <w:trHeight w:val="159"/>
        </w:trPr>
        <w:tc>
          <w:tcPr>
            <w:tcW w:w="1140" w:type="dxa"/>
            <w:vAlign w:val="bottom"/>
          </w:tcPr>
          <w:p>
            <w:pPr>
              <w:spacing w:after="0"/>
              <w:rPr>
                <w:sz w:val="20"/>
                <w:szCs w:val="20"/>
                <w:color w:val="auto"/>
              </w:rPr>
            </w:pPr>
            <w:r>
              <w:rPr>
                <w:rFonts w:ascii="Times New Roman" w:cs="Times New Roman" w:eastAsia="Times New Roman" w:hAnsi="Times New Roman"/>
                <w:sz w:val="11"/>
                <w:szCs w:val="11"/>
                <w:color w:val="auto"/>
              </w:rPr>
              <w:t>101.LAB</w:t>
            </w:r>
          </w:p>
        </w:tc>
        <w:tc>
          <w:tcPr>
            <w:tcW w:w="4080" w:type="dxa"/>
            <w:vAlign w:val="bottom"/>
            <w:gridSpan w:val="31"/>
          </w:tcPr>
          <w:p>
            <w:pPr>
              <w:spacing w:after="0"/>
              <w:rPr>
                <w:sz w:val="20"/>
                <w:szCs w:val="20"/>
                <w:color w:val="auto"/>
              </w:rPr>
            </w:pPr>
            <w:r>
              <w:rPr>
                <w:rFonts w:ascii="Times New Roman" w:cs="Times New Roman" w:eastAsia="Times New Roman" w:hAnsi="Times New Roman"/>
                <w:sz w:val="11"/>
                <w:szCs w:val="11"/>
                <w:color w:val="auto"/>
              </w:rPr>
              <w:t>XBRL Taxonomy Extension Label Linkbase Document</w:t>
            </w:r>
          </w:p>
        </w:tc>
        <w:tc>
          <w:tcPr>
            <w:tcW w:w="340" w:type="dxa"/>
            <w:vAlign w:val="bottom"/>
          </w:tcPr>
          <w:p>
            <w:pPr>
              <w:spacing w:after="0"/>
              <w:rPr>
                <w:sz w:val="13"/>
                <w:szCs w:val="13"/>
                <w:color w:val="auto"/>
              </w:rPr>
            </w:pPr>
          </w:p>
        </w:tc>
      </w:tr>
    </w:tbl>
    <w:p>
      <w:pPr>
        <w:spacing w:after="0" w:line="200" w:lineRule="exact"/>
        <w:rPr>
          <w:sz w:val="20"/>
          <w:szCs w:val="20"/>
          <w:color w:val="auto"/>
        </w:rPr>
      </w:pPr>
    </w:p>
    <w:p>
      <w:pPr>
        <w:spacing w:after="0" w:line="3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333-230444</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10.5</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22, 2019</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333-230444</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10.6</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22, 2019</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333-230444</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10.7</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22, 2019</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333-230444</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10.8</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22, 2019</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10.4</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September 13, 2019</w:t>
            </w:r>
          </w:p>
        </w:tc>
      </w:tr>
      <w:tr>
        <w:trPr>
          <w:trHeight w:val="159"/>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10.1</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September 3, 2020</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10.1</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August 24, 2022</w:t>
            </w:r>
          </w:p>
        </w:tc>
      </w:tr>
      <w:tr>
        <w:trPr>
          <w:trHeight w:val="159"/>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10.2</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September 3, 2020</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10.17</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18, 2021</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10.2</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May 25, 2022</w:t>
            </w:r>
          </w:p>
        </w:tc>
      </w:tr>
      <w:tr>
        <w:trPr>
          <w:trHeight w:val="530"/>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333-230444</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10.9</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22, 2019</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10.5</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September 13, 2019</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10.1</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June 5, 2020</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10.21</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March 7, 2022</w:t>
            </w:r>
          </w:p>
        </w:tc>
      </w:tr>
      <w:tr>
        <w:trPr>
          <w:trHeight w:val="159"/>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333-230444</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10.11</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April 8, 2019</w:t>
            </w:r>
          </w:p>
        </w:tc>
      </w:tr>
      <w:tr>
        <w:trPr>
          <w:trHeight w:val="265"/>
        </w:trPr>
        <w:tc>
          <w:tcPr>
            <w:tcW w:w="1040" w:type="dxa"/>
            <w:vAlign w:val="bottom"/>
          </w:tcPr>
          <w:p>
            <w:pPr>
              <w:spacing w:after="0"/>
              <w:rPr>
                <w:sz w:val="20"/>
                <w:szCs w:val="20"/>
                <w:color w:val="auto"/>
              </w:rPr>
            </w:pPr>
            <w:r>
              <w:rPr>
                <w:rFonts w:ascii="Times New Roman" w:cs="Times New Roman" w:eastAsia="Times New Roman" w:hAnsi="Times New Roman"/>
                <w:sz w:val="11"/>
                <w:szCs w:val="11"/>
                <w:color w:val="auto"/>
              </w:rPr>
              <w:t>001-38865</w:t>
            </w:r>
          </w:p>
        </w:tc>
        <w:tc>
          <w:tcPr>
            <w:tcW w:w="13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10.2</w:t>
            </w:r>
          </w:p>
        </w:tc>
        <w:tc>
          <w:tcPr>
            <w:tcW w:w="152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August 24, 2022</w:t>
            </w:r>
          </w:p>
        </w:tc>
      </w:tr>
    </w:tbl>
    <w:p>
      <w:pPr>
        <w:sectPr>
          <w:pgSz w:w="11900" w:h="16838" w:orient="portrait"/>
          <w:cols w:equalWidth="0" w:num="2">
            <w:col w:w="6500" w:space="720"/>
            <w:col w:w="3920"/>
          </w:cols>
          <w:pgMar w:left="300" w:top="12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400"/>
        <w:spacing w:after="0"/>
        <w:tabs>
          <w:tab w:leader="none" w:pos="1540" w:val="left"/>
        </w:tabs>
        <w:rPr>
          <w:sz w:val="20"/>
          <w:szCs w:val="20"/>
          <w:color w:val="auto"/>
        </w:rPr>
      </w:pPr>
      <w:r>
        <w:rPr>
          <w:rFonts w:ascii="Times New Roman" w:cs="Times New Roman" w:eastAsia="Times New Roman" w:hAnsi="Times New Roman"/>
          <w:sz w:val="11"/>
          <w:szCs w:val="11"/>
          <w:color w:val="auto"/>
        </w:rPr>
        <w:t>101.PRE</w:t>
      </w:r>
      <w:r>
        <w:rPr>
          <w:sz w:val="20"/>
          <w:szCs w:val="20"/>
          <w:color w:val="auto"/>
        </w:rPr>
        <w:tab/>
      </w:r>
      <w:r>
        <w:rPr>
          <w:rFonts w:ascii="Times New Roman" w:cs="Times New Roman" w:eastAsia="Times New Roman" w:hAnsi="Times New Roman"/>
          <w:sz w:val="11"/>
          <w:szCs w:val="11"/>
          <w:color w:val="auto"/>
        </w:rPr>
        <w:t>XBRL Taxonomy Extension Presentation Linkbase Document</w:t>
      </w:r>
    </w:p>
    <w:p>
      <w:pPr>
        <w:spacing w:after="0" w:line="43" w:lineRule="exact"/>
        <w:rPr>
          <w:sz w:val="20"/>
          <w:szCs w:val="20"/>
          <w:color w:val="auto"/>
        </w:rPr>
      </w:pPr>
    </w:p>
    <w:p>
      <w:pPr>
        <w:ind w:left="1560" w:hanging="1159"/>
        <w:spacing w:after="0"/>
        <w:tabs>
          <w:tab w:leader="none" w:pos="1560" w:val="left"/>
        </w:tabs>
        <w:numPr>
          <w:ilvl w:val="1"/>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Cover Page Interactive Data File (formatted as inline XBRL)</w:t>
      </w:r>
    </w:p>
    <w:p>
      <w:pPr>
        <w:spacing w:after="0" w:line="181" w:lineRule="exact"/>
        <w:rPr>
          <w:rFonts w:ascii="Times New Roman" w:cs="Times New Roman" w:eastAsia="Times New Roman" w:hAnsi="Times New Roman"/>
          <w:sz w:val="11"/>
          <w:szCs w:val="11"/>
          <w:color w:val="auto"/>
        </w:rPr>
      </w:pPr>
    </w:p>
    <w:p>
      <w:pPr>
        <w:ind w:left="180" w:hanging="175"/>
        <w:spacing w:after="0"/>
        <w:tabs>
          <w:tab w:leader="none" w:pos="18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Indicates a management contract or compensatory plan or arrangement.</w:t>
      </w:r>
    </w:p>
    <w:p>
      <w:pPr>
        <w:spacing w:after="0" w:line="86" w:lineRule="exact"/>
        <w:rPr>
          <w:sz w:val="20"/>
          <w:szCs w:val="20"/>
          <w:color w:val="auto"/>
        </w:rPr>
      </w:pPr>
    </w:p>
    <w:p>
      <w:pPr>
        <w:ind w:left="520" w:hanging="515"/>
        <w:spacing w:after="0" w:line="300" w:lineRule="auto"/>
        <w:tabs>
          <w:tab w:leader="none" w:pos="189"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certifications attached as Exhibit 32.1 that accompany this Annual Report on Form 10-K are not deemed filed with the Securities and Exchange Commission and are not to be incorporated by reference into any filing of the Registrant under the Securities Act of 1933, as amended, or the Exchange Act, whether made before or after the date of this Annual Report on Form 10-K, irrespective of any general incorporation language contained in such filing.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Financial Statement Schedules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Schedule II: Valuation and Qualifying Accounts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table below details the activity of the accounts receivable allowances and deferred tax asset valuation allowance for the fiscal years ended January 31, 2023, 2022, and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400" w:type="dxa"/>
            <w:vAlign w:val="bottom"/>
          </w:tcPr>
          <w:p>
            <w:pPr>
              <w:spacing w:after="0"/>
              <w:rPr>
                <w:sz w:val="11"/>
                <w:szCs w:val="11"/>
                <w:color w:val="auto"/>
              </w:rPr>
            </w:pPr>
          </w:p>
        </w:tc>
        <w:tc>
          <w:tcPr>
            <w:tcW w:w="1540" w:type="dxa"/>
            <w:vAlign w:val="bottom"/>
            <w:vMerge w:val="restart"/>
          </w:tcPr>
          <w:p>
            <w:pPr>
              <w:jc w:val="right"/>
              <w:ind w:right="677"/>
              <w:spacing w:after="0"/>
              <w:rPr>
                <w:sz w:val="20"/>
                <w:szCs w:val="20"/>
                <w:color w:val="auto"/>
              </w:rPr>
            </w:pPr>
            <w:r>
              <w:rPr>
                <w:rFonts w:ascii="Times New Roman" w:cs="Times New Roman" w:eastAsia="Times New Roman" w:hAnsi="Times New Roman"/>
                <w:sz w:val="11"/>
                <w:szCs w:val="11"/>
                <w:b w:val="1"/>
                <w:bCs w:val="1"/>
                <w:color w:val="auto"/>
              </w:rPr>
              <w:t>Additions</w:t>
            </w:r>
          </w:p>
        </w:tc>
        <w:tc>
          <w:tcPr>
            <w:tcW w:w="6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1580" w:type="dxa"/>
            <w:vAlign w:val="bottom"/>
            <w:vMerge w:val="restart"/>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Write-offs or Deductions</w:t>
            </w:r>
          </w:p>
        </w:tc>
        <w:tc>
          <w:tcPr>
            <w:tcW w:w="8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1"/>
                <w:szCs w:val="11"/>
                <w:b w:val="1"/>
                <w:bCs w:val="1"/>
                <w:color w:val="auto"/>
              </w:rPr>
              <w:t>Beginning of Year</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End of Year</w:t>
            </w:r>
          </w:p>
        </w:tc>
        <w:tc>
          <w:tcPr>
            <w:tcW w:w="0" w:type="dxa"/>
            <w:vAlign w:val="bottom"/>
          </w:tcPr>
          <w:p>
            <w:pPr>
              <w:spacing w:after="0"/>
              <w:rPr>
                <w:sz w:val="1"/>
                <w:szCs w:val="1"/>
                <w:color w:val="auto"/>
              </w:rPr>
            </w:pPr>
          </w:p>
        </w:tc>
      </w:tr>
      <w:tr>
        <w:trPr>
          <w:trHeight w:val="194"/>
        </w:trPr>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January 31, 2023</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receivable allowances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24,696</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57,142</w:t>
            </w:r>
          </w:p>
        </w:tc>
        <w:tc>
          <w:tcPr>
            <w:tcW w:w="6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(48,632)</w:t>
            </w:r>
          </w:p>
        </w:tc>
        <w:tc>
          <w:tcPr>
            <w:tcW w:w="80" w:type="dxa"/>
            <w:vAlign w:val="bottom"/>
          </w:tcPr>
          <w:p>
            <w:pPr>
              <w:spacing w:after="0"/>
              <w:rPr>
                <w:sz w:val="14"/>
                <w:szCs w:val="14"/>
                <w:color w:val="auto"/>
              </w:rPr>
            </w:pP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33,206</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asset valuation allowance</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40,965</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53,570</w:t>
            </w:r>
          </w:p>
        </w:tc>
        <w:tc>
          <w:tcPr>
            <w:tcW w:w="0" w:type="dxa"/>
            <w:vAlign w:val="bottom"/>
          </w:tcPr>
          <w:p>
            <w:pPr>
              <w:spacing w:after="0"/>
              <w:rPr>
                <w:sz w:val="1"/>
                <w:szCs w:val="1"/>
                <w:color w:val="auto"/>
              </w:rPr>
            </w:pPr>
          </w:p>
        </w:tc>
      </w:tr>
      <w:tr>
        <w:trPr>
          <w:trHeight w:val="169"/>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January 31, 2022</w:t>
            </w: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receivable allowances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36,844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50,467</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(62,615)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24,696</w:t>
            </w:r>
          </w:p>
        </w:tc>
        <w:tc>
          <w:tcPr>
            <w:tcW w:w="0" w:type="dxa"/>
            <w:vAlign w:val="bottom"/>
          </w:tcPr>
          <w:p>
            <w:pPr>
              <w:spacing w:after="0"/>
              <w:rPr>
                <w:sz w:val="1"/>
                <w:szCs w:val="1"/>
                <w:color w:val="auto"/>
              </w:rPr>
            </w:pPr>
          </w:p>
        </w:tc>
      </w:tr>
      <w:tr>
        <w:trPr>
          <w:trHeight w:val="168"/>
        </w:trPr>
        <w:tc>
          <w:tcPr>
            <w:tcW w:w="3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tax asset valuation allowance</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335,051</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5,511</w:t>
            </w:r>
          </w:p>
        </w:tc>
        <w:tc>
          <w:tcPr>
            <w:tcW w:w="6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(327,957)</w:t>
            </w:r>
          </w:p>
        </w:tc>
        <w:tc>
          <w:tcPr>
            <w:tcW w:w="80" w:type="dxa"/>
            <w:vAlign w:val="bottom"/>
          </w:tcPr>
          <w:p>
            <w:pPr>
              <w:spacing w:after="0"/>
              <w:rPr>
                <w:sz w:val="14"/>
                <w:szCs w:val="14"/>
                <w:color w:val="auto"/>
              </w:rPr>
            </w:pP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12,605</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January 31, 2021</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receivable allowances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7,634</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47,405</w:t>
            </w:r>
          </w:p>
        </w:tc>
        <w:tc>
          <w:tcPr>
            <w:tcW w:w="6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(18,195)</w:t>
            </w:r>
          </w:p>
        </w:tc>
        <w:tc>
          <w:tcPr>
            <w:tcW w:w="80" w:type="dxa"/>
            <w:vAlign w:val="bottom"/>
          </w:tcPr>
          <w:p>
            <w:pPr>
              <w:spacing w:after="0"/>
              <w:rPr>
                <w:sz w:val="14"/>
                <w:szCs w:val="14"/>
                <w:color w:val="auto"/>
              </w:rPr>
            </w:pP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36,844</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asset valuation allowance</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36,353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298,698</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335,051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All other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7280" w:type="dxa"/>
            <w:vAlign w:val="bottom"/>
            <w:gridSpan w:val="2"/>
          </w:tcPr>
          <w:p>
            <w:pPr>
              <w:ind w:left="2800"/>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tc>
      </w:tr>
      <w:tr>
        <w:trPr>
          <w:trHeight w:val="382"/>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Date: March 3, 2023</w:t>
            </w:r>
          </w:p>
        </w:tc>
        <w:tc>
          <w:tcPr>
            <w:tcW w:w="3320" w:type="dxa"/>
            <w:vAlign w:val="bottom"/>
          </w:tcPr>
          <w:p>
            <w:pPr>
              <w:ind w:left="2800"/>
              <w:spacing w:after="0"/>
              <w:rPr>
                <w:sz w:val="20"/>
                <w:szCs w:val="20"/>
                <w:color w:val="auto"/>
              </w:rPr>
            </w:pPr>
            <w:r>
              <w:rPr>
                <w:rFonts w:ascii="Times New Roman" w:cs="Times New Roman" w:eastAsia="Times New Roman" w:hAnsi="Times New Roman"/>
                <w:sz w:val="14"/>
                <w:szCs w:val="14"/>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Eric S. Yuan</w:t>
            </w:r>
          </w:p>
        </w:tc>
      </w:tr>
      <w:tr>
        <w:trPr>
          <w:trHeight w:val="167"/>
        </w:trPr>
        <w:tc>
          <w:tcPr>
            <w:tcW w:w="39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Eric S. Yuan</w:t>
            </w:r>
          </w:p>
        </w:tc>
      </w:tr>
      <w:tr>
        <w:trPr>
          <w:trHeight w:val="178"/>
        </w:trPr>
        <w:tc>
          <w:tcPr>
            <w:tcW w:w="39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39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382"/>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Date: March 3, 2023</w:t>
            </w:r>
          </w:p>
        </w:tc>
        <w:tc>
          <w:tcPr>
            <w:tcW w:w="3320" w:type="dxa"/>
            <w:vAlign w:val="bottom"/>
          </w:tcPr>
          <w:p>
            <w:pPr>
              <w:ind w:left="2800"/>
              <w:spacing w:after="0"/>
              <w:rPr>
                <w:sz w:val="20"/>
                <w:szCs w:val="20"/>
                <w:color w:val="auto"/>
              </w:rPr>
            </w:pPr>
            <w:r>
              <w:rPr>
                <w:rFonts w:ascii="Times New Roman" w:cs="Times New Roman" w:eastAsia="Times New Roman" w:hAnsi="Times New Roman"/>
                <w:sz w:val="14"/>
                <w:szCs w:val="14"/>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Kelly Steckelberg</w:t>
            </w:r>
          </w:p>
        </w:tc>
      </w:tr>
      <w:tr>
        <w:trPr>
          <w:trHeight w:val="167"/>
        </w:trPr>
        <w:tc>
          <w:tcPr>
            <w:tcW w:w="39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Kelly Steckelberg</w:t>
            </w:r>
          </w:p>
        </w:tc>
      </w:tr>
      <w:tr>
        <w:trPr>
          <w:trHeight w:val="178"/>
        </w:trPr>
        <w:tc>
          <w:tcPr>
            <w:tcW w:w="39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39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91" w:lineRule="exact"/>
        <w:rPr>
          <w:sz w:val="20"/>
          <w:szCs w:val="20"/>
          <w:color w:val="auto"/>
        </w:rPr>
      </w:pPr>
    </w:p>
    <w:p>
      <w:pPr>
        <w:jc w:val="both"/>
        <w:ind w:firstLine="347"/>
        <w:spacing w:after="0" w:line="250"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Eric S. Yuan, Kelly Steckelberg, and Aparna Bawa,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329" w:lineRule="exact"/>
        <w:rPr>
          <w:sz w:val="20"/>
          <w:szCs w:val="20"/>
          <w:color w:val="auto"/>
        </w:rPr>
      </w:pPr>
    </w:p>
    <w:p>
      <w:pPr>
        <w:jc w:val="both"/>
        <w:ind w:firstLine="347"/>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Annual Report on Form 10-K has been signed by the following persons on behalf of the registrant and in the capacities and on the dates indicated.</w:t>
      </w:r>
    </w:p>
    <w:p>
      <w:pPr>
        <w:sectPr>
          <w:pgSz w:w="11900" w:h="16838" w:orient="portrait"/>
          <w:cols w:equalWidth="0" w:num="1">
            <w:col w:w="11280"/>
          </w:cols>
          <w:pgMar w:left="300" w:top="125" w:right="319" w:bottom="1440" w:gutter="0" w:footer="0" w:header="0"/>
        </w:sectPr>
      </w:pPr>
    </w:p>
    <w:p>
      <w:pPr>
        <w:spacing w:after="0" w:line="167"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14605</wp:posOffset>
            </wp:positionV>
            <wp:extent cx="233108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137"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21590</wp:posOffset>
            </wp:positionV>
            <wp:extent cx="233108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3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Eric S. Yuan</w:t>
      </w:r>
    </w:p>
    <w:p>
      <w:pPr>
        <w:spacing w:after="0" w:line="125"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28575</wp:posOffset>
            </wp:positionV>
            <wp:extent cx="233108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42"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Kelly Steckelberg</w:t>
      </w:r>
    </w:p>
    <w:p>
      <w:pPr>
        <w:spacing w:after="0" w:line="157"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/s/ Shane Crehan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28575</wp:posOffset>
            </wp:positionV>
            <wp:extent cx="233108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42"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Shane Crehan</w:t>
      </w:r>
    </w:p>
    <w:p>
      <w:pPr>
        <w:spacing w:after="0" w:line="157"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/s/ Jonathan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21590</wp:posOffset>
            </wp:positionV>
            <wp:extent cx="233108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2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Jonathan Chadwick</w:t>
      </w:r>
    </w:p>
    <w:p>
      <w:pPr>
        <w:spacing w:after="0" w:line="147"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/s/ Peter Gassner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21590</wp:posOffset>
            </wp:positionV>
            <wp:extent cx="233108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3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Peter Gassner</w:t>
      </w:r>
    </w:p>
    <w:p>
      <w:pPr>
        <w:spacing w:after="0" w:line="157"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/s/ Cindy Hoots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21590</wp:posOffset>
            </wp:positionV>
            <wp:extent cx="233108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3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Cindy Hoots</w:t>
      </w:r>
    </w:p>
    <w:p>
      <w:pPr>
        <w:spacing w:after="0" w:line="157"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/s/ William R. McDermott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21590</wp:posOffset>
            </wp:positionV>
            <wp:extent cx="233108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2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William R. McDermott</w:t>
      </w:r>
    </w:p>
    <w:p>
      <w:pPr>
        <w:spacing w:after="0" w:line="147"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/s/ Herbert Raymond McMaster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21590</wp:posOffset>
            </wp:positionV>
            <wp:extent cx="233108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2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Herbert Raymond McMaster</w:t>
      </w:r>
    </w:p>
    <w:p>
      <w:pPr>
        <w:spacing w:after="0" w:line="147"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/s/ Janet Napolitano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21590</wp:posOffset>
            </wp:positionV>
            <wp:extent cx="233108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2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Janet Napolitano</w:t>
      </w:r>
    </w:p>
    <w:p>
      <w:pPr>
        <w:spacing w:after="0" w:line="147"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/s/ 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21590</wp:posOffset>
            </wp:positionV>
            <wp:extent cx="233108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2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Dan Scheinman</w:t>
      </w:r>
    </w:p>
    <w:p>
      <w:pPr>
        <w:spacing w:after="0" w:line="147"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/s/ Santiago Subotovsky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21590</wp:posOffset>
            </wp:positionV>
            <wp:extent cx="233108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2331085" cy="6985"/>
                    </a:xfrm>
                    <a:prstGeom prst="rect">
                      <a:avLst/>
                    </a:prstGeom>
                    <a:noFill/>
                  </pic:spPr>
                </pic:pic>
              </a:graphicData>
            </a:graphic>
          </wp:anchor>
        </w:drawing>
      </w:r>
    </w:p>
    <w:p>
      <w:pPr>
        <w:spacing w:after="0" w:line="3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4"/>
          <w:szCs w:val="14"/>
          <w:color w:val="auto"/>
        </w:rPr>
        <w:t>Santiago Subotovsky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9245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President, Chief Executive Officer and Director </w:t>
      </w:r>
      <w:r>
        <w:rPr>
          <w:rFonts w:ascii="Times New Roman" w:cs="Times New Roman" w:eastAsia="Times New Roman" w:hAnsi="Times New Roman"/>
          <w:sz w:val="14"/>
          <w:szCs w:val="14"/>
          <w:i w:val="1"/>
          <w:iCs w:val="1"/>
          <w:color w:val="auto"/>
        </w:rPr>
        <w:t>(Principal Executive Officer)</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Chief Financial Officer </w:t>
      </w:r>
      <w:r>
        <w:rPr>
          <w:rFonts w:ascii="Times New Roman" w:cs="Times New Roman" w:eastAsia="Times New Roman" w:hAnsi="Times New Roman"/>
          <w:sz w:val="14"/>
          <w:szCs w:val="14"/>
          <w:i w:val="1"/>
          <w:iCs w:val="1"/>
          <w:color w:val="auto"/>
        </w:rPr>
        <w:t>(Principal Financial Officer)</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Chief Accounting Officer </w:t>
      </w:r>
      <w:r>
        <w:rPr>
          <w:rFonts w:ascii="Times New Roman" w:cs="Times New Roman" w:eastAsia="Times New Roman" w:hAnsi="Times New Roman"/>
          <w:sz w:val="14"/>
          <w:szCs w:val="14"/>
          <w:i w:val="1"/>
          <w:iCs w:val="1"/>
          <w:color w:val="auto"/>
        </w:rPr>
        <w:t>(Principal Accounting Officer)</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14605</wp:posOffset>
            </wp:positionV>
            <wp:extent cx="145669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1456690" cy="698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3, 2023</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3, 2023</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3, 2023</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3, 2023</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3, 2023</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3, 2023</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3, 2023</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3, 2023</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3, 2023</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3, 2023</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3, 2023</w:t>
      </w:r>
    </w:p>
    <w:p>
      <w:pPr>
        <w:spacing w:after="0" w:line="423" w:lineRule="exact"/>
        <w:rPr>
          <w:sz w:val="20"/>
          <w:szCs w:val="20"/>
          <w:color w:val="auto"/>
        </w:rPr>
      </w:pPr>
    </w:p>
    <w:p>
      <w:pPr>
        <w:sectPr>
          <w:pgSz w:w="11900" w:h="16838" w:orient="portrait"/>
          <w:cols w:equalWidth="0" w:num="3">
            <w:col w:w="3400" w:space="720"/>
            <w:col w:w="5100" w:space="720"/>
            <w:col w:w="1340"/>
          </w:cols>
          <w:pgMar w:left="300" w:top="125" w:right="31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1280"/>
          </w:cols>
          <w:pgMar w:left="300" w:top="125" w:right="319" w:bottom="1440" w:gutter="0" w:footer="0" w:header="0"/>
          <w:type w:val="continuous"/>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REGISTRANT’S SECURITIES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PURSUANT TO SECTION 12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8" w:lineRule="exact"/>
        <w:rPr>
          <w:sz w:val="20"/>
          <w:szCs w:val="20"/>
          <w:color w:val="auto"/>
        </w:rPr>
      </w:pPr>
    </w:p>
    <w:p>
      <w:pPr>
        <w:jc w:val="both"/>
        <w:ind w:firstLine="347"/>
        <w:spacing w:after="0" w:line="241" w:lineRule="auto"/>
        <w:rPr>
          <w:sz w:val="20"/>
          <w:szCs w:val="20"/>
          <w:color w:val="auto"/>
        </w:rPr>
      </w:pPr>
      <w:r>
        <w:rPr>
          <w:rFonts w:ascii="Times New Roman" w:cs="Times New Roman" w:eastAsia="Times New Roman" w:hAnsi="Times New Roman"/>
          <w:sz w:val="17"/>
          <w:szCs w:val="17"/>
          <w:color w:val="auto"/>
        </w:rPr>
        <w:t>The following is a summary of the rights of our common and preferred stock and some of the provisions of our amended and restated certificate of incorporation, amended and restated bylaws, and relevant provisions of Delaware General Corporation Law. The descriptions herein are qualified in their entirety by our amended and restated certificate of incorporation and amended and restated bylaws, copies of which have been filed as exhibits to our Annual Report on Form 10-K, as well as the relevant provisions of Delaware General Corporation Law.</w:t>
      </w:r>
    </w:p>
    <w:p>
      <w:pPr>
        <w:spacing w:after="0" w:line="163"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for two classes of common stock: Class A common stock and Class B common stock, and it authorizes shares of undesignated preferred stock, the rights, preferences and privileges of which may be designated from time to time by our board of directors.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Our authorized capital stock consists of the following shares, all with a par value of $0.001 per share, of which:</w:t>
      </w:r>
    </w:p>
    <w:p>
      <w:pPr>
        <w:spacing w:after="0" w:line="186" w:lineRule="exact"/>
        <w:rPr>
          <w:sz w:val="20"/>
          <w:szCs w:val="20"/>
          <w:color w:val="auto"/>
        </w:rPr>
      </w:pPr>
    </w:p>
    <w:p>
      <w:pPr>
        <w:ind w:left="620" w:hanging="106"/>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2,000,000,000 shares are designated as Class A common stock;</w:t>
      </w:r>
    </w:p>
    <w:p>
      <w:pPr>
        <w:spacing w:after="0" w:line="207" w:lineRule="exact"/>
        <w:rPr>
          <w:rFonts w:ascii="Times New Roman" w:cs="Times New Roman" w:eastAsia="Times New Roman" w:hAnsi="Times New Roman"/>
          <w:sz w:val="17"/>
          <w:szCs w:val="17"/>
          <w:color w:val="auto"/>
        </w:rPr>
      </w:pPr>
    </w:p>
    <w:p>
      <w:pPr>
        <w:ind w:left="620" w:hanging="106"/>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300,000,000 shares are designated as Class B common stock; and</w:t>
      </w:r>
    </w:p>
    <w:p>
      <w:pPr>
        <w:spacing w:after="0" w:line="197" w:lineRule="exact"/>
        <w:rPr>
          <w:rFonts w:ascii="Times New Roman" w:cs="Times New Roman" w:eastAsia="Times New Roman" w:hAnsi="Times New Roman"/>
          <w:sz w:val="17"/>
          <w:szCs w:val="17"/>
          <w:color w:val="auto"/>
        </w:rPr>
      </w:pPr>
    </w:p>
    <w:p>
      <w:pPr>
        <w:ind w:left="620" w:hanging="106"/>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200,000,000 shares are designated as preferred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and Class B Common Stock</w:t>
      </w:r>
    </w:p>
    <w:p>
      <w:pPr>
        <w:spacing w:after="0" w:line="190" w:lineRule="exact"/>
        <w:rPr>
          <w:sz w:val="20"/>
          <w:szCs w:val="20"/>
          <w:color w:val="auto"/>
        </w:rPr>
      </w:pPr>
    </w:p>
    <w:p>
      <w:pPr>
        <w:jc w:val="both"/>
        <w:ind w:firstLine="347"/>
        <w:spacing w:after="0" w:line="252" w:lineRule="auto"/>
        <w:rPr>
          <w:sz w:val="20"/>
          <w:szCs w:val="20"/>
          <w:color w:val="auto"/>
        </w:rPr>
      </w:pPr>
      <w:r>
        <w:rPr>
          <w:rFonts w:ascii="Times New Roman" w:cs="Times New Roman" w:eastAsia="Times New Roman" w:hAnsi="Times New Roman"/>
          <w:sz w:val="17"/>
          <w:szCs w:val="17"/>
          <w:color w:val="auto"/>
        </w:rPr>
        <w:t>All issued and outstanding shares of our Class A common stock and Class B common stock are duly authorized, validly issued, fully paid and non-assessable. All authorized but unissued shares of our Class A common stock and Class B common stock are available for issuance by our board of directors without any further stockholder action, except as required by the listing standards of The Nasdaq Stock Market. Our amended and restated certificate of incorporation provides that, except with respect to voting rights and conversion rights, the Class A common stock and Class B common stock are treated equally and identically.</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90" w:lineRule="exact"/>
        <w:rPr>
          <w:sz w:val="20"/>
          <w:szCs w:val="20"/>
          <w:color w:val="auto"/>
        </w:rPr>
      </w:pPr>
    </w:p>
    <w:p>
      <w:pPr>
        <w:jc w:val="both"/>
        <w:ind w:firstLine="347"/>
        <w:spacing w:after="0" w:line="248" w:lineRule="auto"/>
        <w:rPr>
          <w:sz w:val="20"/>
          <w:szCs w:val="20"/>
          <w:color w:val="auto"/>
        </w:rPr>
      </w:pPr>
      <w:r>
        <w:rPr>
          <w:rFonts w:ascii="Times New Roman" w:cs="Times New Roman" w:eastAsia="Times New Roman" w:hAnsi="Times New Roman"/>
          <w:sz w:val="17"/>
          <w:szCs w:val="17"/>
          <w:color w:val="auto"/>
        </w:rPr>
        <w:t>Holders of Class A common stock are entitled to one vote per share on all matters to be voted upon by the stockholders, and holders of Class B common 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w:t>
      </w:r>
    </w:p>
    <w:p>
      <w:pPr>
        <w:sectPr>
          <w:pgSz w:w="11900" w:h="16838" w:orient="portrait"/>
          <w:cols w:equalWidth="0" w:num="1">
            <w:col w:w="11280"/>
          </w:cols>
          <w:pgMar w:left="300" w:top="129" w:right="319" w:bottom="1440" w:gutter="0" w:footer="0" w:header="0"/>
        </w:sectPr>
      </w:pPr>
    </w:p>
    <w:bookmarkStart w:id="129" w:name="page130"/>
    <w:bookmarkEnd w:id="129"/>
    <w:p>
      <w:pPr>
        <w:jc w:val="both"/>
        <w:spacing w:after="0" w:line="263" w:lineRule="auto"/>
        <w:rPr>
          <w:sz w:val="20"/>
          <w:szCs w:val="20"/>
          <w:color w:val="auto"/>
        </w:rPr>
      </w:pPr>
      <w:r>
        <w:rPr>
          <w:rFonts w:ascii="Times New Roman" w:cs="Times New Roman" w:eastAsia="Times New Roman" w:hAnsi="Times New Roman"/>
          <w:sz w:val="17"/>
          <w:szCs w:val="17"/>
          <w:color w:val="auto"/>
        </w:rPr>
        <w:t>Class A common stock or amend our certificate of incorporation to alter the powers, preferences or special rights of the common stock as a whole in a way that would adversely affect the holders of our Class A common stock.</w:t>
      </w:r>
    </w:p>
    <w:p>
      <w:pPr>
        <w:spacing w:after="0" w:line="155" w:lineRule="exact"/>
        <w:rPr>
          <w:sz w:val="20"/>
          <w:szCs w:val="20"/>
          <w:color w:val="auto"/>
        </w:rPr>
      </w:pPr>
    </w:p>
    <w:p>
      <w:pPr>
        <w:jc w:val="both"/>
        <w:ind w:firstLine="347"/>
        <w:spacing w:after="0" w:line="245" w:lineRule="auto"/>
        <w:rPr>
          <w:sz w:val="20"/>
          <w:szCs w:val="20"/>
          <w:color w:val="auto"/>
        </w:rPr>
      </w:pPr>
      <w:r>
        <w:rPr>
          <w:rFonts w:ascii="Times New Roman" w:cs="Times New Roman" w:eastAsia="Times New Roman" w:hAnsi="Times New Roman"/>
          <w:sz w:val="17"/>
          <w:szCs w:val="17"/>
          <w:color w:val="auto"/>
        </w:rPr>
        <w:t>In addition, Delaware law would permit holders of Class A common stock to vote separately, as a single class, if an amendment of our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61" w:lineRule="exact"/>
        <w:rPr>
          <w:sz w:val="20"/>
          <w:szCs w:val="20"/>
          <w:color w:val="auto"/>
        </w:rPr>
      </w:pPr>
    </w:p>
    <w:p>
      <w:pPr>
        <w:jc w:val="both"/>
        <w:ind w:firstLine="347"/>
        <w:spacing w:after="0" w:line="243"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capital stock, voting together as a single class (i.e., without a separate class vote of the holders of either the Class A common stick or the Class B common stock). As a result, the holders of a majority of the outstanding Class B common stock, which is entitled to 10 votes per share,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Our amended and restated certificate of incorporation does not provide for cumulative voting for the election of directors.</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Dividend Rights</w:t>
      </w:r>
    </w:p>
    <w:p>
      <w:pPr>
        <w:spacing w:after="0" w:line="201" w:lineRule="exact"/>
        <w:rPr>
          <w:sz w:val="20"/>
          <w:szCs w:val="20"/>
          <w:color w:val="auto"/>
        </w:rPr>
      </w:pPr>
    </w:p>
    <w:p>
      <w:pPr>
        <w:jc w:val="both"/>
        <w:ind w:firstLine="347"/>
        <w:spacing w:after="0" w:line="243" w:lineRule="auto"/>
        <w:rPr>
          <w:sz w:val="20"/>
          <w:szCs w:val="20"/>
          <w:color w:val="auto"/>
        </w:rPr>
      </w:pPr>
      <w:r>
        <w:rPr>
          <w:rFonts w:ascii="Times New Roman" w:cs="Times New Roman" w:eastAsia="Times New Roman" w:hAnsi="Times New Roman"/>
          <w:sz w:val="17"/>
          <w:szCs w:val="17"/>
          <w:color w:val="auto"/>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ectPr>
          <w:pgSz w:w="11900" w:h="16838" w:orient="portrait"/>
          <w:cols w:equalWidth="0" w:num="1">
            <w:col w:w="11280"/>
          </w:cols>
          <w:pgMar w:left="300" w:top="1137" w:right="319" w:bottom="1440" w:gutter="0" w:footer="0" w:header="0"/>
        </w:sectPr>
      </w:pPr>
    </w:p>
    <w:bookmarkStart w:id="130" w:name="page131"/>
    <w:bookmarkEnd w:id="130"/>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Right to Receive Liquidation Distributions</w:t>
      </w:r>
    </w:p>
    <w:p>
      <w:pPr>
        <w:spacing w:after="0" w:line="190" w:lineRule="exact"/>
        <w:rPr>
          <w:sz w:val="20"/>
          <w:szCs w:val="20"/>
          <w:color w:val="auto"/>
        </w:rPr>
      </w:pPr>
    </w:p>
    <w:p>
      <w:pPr>
        <w:jc w:val="both"/>
        <w:ind w:firstLine="347"/>
        <w:spacing w:after="0" w:line="244" w:lineRule="auto"/>
        <w:rPr>
          <w:sz w:val="20"/>
          <w:szCs w:val="20"/>
          <w:color w:val="auto"/>
        </w:rPr>
      </w:pPr>
      <w:r>
        <w:rPr>
          <w:rFonts w:ascii="Times New Roman" w:cs="Times New Roman" w:eastAsia="Times New Roman" w:hAnsi="Times New Roman"/>
          <w:sz w:val="17"/>
          <w:szCs w:val="17"/>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Subdivisions and Combinations</w:t>
      </w:r>
    </w:p>
    <w:p>
      <w:pPr>
        <w:spacing w:after="0" w:line="190" w:lineRule="exact"/>
        <w:rPr>
          <w:sz w:val="20"/>
          <w:szCs w:val="20"/>
          <w:color w:val="auto"/>
        </w:rPr>
      </w:pPr>
    </w:p>
    <w:p>
      <w:pPr>
        <w:jc w:val="both"/>
        <w:ind w:firstLine="347"/>
        <w:spacing w:after="0" w:line="248" w:lineRule="auto"/>
        <w:rPr>
          <w:sz w:val="20"/>
          <w:szCs w:val="20"/>
          <w:color w:val="auto"/>
        </w:rPr>
      </w:pPr>
      <w:r>
        <w:rPr>
          <w:rFonts w:ascii="Times New Roman" w:cs="Times New Roman" w:eastAsia="Times New Roman" w:hAnsi="Times New Roman"/>
          <w:sz w:val="17"/>
          <w:szCs w:val="17"/>
          <w:color w:val="auto"/>
        </w:rPr>
        <w:t>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Conversion</w:t>
      </w:r>
    </w:p>
    <w:p>
      <w:pPr>
        <w:spacing w:after="0" w:line="201" w:lineRule="exact"/>
        <w:rPr>
          <w:sz w:val="20"/>
          <w:szCs w:val="20"/>
          <w:color w:val="auto"/>
        </w:rPr>
      </w:pPr>
    </w:p>
    <w:p>
      <w:pPr>
        <w:jc w:val="both"/>
        <w:ind w:firstLine="347"/>
        <w:spacing w:after="0" w:line="244" w:lineRule="auto"/>
        <w:rPr>
          <w:sz w:val="20"/>
          <w:szCs w:val="20"/>
          <w:color w:val="auto"/>
        </w:rPr>
      </w:pPr>
      <w:r>
        <w:rPr>
          <w:rFonts w:ascii="Times New Roman" w:cs="Times New Roman" w:eastAsia="Times New Roman" w:hAnsi="Times New Roman"/>
          <w:sz w:val="17"/>
          <w:szCs w:val="17"/>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the date that is six months following the death or incapacity of Eric S. Yuan, (ii) the date that is six months following the date that Mr. Yuan ceases providing services to us or his employment is terminated by us for cause, (iii) the date specified by the holders of a majority of the then outstanding shares of Class B common stock, voting separately as a class and (iv) the 15-year anniversary of the closing of our initial public offering.</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Other Matters</w:t>
      </w:r>
    </w:p>
    <w:p>
      <w:pPr>
        <w:spacing w:after="0" w:line="190"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7"/>
          <w:szCs w:val="17"/>
          <w:color w:val="auto"/>
        </w:rPr>
        <w:t>The Class A common stock and Class B common stock have no preemptive rights pursuant to the terms of our amended and restated certificate of incorporation and our amended and</w:t>
      </w:r>
    </w:p>
    <w:p>
      <w:pPr>
        <w:sectPr>
          <w:pgSz w:w="11900" w:h="16838" w:orient="portrait"/>
          <w:cols w:equalWidth="0" w:num="1">
            <w:col w:w="11280"/>
          </w:cols>
          <w:pgMar w:left="300" w:top="1440" w:right="319" w:bottom="1440" w:gutter="0" w:footer="0" w:header="0"/>
        </w:sectPr>
      </w:pPr>
    </w:p>
    <w:bookmarkStart w:id="131" w:name="page132"/>
    <w:bookmarkEnd w:id="131"/>
    <w:p>
      <w:pPr>
        <w:jc w:val="both"/>
        <w:spacing w:after="0" w:line="263" w:lineRule="auto"/>
        <w:rPr>
          <w:sz w:val="20"/>
          <w:szCs w:val="20"/>
          <w:color w:val="auto"/>
        </w:rPr>
      </w:pPr>
      <w:r>
        <w:rPr>
          <w:rFonts w:ascii="Times New Roman" w:cs="Times New Roman" w:eastAsia="Times New Roman" w:hAnsi="Times New Roman"/>
          <w:sz w:val="17"/>
          <w:szCs w:val="17"/>
          <w:color w:val="auto"/>
        </w:rPr>
        <w:t>restated bylaws. There are no redemption or sinking fund provisions applicable to the Class A common stock and Class B common stock. All outstanding shares of our Class A common stock are fully paid and non-assessable.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90" w:lineRule="exact"/>
        <w:rPr>
          <w:sz w:val="20"/>
          <w:szCs w:val="20"/>
          <w:color w:val="auto"/>
        </w:rPr>
      </w:pPr>
    </w:p>
    <w:p>
      <w:pPr>
        <w:jc w:val="both"/>
        <w:ind w:firstLine="347"/>
        <w:spacing w:after="0" w:line="245" w:lineRule="auto"/>
        <w:rPr>
          <w:sz w:val="20"/>
          <w:szCs w:val="20"/>
          <w:color w:val="auto"/>
        </w:rPr>
      </w:pPr>
      <w:r>
        <w:rPr>
          <w:rFonts w:ascii="Times New Roman" w:cs="Times New Roman" w:eastAsia="Times New Roman" w:hAnsi="Times New Roman"/>
          <w:sz w:val="17"/>
          <w:szCs w:val="17"/>
          <w:color w:val="auto"/>
        </w:rPr>
        <w:t>Our board of directors may, without further action by our stockholders, fix the rights, preferences, privileges and restrictions of up to an aggregate of 200,000,000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Effects of Delaware Law and Our Certificate of Incorporation and Bylaws</w:t>
      </w:r>
    </w:p>
    <w:p>
      <w:pPr>
        <w:spacing w:after="0" w:line="190" w:lineRule="exact"/>
        <w:rPr>
          <w:sz w:val="20"/>
          <w:szCs w:val="20"/>
          <w:color w:val="auto"/>
        </w:rPr>
      </w:pPr>
    </w:p>
    <w:p>
      <w:pPr>
        <w:jc w:val="both"/>
        <w:ind w:firstLine="347"/>
        <w:spacing w:after="0" w:line="245" w:lineRule="auto"/>
        <w:rPr>
          <w:sz w:val="20"/>
          <w:szCs w:val="20"/>
          <w:color w:val="auto"/>
        </w:rPr>
      </w:pPr>
      <w:r>
        <w:rPr>
          <w:rFonts w:ascii="Times New Roman" w:cs="Times New Roman" w:eastAsia="Times New Roman" w:hAnsi="Times New Roman"/>
          <w:sz w:val="17"/>
          <w:szCs w:val="17"/>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69" w:lineRule="exact"/>
        <w:rPr>
          <w:sz w:val="20"/>
          <w:szCs w:val="20"/>
          <w:color w:val="auto"/>
        </w:rPr>
      </w:pPr>
    </w:p>
    <w:p>
      <w:pPr>
        <w:jc w:val="both"/>
        <w:ind w:firstLine="347"/>
        <w:spacing w:after="0" w:line="248" w:lineRule="auto"/>
        <w:rPr>
          <w:sz w:val="20"/>
          <w:szCs w:val="20"/>
          <w:color w:val="auto"/>
        </w:rPr>
      </w:pPr>
      <w:r>
        <w:rPr>
          <w:rFonts w:ascii="Times New Roman" w:cs="Times New Roman" w:eastAsia="Times New Roman" w:hAnsi="Times New Roman"/>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Dual Class Stock</w:t>
      </w:r>
    </w:p>
    <w:p>
      <w:pPr>
        <w:spacing w:after="0" w:line="201" w:lineRule="exact"/>
        <w:rPr>
          <w:sz w:val="20"/>
          <w:szCs w:val="20"/>
          <w:color w:val="auto"/>
        </w:rPr>
      </w:pPr>
    </w:p>
    <w:p>
      <w:pPr>
        <w:jc w:val="both"/>
        <w:ind w:firstLine="347"/>
        <w:spacing w:after="0" w:line="255" w:lineRule="auto"/>
        <w:rPr>
          <w:sz w:val="20"/>
          <w:szCs w:val="20"/>
          <w:color w:val="auto"/>
        </w:rPr>
      </w:pPr>
      <w:r>
        <w:rPr>
          <w:rFonts w:ascii="Times New Roman" w:cs="Times New Roman" w:eastAsia="Times New Roman" w:hAnsi="Times New Roman"/>
          <w:sz w:val="17"/>
          <w:szCs w:val="17"/>
          <w:color w:val="auto"/>
        </w:rPr>
        <w:t>As described above,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ectPr>
          <w:pgSz w:w="11900" w:h="16838" w:orient="portrait"/>
          <w:cols w:equalWidth="0" w:num="1">
            <w:col w:w="11280"/>
          </w:cols>
          <w:pgMar w:left="300" w:top="1137" w:right="319" w:bottom="1440" w:gutter="0" w:footer="0" w:header="0"/>
        </w:sectPr>
      </w:pPr>
    </w:p>
    <w:bookmarkStart w:id="132" w:name="page133"/>
    <w:bookmarkEnd w:id="132"/>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Stockholder Meetings</w:t>
      </w:r>
    </w:p>
    <w:p>
      <w:pPr>
        <w:spacing w:after="0" w:line="190"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7"/>
          <w:szCs w:val="17"/>
          <w:color w:val="auto"/>
        </w:rPr>
        <w:t>Our amended and restated bylaws provide that a special meeting of stockholders may be called only by our chairperson of the board, chief executive officer, or by a resolution adopted by a majority of our board of directors.</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Requirements for Advance Notification of Stockholder Nominations and Proposals</w:t>
      </w:r>
    </w:p>
    <w:p>
      <w:pPr>
        <w:spacing w:after="0" w:line="201" w:lineRule="exact"/>
        <w:rPr>
          <w:sz w:val="20"/>
          <w:szCs w:val="20"/>
          <w:color w:val="auto"/>
        </w:rPr>
      </w:pPr>
    </w:p>
    <w:p>
      <w:pPr>
        <w:jc w:val="both"/>
        <w:ind w:firstLine="347"/>
        <w:spacing w:after="0" w:line="249" w:lineRule="auto"/>
        <w:rPr>
          <w:sz w:val="20"/>
          <w:szCs w:val="20"/>
          <w:color w:val="auto"/>
        </w:rPr>
      </w:pPr>
      <w:r>
        <w:rPr>
          <w:rFonts w:ascii="Times New Roman" w:cs="Times New Roman" w:eastAsia="Times New Roman" w:hAnsi="Times New Roman"/>
          <w:sz w:val="17"/>
          <w:szCs w:val="17"/>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Elimination of Stockholder Action by Written Consent</w:t>
      </w:r>
    </w:p>
    <w:p>
      <w:pPr>
        <w:spacing w:after="0" w:line="190"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eliminate the right of stockholders to act by written consent without a meeting.</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Staggered Board</w:t>
      </w:r>
    </w:p>
    <w:p>
      <w:pPr>
        <w:spacing w:after="0" w:line="190" w:lineRule="exact"/>
        <w:rPr>
          <w:sz w:val="20"/>
          <w:szCs w:val="20"/>
          <w:color w:val="auto"/>
        </w:rPr>
      </w:pPr>
    </w:p>
    <w:p>
      <w:pPr>
        <w:jc w:val="both"/>
        <w:ind w:firstLine="347"/>
        <w:spacing w:after="0" w:line="255" w:lineRule="auto"/>
        <w:rPr>
          <w:sz w:val="20"/>
          <w:szCs w:val="20"/>
          <w:color w:val="auto"/>
        </w:rPr>
      </w:pPr>
      <w:r>
        <w:rPr>
          <w:rFonts w:ascii="Times New Roman" w:cs="Times New Roman" w:eastAsia="Times New Roman" w:hAnsi="Times New Roman"/>
          <w:sz w:val="17"/>
          <w:szCs w:val="17"/>
          <w:color w:val="auto"/>
        </w:rPr>
        <w:t>Our board of directors is divided into three classes. The directors in each class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w:t>
      </w:r>
    </w:p>
    <w:p>
      <w:pPr>
        <w:spacing w:after="0" w:line="201" w:lineRule="exact"/>
        <w:rPr>
          <w:sz w:val="20"/>
          <w:szCs w:val="20"/>
          <w:color w:val="auto"/>
        </w:rPr>
      </w:pPr>
    </w:p>
    <w:p>
      <w:pPr>
        <w:jc w:val="both"/>
        <w:ind w:firstLine="347"/>
        <w:spacing w:after="0" w:line="263"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no member of our board of directors may be removed from office by our stockholders except for cause.</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Stockholders Not Entitled to Cumulative Voting</w:t>
      </w:r>
    </w:p>
    <w:p>
      <w:pPr>
        <w:spacing w:after="0" w:line="190" w:lineRule="exact"/>
        <w:rPr>
          <w:sz w:val="20"/>
          <w:szCs w:val="20"/>
          <w:color w:val="auto"/>
        </w:rPr>
      </w:pPr>
    </w:p>
    <w:p>
      <w:pPr>
        <w:jc w:val="both"/>
        <w:ind w:firstLine="347"/>
        <w:spacing w:after="0" w:line="255" w:lineRule="auto"/>
        <w:rPr>
          <w:sz w:val="20"/>
          <w:szCs w:val="20"/>
          <w:color w:val="auto"/>
        </w:rPr>
      </w:pPr>
      <w:r>
        <w:rPr>
          <w:rFonts w:ascii="Times New Roman" w:cs="Times New Roman" w:eastAsia="Times New Roman" w:hAnsi="Times New Roman"/>
          <w:sz w:val="17"/>
          <w:szCs w:val="17"/>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Delaware Anti-Takeover Statute</w:t>
      </w:r>
    </w:p>
    <w:p>
      <w:pPr>
        <w:spacing w:after="0" w:line="201" w:lineRule="exact"/>
        <w:rPr>
          <w:sz w:val="20"/>
          <w:szCs w:val="20"/>
          <w:color w:val="auto"/>
        </w:rPr>
      </w:pPr>
    </w:p>
    <w:p>
      <w:pPr>
        <w:jc w:val="both"/>
        <w:ind w:firstLine="347"/>
        <w:spacing w:after="0" w:line="249" w:lineRule="auto"/>
        <w:rPr>
          <w:sz w:val="20"/>
          <w:szCs w:val="20"/>
          <w:color w:val="auto"/>
        </w:rPr>
      </w:pPr>
      <w:r>
        <w:rPr>
          <w:rFonts w:ascii="Times New Roman" w:cs="Times New Roman" w:eastAsia="Times New Roman" w:hAnsi="Times New Roman"/>
          <w:sz w:val="17"/>
          <w:szCs w:val="17"/>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w:t>
      </w:r>
    </w:p>
    <w:p>
      <w:pPr>
        <w:sectPr>
          <w:pgSz w:w="11900" w:h="16838" w:orient="portrait"/>
          <w:cols w:equalWidth="0" w:num="1">
            <w:col w:w="11280"/>
          </w:cols>
          <w:pgMar w:left="300" w:top="1324" w:right="319" w:bottom="1440" w:gutter="0" w:footer="0" w:header="0"/>
        </w:sectPr>
      </w:pPr>
    </w:p>
    <w:bookmarkStart w:id="133" w:name="page134"/>
    <w:bookmarkEnd w:id="133"/>
    <w:p>
      <w:pPr>
        <w:jc w:val="both"/>
        <w:spacing w:after="0" w:line="248" w:lineRule="auto"/>
        <w:rPr>
          <w:sz w:val="20"/>
          <w:szCs w:val="20"/>
          <w:color w:val="auto"/>
        </w:rPr>
      </w:pPr>
      <w:r>
        <w:rPr>
          <w:rFonts w:ascii="Times New Roman" w:cs="Times New Roman" w:eastAsia="Times New Roman" w:hAnsi="Times New Roman"/>
          <w:sz w:val="17"/>
          <w:szCs w:val="17"/>
          <w:color w:val="auto"/>
        </w:rPr>
        <w:t>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Choice of Forum</w:t>
      </w:r>
    </w:p>
    <w:p>
      <w:pPr>
        <w:spacing w:after="0" w:line="190" w:lineRule="exact"/>
        <w:rPr>
          <w:sz w:val="20"/>
          <w:szCs w:val="20"/>
          <w:color w:val="auto"/>
        </w:rPr>
      </w:pPr>
    </w:p>
    <w:p>
      <w:pPr>
        <w:jc w:val="both"/>
        <w:ind w:firstLine="347"/>
        <w:spacing w:after="0" w:line="24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 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Amendment of Charter Provisions</w:t>
      </w:r>
    </w:p>
    <w:p>
      <w:pPr>
        <w:spacing w:after="0" w:line="190"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7"/>
          <w:szCs w:val="17"/>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34" w:lineRule="exact"/>
        <w:rPr>
          <w:sz w:val="20"/>
          <w:szCs w:val="20"/>
          <w:color w:val="auto"/>
        </w:rPr>
      </w:pPr>
    </w:p>
    <w:p>
      <w:pPr>
        <w:jc w:val="both"/>
        <w:ind w:firstLine="347"/>
        <w:spacing w:after="0" w:line="248" w:lineRule="auto"/>
        <w:rPr>
          <w:sz w:val="20"/>
          <w:szCs w:val="20"/>
          <w:color w:val="auto"/>
        </w:rPr>
      </w:pPr>
      <w:r>
        <w:rPr>
          <w:rFonts w:ascii="Times New Roman" w:cs="Times New Roman" w:eastAsia="Times New Roman" w:hAnsi="Times New Roman"/>
          <w:sz w:val="17"/>
          <w:szCs w:val="17"/>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ectPr>
          <w:pgSz w:w="11900" w:h="16838" w:orient="portrait"/>
          <w:cols w:equalWidth="0" w:num="1">
            <w:col w:w="11280"/>
          </w:cols>
          <w:pgMar w:left="300" w:top="1137" w:right="319" w:bottom="1440" w:gutter="0" w:footer="0" w:header="0"/>
        </w:sectPr>
      </w:pPr>
    </w:p>
    <w:bookmarkStart w:id="134" w:name="page135"/>
    <w:bookmarkEnd w:id="134"/>
    <w:p>
      <w:pPr>
        <w:ind w:firstLine="347"/>
        <w:spacing w:after="0" w:line="263" w:lineRule="auto"/>
        <w:rPr>
          <w:sz w:val="20"/>
          <w:szCs w:val="20"/>
          <w:color w:val="auto"/>
        </w:rPr>
      </w:pPr>
      <w:r>
        <w:rPr>
          <w:rFonts w:ascii="Times New Roman" w:cs="Times New Roman" w:eastAsia="Times New Roman" w:hAnsi="Times New Roman"/>
          <w:sz w:val="17"/>
          <w:szCs w:val="17"/>
          <w:color w:val="auto"/>
        </w:rPr>
        <w:t>The transfer agent and registrar for our Class A common stock and Class B common stock is Computershare Trust Company, N.A. The transfer agent and registrar’s address is 250 Royall Street, Canton, Massachusetts 02021.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Listing</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Our Class A common stock is listed on The Nasdaq Global Select Market under the symbol “ZM.”</w:t>
      </w:r>
    </w:p>
    <w:p>
      <w:pPr>
        <w:sectPr>
          <w:pgSz w:w="11900" w:h="16838" w:orient="portrait"/>
          <w:cols w:equalWidth="0" w:num="1">
            <w:col w:w="11280"/>
          </w:cols>
          <w:pgMar w:left="300" w:top="1328" w:right="31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7"/>
          <w:szCs w:val="17"/>
          <w:color w:val="auto"/>
        </w:rPr>
        <w:t>Exhibit 10.7</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Non-Employee Director Compensation Policy</w:t>
      </w:r>
    </w:p>
    <w:p>
      <w:pPr>
        <w:spacing w:after="0" w:line="165"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Each member of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who is not also serving as an employee of or consultant to Zoom Video Communications,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or any of its subsidiaries (each such member, an “</w:t>
      </w:r>
      <w:r>
        <w:rPr>
          <w:rFonts w:ascii="Times New Roman" w:cs="Times New Roman" w:eastAsia="Times New Roman" w:hAnsi="Times New Roman"/>
          <w:sz w:val="17"/>
          <w:szCs w:val="17"/>
          <w:b w:val="1"/>
          <w:bCs w:val="1"/>
          <w:i w:val="1"/>
          <w:iCs w:val="1"/>
          <w:color w:val="auto"/>
        </w:rPr>
        <w:t>Eligible Director</w:t>
      </w:r>
      <w:r>
        <w:rPr>
          <w:rFonts w:ascii="Times New Roman" w:cs="Times New Roman" w:eastAsia="Times New Roman" w:hAnsi="Times New Roman"/>
          <w:sz w:val="17"/>
          <w:szCs w:val="17"/>
          <w:color w:val="auto"/>
        </w:rPr>
        <w:t>”) will receive the compensation described in this Non-Employee Director Compensation Policy (this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for his or her Board service. This Policy first became effective commencing as of May 1, 2019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has been subsequently amended, most recently on November 17, 2022, and may be further amended at any time in the sole discretion of the Board or the Compensation Committee of the Board. An Eligible Director may decline all or any portion of his or her compensation by giving notice to the Company prior to the date cash may be paid or equity awards are to be granted, as the case may be.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Cash Compensation</w:t>
      </w:r>
    </w:p>
    <w:p>
      <w:pPr>
        <w:spacing w:after="0" w:line="1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Each Eligible Director will be eligible to receive the annual cash compensation amounts set forth below upon the effective date of such Eligible Director’s first election or appointment to the Board (the “</w:t>
      </w:r>
      <w:r>
        <w:rPr>
          <w:rFonts w:ascii="Times New Roman" w:cs="Times New Roman" w:eastAsia="Times New Roman" w:hAnsi="Times New Roman"/>
          <w:sz w:val="17"/>
          <w:szCs w:val="17"/>
          <w:b w:val="1"/>
          <w:bCs w:val="1"/>
          <w:i w:val="1"/>
          <w:iCs w:val="1"/>
          <w:color w:val="auto"/>
        </w:rPr>
        <w:t>Eligibility Date</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If an Eligible Director’s Eligibility Date is other than the first day of a fiscal quarter of the Company, each annual retainer set forth below will be pro-rated based on days served in the applicable fiscal year following the Eligibility Date, with the pro-rated amount paid for the first fiscal quarter that includes the Eligibility Date and regular full quarterly payments thereafter; provided, however, that if the Eligible Director leaves service prior to the last day of a fiscal quarter, the fee for such fiscal quarter will be pro-rated. All annual cash fees are vested upon payment and are payable to such Eligible Directors (or their designee) in equal quarterly installments in arrears on the last day of each of the Company’s fiscal quarters in which the service occurred.</w:t>
      </w:r>
    </w:p>
    <w:p>
      <w:pPr>
        <w:spacing w:after="0" w:line="136" w:lineRule="exact"/>
        <w:rPr>
          <w:sz w:val="20"/>
          <w:szCs w:val="20"/>
          <w:color w:val="auto"/>
        </w:rPr>
      </w:pPr>
    </w:p>
    <w:p>
      <w:pPr>
        <w:ind w:left="300" w:hanging="295"/>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Board Service Retainer</w:t>
      </w:r>
      <w:r>
        <w:rPr>
          <w:rFonts w:ascii="Times New Roman" w:cs="Times New Roman" w:eastAsia="Times New Roman" w:hAnsi="Times New Roman"/>
          <w:sz w:val="17"/>
          <w:szCs w:val="17"/>
          <w:color w:val="auto"/>
        </w:rPr>
        <w:t>:</w:t>
      </w:r>
    </w:p>
    <w:p>
      <w:pPr>
        <w:ind w:left="800" w:hanging="286"/>
        <w:spacing w:after="0" w:line="208" w:lineRule="auto"/>
        <w:tabs>
          <w:tab w:leader="none" w:pos="8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Eligible Directors: $45,000</w:t>
      </w:r>
    </w:p>
    <w:p>
      <w:pPr>
        <w:ind w:left="820" w:hanging="306"/>
        <w:spacing w:after="0" w:line="208" w:lineRule="auto"/>
        <w:tabs>
          <w:tab w:leader="none" w:pos="8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 of the Board Service Retainer (in addition to Eligible Director Service Retainer): $20,000</w:t>
      </w:r>
    </w:p>
    <w:p>
      <w:pPr>
        <w:ind w:left="800" w:hanging="286"/>
        <w:spacing w:after="0"/>
        <w:tabs>
          <w:tab w:leader="none" w:pos="8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Independent Director (in addition to Eligible Director Service Retainer): $20,000</w:t>
      </w:r>
    </w:p>
    <w:p>
      <w:pPr>
        <w:spacing w:after="0" w:line="139" w:lineRule="exact"/>
        <w:rPr>
          <w:rFonts w:ascii="Times New Roman" w:cs="Times New Roman" w:eastAsia="Times New Roman" w:hAnsi="Times New Roman"/>
          <w:sz w:val="17"/>
          <w:szCs w:val="17"/>
          <w:color w:val="auto"/>
        </w:rPr>
      </w:pPr>
    </w:p>
    <w:p>
      <w:pPr>
        <w:ind w:left="300" w:hanging="295"/>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Committee Chair Service Retainer (in addition to Committee Member Service Retainer)</w:t>
      </w:r>
      <w:r>
        <w:rPr>
          <w:rFonts w:ascii="Times New Roman" w:cs="Times New Roman" w:eastAsia="Times New Roman" w:hAnsi="Times New Roman"/>
          <w:sz w:val="17"/>
          <w:szCs w:val="17"/>
          <w:color w:val="auto"/>
        </w:rPr>
        <w:t>:</w:t>
      </w:r>
    </w:p>
    <w:p>
      <w:pPr>
        <w:ind w:left="800" w:hanging="286"/>
        <w:spacing w:after="0" w:line="208" w:lineRule="auto"/>
        <w:tabs>
          <w:tab w:leader="none" w:pos="8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 of the Audit Committee: $15,000</w:t>
      </w:r>
    </w:p>
    <w:p>
      <w:pPr>
        <w:ind w:left="820" w:hanging="306"/>
        <w:spacing w:after="0" w:line="208" w:lineRule="auto"/>
        <w:tabs>
          <w:tab w:leader="none" w:pos="8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 of the Compensation Committee: $10,000</w:t>
      </w:r>
    </w:p>
    <w:p>
      <w:pPr>
        <w:ind w:left="800" w:hanging="286"/>
        <w:spacing w:after="0" w:line="208" w:lineRule="auto"/>
        <w:tabs>
          <w:tab w:leader="none" w:pos="8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 of the Nominating and Corporate Governance Committee: $5,000</w:t>
      </w:r>
    </w:p>
    <w:p>
      <w:pPr>
        <w:ind w:left="820" w:hanging="306"/>
        <w:spacing w:after="0"/>
        <w:tabs>
          <w:tab w:leader="none" w:pos="8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 of the Cybersecurity Risk Management Committee: $10,000</w:t>
      </w:r>
    </w:p>
    <w:p>
      <w:pPr>
        <w:spacing w:after="0" w:line="139" w:lineRule="exact"/>
        <w:rPr>
          <w:rFonts w:ascii="Times New Roman" w:cs="Times New Roman" w:eastAsia="Times New Roman" w:hAnsi="Times New Roman"/>
          <w:sz w:val="17"/>
          <w:szCs w:val="17"/>
          <w:color w:val="auto"/>
        </w:rPr>
      </w:pPr>
    </w:p>
    <w:p>
      <w:pPr>
        <w:ind w:left="300" w:hanging="295"/>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Committee Member Service Retainer</w:t>
      </w:r>
      <w:r>
        <w:rPr>
          <w:rFonts w:ascii="Times New Roman" w:cs="Times New Roman" w:eastAsia="Times New Roman" w:hAnsi="Times New Roman"/>
          <w:sz w:val="17"/>
          <w:szCs w:val="17"/>
          <w:color w:val="auto"/>
        </w:rPr>
        <w:t>:</w:t>
      </w:r>
    </w:p>
    <w:p>
      <w:pPr>
        <w:ind w:left="800" w:hanging="286"/>
        <w:spacing w:after="0" w:line="208" w:lineRule="auto"/>
        <w:tabs>
          <w:tab w:leader="none" w:pos="8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Committee: $12,500</w:t>
      </w:r>
    </w:p>
    <w:p>
      <w:pPr>
        <w:ind w:left="820" w:hanging="306"/>
        <w:spacing w:after="0" w:line="208" w:lineRule="auto"/>
        <w:tabs>
          <w:tab w:leader="none" w:pos="8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Compensation Committee: $10,000</w:t>
      </w:r>
    </w:p>
    <w:p>
      <w:pPr>
        <w:ind w:left="800" w:hanging="286"/>
        <w:spacing w:after="0" w:line="208" w:lineRule="auto"/>
        <w:tabs>
          <w:tab w:leader="none" w:pos="80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Nominating and Corporate Governance Committee: $5,000</w:t>
      </w:r>
    </w:p>
    <w:p>
      <w:pPr>
        <w:ind w:left="860" w:hanging="346"/>
        <w:spacing w:after="0"/>
        <w:tabs>
          <w:tab w:leader="none" w:pos="8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Cybersecurity Risk Management Committee: $10,000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w:t>
      </w:r>
    </w:p>
    <w:p>
      <w:pPr>
        <w:spacing w:after="0" w:line="165"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The equity compensation set forth below will be granted under the Company’s 2019 Equity Incentive Plan or any successor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All equity compensation granted under this Policy will be in the form of Restricted Stock Units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(as defined in the Plan). All RSUs granted under this Policy will vest as described below subject to the Eligible Director’s Continuous Services (as defined in the Plan) through such vesting dates on the terms specified below; provided, however, that all RSUs granted under this Policy will accelerate and vest in full upon (i) the Eligible Director’s death or Disability (as defined in the Plan) or (ii) a Change in Control (as defined in the Plan), subject in each case to the Eligible Director’s Continuous Service through such date. The number of shares underlying each of the RSUs granted under this Policy will be determined by dividing the applicable grant value for such RSU by the 60-trading day trailing average closing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08" w:right="319" w:bottom="1440" w:gutter="0" w:footer="0" w:header="0"/>
        </w:sectPr>
      </w:pPr>
    </w:p>
    <w:bookmarkStart w:id="136" w:name="page137"/>
    <w:bookmarkEnd w:id="136"/>
    <w:p>
      <w:pPr>
        <w:jc w:val="right"/>
        <w:ind w:right="20"/>
        <w:spacing w:after="0"/>
        <w:rPr>
          <w:sz w:val="20"/>
          <w:szCs w:val="20"/>
          <w:color w:val="auto"/>
        </w:rPr>
      </w:pPr>
      <w:r>
        <w:rPr>
          <w:rFonts w:ascii="Times New Roman" w:cs="Times New Roman" w:eastAsia="Times New Roman" w:hAnsi="Times New Roman"/>
          <w:sz w:val="17"/>
          <w:szCs w:val="17"/>
          <w:color w:val="auto"/>
        </w:rPr>
        <w:t>Exhibit 10.7</w:t>
      </w:r>
    </w:p>
    <w:p>
      <w:pPr>
        <w:spacing w:after="0" w:line="200" w:lineRule="exact"/>
        <w:rPr>
          <w:sz w:val="20"/>
          <w:szCs w:val="20"/>
          <w:color w:val="auto"/>
        </w:rPr>
      </w:pPr>
    </w:p>
    <w:p>
      <w:pPr>
        <w:spacing w:after="0" w:line="30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7"/>
          <w:szCs w:val="17"/>
          <w:color w:val="auto"/>
        </w:rPr>
        <w:t>stock price of the Company’s Class A common stock on Nasdaq ending on and including the date that is seven calendar days prior to the grant date of such RSU, and rounding down to the nearest whole share.</w:t>
      </w:r>
    </w:p>
    <w:p>
      <w:pPr>
        <w:spacing w:after="0" w:line="143" w:lineRule="exact"/>
        <w:rPr>
          <w:sz w:val="20"/>
          <w:szCs w:val="20"/>
          <w:color w:val="auto"/>
        </w:rPr>
      </w:pPr>
    </w:p>
    <w:p>
      <w:pPr>
        <w:jc w:val="both"/>
        <w:ind w:right="20" w:firstLine="5"/>
        <w:spacing w:after="0" w:line="216" w:lineRule="auto"/>
        <w:tabs>
          <w:tab w:leader="none" w:pos="29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Initial Grant</w:t>
      </w:r>
      <w:r>
        <w:rPr>
          <w:rFonts w:ascii="Times New Roman" w:cs="Times New Roman" w:eastAsia="Times New Roman" w:hAnsi="Times New Roman"/>
          <w:sz w:val="17"/>
          <w:szCs w:val="17"/>
          <w:color w:val="auto"/>
        </w:rPr>
        <w:t>: For each Eligible Director who is first elected or appointed to the Board, on the Eligibility Date (or, if such date is not a market trading day, the first market trading day thereafter) (the “</w:t>
      </w:r>
      <w:r>
        <w:rPr>
          <w:rFonts w:ascii="Times New Roman" w:cs="Times New Roman" w:eastAsia="Times New Roman" w:hAnsi="Times New Roman"/>
          <w:sz w:val="17"/>
          <w:szCs w:val="17"/>
          <w:b w:val="1"/>
          <w:bCs w:val="1"/>
          <w:i w:val="1"/>
          <w:iCs w:val="1"/>
          <w:color w:val="auto"/>
        </w:rPr>
        <w:t>Initial Grant Date</w:t>
      </w:r>
      <w:r>
        <w:rPr>
          <w:rFonts w:ascii="Times New Roman" w:cs="Times New Roman" w:eastAsia="Times New Roman" w:hAnsi="Times New Roman"/>
          <w:sz w:val="17"/>
          <w:szCs w:val="17"/>
          <w:color w:val="auto"/>
        </w:rPr>
        <w:t>”), such Eligible Director will be automatically, and without further action by the Board or Compensation Committee of the Board, granted RSUs (the “</w:t>
      </w:r>
      <w:r>
        <w:rPr>
          <w:rFonts w:ascii="Times New Roman" w:cs="Times New Roman" w:eastAsia="Times New Roman" w:hAnsi="Times New Roman"/>
          <w:sz w:val="17"/>
          <w:szCs w:val="17"/>
          <w:b w:val="1"/>
          <w:bCs w:val="1"/>
          <w:i w:val="1"/>
          <w:iCs w:val="1"/>
          <w:color w:val="auto"/>
        </w:rPr>
        <w:t>Initial Grant</w:t>
      </w:r>
      <w:r>
        <w:rPr>
          <w:rFonts w:ascii="Times New Roman" w:cs="Times New Roman" w:eastAsia="Times New Roman" w:hAnsi="Times New Roman"/>
          <w:sz w:val="17"/>
          <w:szCs w:val="17"/>
          <w:color w:val="auto"/>
        </w:rPr>
        <w:t>”). The number of shares subject to the Initial Grant will be determined based on the number of calendar days remaining until the first annual meeting of the Company’s stockholders (the “</w:t>
      </w:r>
      <w:r>
        <w:rPr>
          <w:rFonts w:ascii="Times New Roman" w:cs="Times New Roman" w:eastAsia="Times New Roman" w:hAnsi="Times New Roman"/>
          <w:sz w:val="17"/>
          <w:szCs w:val="17"/>
          <w:b w:val="1"/>
          <w:bCs w:val="1"/>
          <w:i w:val="1"/>
          <w:iCs w:val="1"/>
          <w:color w:val="auto"/>
        </w:rPr>
        <w:t>Annual Meeting</w:t>
      </w:r>
      <w:r>
        <w:rPr>
          <w:rFonts w:ascii="Times New Roman" w:cs="Times New Roman" w:eastAsia="Times New Roman" w:hAnsi="Times New Roman"/>
          <w:sz w:val="17"/>
          <w:szCs w:val="17"/>
          <w:color w:val="auto"/>
        </w:rPr>
        <w:t>”) occurring after the Eligibility Date (the “</w:t>
      </w:r>
      <w:r>
        <w:rPr>
          <w:rFonts w:ascii="Times New Roman" w:cs="Times New Roman" w:eastAsia="Times New Roman" w:hAnsi="Times New Roman"/>
          <w:sz w:val="17"/>
          <w:szCs w:val="17"/>
          <w:b w:val="1"/>
          <w:bCs w:val="1"/>
          <w:i w:val="1"/>
          <w:iCs w:val="1"/>
          <w:color w:val="auto"/>
        </w:rPr>
        <w:t>Initial Term</w:t>
      </w:r>
      <w:r>
        <w:rPr>
          <w:rFonts w:ascii="Times New Roman" w:cs="Times New Roman" w:eastAsia="Times New Roman" w:hAnsi="Times New Roman"/>
          <w:sz w:val="17"/>
          <w:szCs w:val="17"/>
          <w:color w:val="auto"/>
        </w:rPr>
        <w:t>”), measured beginning on the Eligibility Date and ending on the scheduled (or expected) date of the first Annual Meeting thereafter. The Initial Grant will have a grant value that is equal to $275,000 multiplied by the percentage obtained by dividing the total number of expected calendar days in the Initial Term by 365, provided that such percentage shall not exceed 100%. For clarity, if an Eligible Director is first elected or appointed to the Board on the date of an Annual Meeting, such Eligible Director shall receive the Annual Grant described below and shall not receive an Initial Grant.</w:t>
      </w:r>
    </w:p>
    <w:p>
      <w:pPr>
        <w:spacing w:after="0" w:line="14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color w:val="auto"/>
        </w:rPr>
        <w:t>The Initial Grant will vest in full as of the day immediately preceding the first Annual Meeting following the Eligibility Date (or, if sooner, the one year anniversary of the grant date of the Initial Grant), subject in all cases to the Eligible Director’s Continuous Service (as defined in the Plan) through such applicable vesting date.</w:t>
      </w:r>
    </w:p>
    <w:p>
      <w:pPr>
        <w:spacing w:after="0" w:line="143" w:lineRule="exact"/>
        <w:rPr>
          <w:sz w:val="20"/>
          <w:szCs w:val="20"/>
          <w:color w:val="auto"/>
        </w:rPr>
      </w:pPr>
    </w:p>
    <w:p>
      <w:pPr>
        <w:jc w:val="both"/>
        <w:ind w:right="20" w:firstLine="5"/>
        <w:spacing w:after="0" w:line="215" w:lineRule="auto"/>
        <w:tabs>
          <w:tab w:leader="none" w:pos="31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Interim Grant</w:t>
      </w:r>
      <w:r>
        <w:rPr>
          <w:rFonts w:ascii="Times New Roman" w:cs="Times New Roman" w:eastAsia="Times New Roman" w:hAnsi="Times New Roman"/>
          <w:sz w:val="17"/>
          <w:szCs w:val="17"/>
          <w:color w:val="auto"/>
        </w:rPr>
        <w:t>. For each Class II Eligible Director serving on the Board who holds a Company equity award that was (i) granted prior to the Effective Date and (ii) remains partially unvested as of February 23, 2022 (such outstanding award, a “</w:t>
      </w:r>
      <w:r>
        <w:rPr>
          <w:rFonts w:ascii="Times New Roman" w:cs="Times New Roman" w:eastAsia="Times New Roman" w:hAnsi="Times New Roman"/>
          <w:sz w:val="17"/>
          <w:szCs w:val="17"/>
          <w:b w:val="1"/>
          <w:bCs w:val="1"/>
          <w:i w:val="1"/>
          <w:iCs w:val="1"/>
          <w:color w:val="auto"/>
        </w:rPr>
        <w:t>Pre-IPO Grant</w:t>
      </w:r>
      <w:r>
        <w:rPr>
          <w:rFonts w:ascii="Times New Roman" w:cs="Times New Roman" w:eastAsia="Times New Roman" w:hAnsi="Times New Roman"/>
          <w:sz w:val="17"/>
          <w:szCs w:val="17"/>
          <w:color w:val="auto"/>
        </w:rPr>
        <w:t>”) then on the date immediately following the date that such Pre-IPO Grant becomes fully vested with respect to all shares subject to such equity award (or, if such date immediately following the Final Vesting Date is not a market trading day, the first market trading day thereafter), such Eligible Director will be automatically, and without further action by the Board or Compensation Committee of the Board, granted RSUs (the “</w:t>
      </w:r>
      <w:r>
        <w:rPr>
          <w:rFonts w:ascii="Times New Roman" w:cs="Times New Roman" w:eastAsia="Times New Roman" w:hAnsi="Times New Roman"/>
          <w:sz w:val="17"/>
          <w:szCs w:val="17"/>
          <w:b w:val="1"/>
          <w:bCs w:val="1"/>
          <w:i w:val="1"/>
          <w:iCs w:val="1"/>
          <w:color w:val="auto"/>
        </w:rPr>
        <w:t>Interim Grant</w:t>
      </w:r>
      <w:r>
        <w:rPr>
          <w:rFonts w:ascii="Times New Roman" w:cs="Times New Roman" w:eastAsia="Times New Roman" w:hAnsi="Times New Roman"/>
          <w:sz w:val="17"/>
          <w:szCs w:val="17"/>
          <w:color w:val="auto"/>
        </w:rPr>
        <w:t>”) on such date (the “</w:t>
      </w:r>
      <w:r>
        <w:rPr>
          <w:rFonts w:ascii="Times New Roman" w:cs="Times New Roman" w:eastAsia="Times New Roman" w:hAnsi="Times New Roman"/>
          <w:sz w:val="17"/>
          <w:szCs w:val="17"/>
          <w:b w:val="1"/>
          <w:bCs w:val="1"/>
          <w:i w:val="1"/>
          <w:iCs w:val="1"/>
          <w:color w:val="auto"/>
        </w:rPr>
        <w:t>Interim Grant Date</w:t>
      </w:r>
      <w:r>
        <w:rPr>
          <w:rFonts w:ascii="Times New Roman" w:cs="Times New Roman" w:eastAsia="Times New Roman" w:hAnsi="Times New Roman"/>
          <w:sz w:val="17"/>
          <w:szCs w:val="17"/>
          <w:color w:val="auto"/>
        </w:rPr>
        <w:t>”). The number of shares subject to the Interim Grant will be determined based on the number of calendar days remaining until the first Annual Meeting following the Interim Grant Date, measured beginning on the Interim Grant Date and ending on the scheduled (or expected) date of the first Annual Meeting thereafter (the “</w:t>
      </w:r>
      <w:r>
        <w:rPr>
          <w:rFonts w:ascii="Times New Roman" w:cs="Times New Roman" w:eastAsia="Times New Roman" w:hAnsi="Times New Roman"/>
          <w:sz w:val="17"/>
          <w:szCs w:val="17"/>
          <w:b w:val="1"/>
          <w:bCs w:val="1"/>
          <w:i w:val="1"/>
          <w:iCs w:val="1"/>
          <w:color w:val="auto"/>
        </w:rPr>
        <w:t>Interim Term</w:t>
      </w:r>
      <w:r>
        <w:rPr>
          <w:rFonts w:ascii="Times New Roman" w:cs="Times New Roman" w:eastAsia="Times New Roman" w:hAnsi="Times New Roman"/>
          <w:sz w:val="17"/>
          <w:szCs w:val="17"/>
          <w:color w:val="auto"/>
        </w:rPr>
        <w:t>”). The Interim Grant will have a grant value that is equal to $275,000 multiplied by the percentage obtained by dividing the total number of expected calendar days in the Interim Term by 365, provided that such percentage shall not exceed 100%.</w:t>
      </w:r>
    </w:p>
    <w:p>
      <w:pPr>
        <w:spacing w:after="0" w:line="14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color w:val="auto"/>
        </w:rPr>
        <w:t>The Interim Grant will vest in full as of the day immediately preceding the first Annual Meeting following the Interim Grant Date (or, if sooner, the one year anniversary of Interim Grant Date), subject in all cases to the Eligible Director’s Continuous Service (as defined in the Plan) through such applicable vesting date.</w:t>
      </w:r>
    </w:p>
    <w:p>
      <w:pPr>
        <w:spacing w:after="0" w:line="143" w:lineRule="exact"/>
        <w:rPr>
          <w:sz w:val="20"/>
          <w:szCs w:val="20"/>
          <w:color w:val="auto"/>
        </w:rPr>
      </w:pPr>
    </w:p>
    <w:p>
      <w:pPr>
        <w:jc w:val="both"/>
        <w:ind w:right="20" w:firstLine="5"/>
        <w:spacing w:after="0" w:line="223" w:lineRule="auto"/>
        <w:tabs>
          <w:tab w:leader="none" w:pos="35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Grants</w:t>
      </w:r>
      <w:r>
        <w:rPr>
          <w:rFonts w:ascii="Times New Roman" w:cs="Times New Roman" w:eastAsia="Times New Roman" w:hAnsi="Times New Roman"/>
          <w:sz w:val="17"/>
          <w:szCs w:val="17"/>
          <w:color w:val="auto"/>
        </w:rPr>
        <w:t>: On the date of each Annual Meeting, commencing on (and including) the applicable Annual Meeting date indicated below for the respective Class I, II and III Eligible Directors, each Eligible Director who: (i) is nominated to be re-elected to the Board to serve a three-year term at such Annual Meeting (the “</w:t>
      </w:r>
      <w:r>
        <w:rPr>
          <w:rFonts w:ascii="Times New Roman" w:cs="Times New Roman" w:eastAsia="Times New Roman" w:hAnsi="Times New Roman"/>
          <w:sz w:val="17"/>
          <w:szCs w:val="17"/>
          <w:b w:val="1"/>
          <w:bCs w:val="1"/>
          <w:i w:val="1"/>
          <w:iCs w:val="1"/>
          <w:color w:val="auto"/>
        </w:rPr>
        <w:t>Re-Elected Term</w:t>
      </w:r>
      <w:r>
        <w:rPr>
          <w:rFonts w:ascii="Times New Roman" w:cs="Times New Roman" w:eastAsia="Times New Roman" w:hAnsi="Times New Roman"/>
          <w:sz w:val="17"/>
          <w:szCs w:val="17"/>
          <w:color w:val="auto"/>
        </w:rPr>
        <w:t>”) and (ii) continues to serve as a non-employee member of the Board following such Annual Meeting will be automatically, and without further action by the Board or Compensation Committee of the Board, granted RSUs (the “</w:t>
      </w:r>
      <w:r>
        <w:rPr>
          <w:rFonts w:ascii="Times New Roman" w:cs="Times New Roman" w:eastAsia="Times New Roman" w:hAnsi="Times New Roman"/>
          <w:sz w:val="17"/>
          <w:szCs w:val="17"/>
          <w:b w:val="1"/>
          <w:bCs w:val="1"/>
          <w:i w:val="1"/>
          <w:iCs w:val="1"/>
          <w:color w:val="auto"/>
        </w:rPr>
        <w:t>Annual Grant</w:t>
      </w:r>
      <w:r>
        <w:rPr>
          <w:rFonts w:ascii="Times New Roman" w:cs="Times New Roman" w:eastAsia="Times New Roman" w:hAnsi="Times New Roman"/>
          <w:sz w:val="17"/>
          <w:szCs w:val="17"/>
          <w:color w:val="auto"/>
        </w:rPr>
        <w:t>”) with a grant value of $275,000.</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5660" w:type="dxa"/>
            <w:vAlign w:val="bottom"/>
            <w:tcBorders>
              <w:top w:val="single" w:sz="8" w:color="auto"/>
              <w:left w:val="single" w:sz="8" w:color="auto"/>
              <w:right w:val="single" w:sz="8" w:color="auto"/>
            </w:tcBorders>
            <w:gridSpan w:val="3"/>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w w:val="99"/>
              </w:rPr>
              <w:t>Class of Eligible Director:</w:t>
            </w:r>
          </w:p>
        </w:tc>
        <w:tc>
          <w:tcPr>
            <w:tcW w:w="5640" w:type="dxa"/>
            <w:vAlign w:val="bottom"/>
            <w:tcBorders>
              <w:top w:val="single" w:sz="8" w:color="auto"/>
              <w:right w:val="single" w:sz="8" w:color="auto"/>
            </w:tcBorders>
            <w:gridSpan w:val="3"/>
          </w:tcPr>
          <w:p>
            <w:pPr>
              <w:jc w:val="center"/>
              <w:ind w:right="20"/>
              <w:spacing w:after="0" w:line="181" w:lineRule="exact"/>
              <w:rPr>
                <w:sz w:val="20"/>
                <w:szCs w:val="20"/>
                <w:color w:val="auto"/>
              </w:rPr>
            </w:pPr>
            <w:r>
              <w:rPr>
                <w:rFonts w:ascii="Times New Roman" w:cs="Times New Roman" w:eastAsia="Times New Roman" w:hAnsi="Times New Roman"/>
                <w:sz w:val="17"/>
                <w:szCs w:val="17"/>
                <w:b w:val="1"/>
                <w:bCs w:val="1"/>
                <w:color w:val="auto"/>
              </w:rPr>
              <w:t>Annual Grant Begins:</w:t>
            </w:r>
          </w:p>
        </w:tc>
      </w:tr>
      <w:tr>
        <w:trPr>
          <w:trHeight w:val="22"/>
        </w:trPr>
        <w:tc>
          <w:tcPr>
            <w:tcW w:w="1900" w:type="dxa"/>
            <w:vAlign w:val="bottom"/>
            <w:tcBorders>
              <w:left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150"/>
        </w:trPr>
        <w:tc>
          <w:tcPr>
            <w:tcW w:w="5660" w:type="dxa"/>
            <w:vAlign w:val="bottom"/>
            <w:tcBorders>
              <w:left w:val="single" w:sz="8" w:color="auto"/>
              <w:right w:val="single" w:sz="8" w:color="auto"/>
            </w:tcBorders>
            <w:gridSpan w:val="3"/>
          </w:tcPr>
          <w:p>
            <w:pPr>
              <w:jc w:val="center"/>
              <w:spacing w:after="0" w:line="150" w:lineRule="exact"/>
              <w:rPr>
                <w:sz w:val="20"/>
                <w:szCs w:val="20"/>
                <w:color w:val="auto"/>
              </w:rPr>
            </w:pPr>
            <w:r>
              <w:rPr>
                <w:rFonts w:ascii="Times New Roman" w:cs="Times New Roman" w:eastAsia="Times New Roman" w:hAnsi="Times New Roman"/>
                <w:sz w:val="17"/>
                <w:szCs w:val="17"/>
                <w:color w:val="auto"/>
                <w:w w:val="99"/>
              </w:rPr>
              <w:t>All Class III Eligible Directors and Eligible Directors initially appointed after</w:t>
            </w:r>
          </w:p>
        </w:tc>
        <w:tc>
          <w:tcPr>
            <w:tcW w:w="5640" w:type="dxa"/>
            <w:vAlign w:val="bottom"/>
            <w:tcBorders>
              <w:right w:val="single" w:sz="8" w:color="auto"/>
            </w:tcBorders>
            <w:gridSpan w:val="3"/>
          </w:tcPr>
          <w:p>
            <w:pPr>
              <w:jc w:val="center"/>
              <w:ind w:right="20"/>
              <w:spacing w:after="0" w:line="150" w:lineRule="exact"/>
              <w:rPr>
                <w:sz w:val="20"/>
                <w:szCs w:val="20"/>
                <w:color w:val="auto"/>
              </w:rPr>
            </w:pPr>
            <w:r>
              <w:rPr>
                <w:rFonts w:ascii="Times New Roman" w:cs="Times New Roman" w:eastAsia="Times New Roman" w:hAnsi="Times New Roman"/>
                <w:sz w:val="17"/>
                <w:szCs w:val="17"/>
                <w:color w:val="auto"/>
                <w:w w:val="99"/>
              </w:rPr>
              <w:t>Commencing on the 2022 Annual Meeting</w:t>
            </w:r>
          </w:p>
        </w:tc>
      </w:tr>
      <w:tr>
        <w:trPr>
          <w:trHeight w:val="221"/>
        </w:trPr>
        <w:tc>
          <w:tcPr>
            <w:tcW w:w="1900" w:type="dxa"/>
            <w:vAlign w:val="bottom"/>
            <w:tcBorders>
              <w:left w:val="single" w:sz="8" w:color="auto"/>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gridSpan w:val="2"/>
          </w:tcPr>
          <w:p>
            <w:pPr>
              <w:jc w:val="center"/>
              <w:ind w:right="1900"/>
              <w:spacing w:after="0"/>
              <w:rPr>
                <w:sz w:val="20"/>
                <w:szCs w:val="20"/>
                <w:color w:val="auto"/>
              </w:rPr>
            </w:pPr>
            <w:r>
              <w:rPr>
                <w:rFonts w:ascii="Times New Roman" w:cs="Times New Roman" w:eastAsia="Times New Roman" w:hAnsi="Times New Roman"/>
                <w:sz w:val="17"/>
                <w:szCs w:val="17"/>
                <w:color w:val="auto"/>
              </w:rPr>
              <w:t>February 23, 2022</w:t>
            </w:r>
          </w:p>
        </w:tc>
        <w:tc>
          <w:tcPr>
            <w:tcW w:w="20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r>
      <w:tr>
        <w:trPr>
          <w:trHeight w:val="152"/>
        </w:trPr>
        <w:tc>
          <w:tcPr>
            <w:tcW w:w="5660" w:type="dxa"/>
            <w:vAlign w:val="bottom"/>
            <w:tcBorders>
              <w:left w:val="single" w:sz="8" w:color="auto"/>
              <w:right w:val="single" w:sz="8" w:color="auto"/>
            </w:tcBorders>
            <w:gridSpan w:val="3"/>
          </w:tcPr>
          <w:p>
            <w:pPr>
              <w:ind w:left="580"/>
              <w:spacing w:after="0" w:line="152" w:lineRule="exact"/>
              <w:rPr>
                <w:sz w:val="20"/>
                <w:szCs w:val="20"/>
                <w:color w:val="auto"/>
              </w:rPr>
            </w:pPr>
            <w:r>
              <w:rPr>
                <w:rFonts w:ascii="Times New Roman" w:cs="Times New Roman" w:eastAsia="Times New Roman" w:hAnsi="Times New Roman"/>
                <w:sz w:val="17"/>
                <w:szCs w:val="17"/>
                <w:color w:val="auto"/>
              </w:rPr>
              <w:t>All Class I Eligible Directors and</w:t>
            </w:r>
          </w:p>
        </w:tc>
        <w:tc>
          <w:tcPr>
            <w:tcW w:w="5640" w:type="dxa"/>
            <w:vAlign w:val="bottom"/>
            <w:tcBorders>
              <w:right w:val="single" w:sz="8" w:color="auto"/>
            </w:tcBorders>
            <w:gridSpan w:val="3"/>
          </w:tcPr>
          <w:p>
            <w:pPr>
              <w:jc w:val="center"/>
              <w:ind w:right="20"/>
              <w:spacing w:after="0" w:line="152" w:lineRule="exact"/>
              <w:rPr>
                <w:sz w:val="20"/>
                <w:szCs w:val="20"/>
                <w:color w:val="auto"/>
              </w:rPr>
            </w:pPr>
            <w:r>
              <w:rPr>
                <w:rFonts w:ascii="Times New Roman" w:cs="Times New Roman" w:eastAsia="Times New Roman" w:hAnsi="Times New Roman"/>
                <w:sz w:val="17"/>
                <w:szCs w:val="17"/>
                <w:color w:val="auto"/>
                <w:w w:val="99"/>
              </w:rPr>
              <w:t>Commencing on the 2023 Annual Meeting</w:t>
            </w:r>
          </w:p>
        </w:tc>
      </w:tr>
      <w:tr>
        <w:trPr>
          <w:trHeight w:val="219"/>
        </w:trPr>
        <w:tc>
          <w:tcPr>
            <w:tcW w:w="5660" w:type="dxa"/>
            <w:vAlign w:val="bottom"/>
            <w:tcBorders>
              <w:left w:val="single" w:sz="8" w:color="auto"/>
              <w:right w:val="single" w:sz="8" w:color="auto"/>
            </w:tcBorders>
            <w:gridSpan w:val="3"/>
          </w:tcPr>
          <w:p>
            <w:pPr>
              <w:ind w:left="580"/>
              <w:spacing w:after="0"/>
              <w:rPr>
                <w:sz w:val="20"/>
                <w:szCs w:val="20"/>
                <w:color w:val="auto"/>
              </w:rPr>
            </w:pPr>
            <w:r>
              <w:rPr>
                <w:rFonts w:ascii="Times New Roman" w:cs="Times New Roman" w:eastAsia="Times New Roman" w:hAnsi="Times New Roman"/>
                <w:sz w:val="17"/>
                <w:szCs w:val="17"/>
                <w:color w:val="auto"/>
              </w:rPr>
              <w:t>Class II Eligible Directors who hold a Pre-IPO Grant</w:t>
            </w:r>
          </w:p>
        </w:tc>
        <w:tc>
          <w:tcPr>
            <w:tcW w:w="2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r>
      <w:tr>
        <w:trPr>
          <w:trHeight w:val="77"/>
        </w:trPr>
        <w:tc>
          <w:tcPr>
            <w:tcW w:w="1900" w:type="dxa"/>
            <w:vAlign w:val="bottom"/>
            <w:tcBorders>
              <w:left w:val="single" w:sz="8" w:color="auto"/>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r>
      <w:tr>
        <w:trPr>
          <w:trHeight w:val="214"/>
        </w:trPr>
        <w:tc>
          <w:tcPr>
            <w:tcW w:w="56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 xml:space="preserve">Class II Eligible Directors who do </w:t>
            </w:r>
            <w:r>
              <w:rPr>
                <w:rFonts w:ascii="Times New Roman" w:cs="Times New Roman" w:eastAsia="Times New Roman" w:hAnsi="Times New Roman"/>
                <w:sz w:val="17"/>
                <w:szCs w:val="17"/>
                <w:i w:val="1"/>
                <w:iCs w:val="1"/>
                <w:color w:val="auto"/>
                <w:w w:val="99"/>
              </w:rPr>
              <w:t>not</w:t>
            </w:r>
            <w:r>
              <w:rPr>
                <w:rFonts w:ascii="Times New Roman" w:cs="Times New Roman" w:eastAsia="Times New Roman" w:hAnsi="Times New Roman"/>
                <w:sz w:val="17"/>
                <w:szCs w:val="17"/>
                <w:color w:val="auto"/>
                <w:w w:val="99"/>
              </w:rPr>
              <w:t xml:space="preserve"> hold a Pre-IPO Grant</w:t>
            </w:r>
          </w:p>
        </w:tc>
        <w:tc>
          <w:tcPr>
            <w:tcW w:w="56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9"/>
              </w:rPr>
              <w:t>Commencing on the 2024 Annual Meeting</w:t>
            </w:r>
          </w:p>
        </w:tc>
      </w:tr>
      <w:tr>
        <w:trPr>
          <w:trHeight w:val="63"/>
        </w:trPr>
        <w:tc>
          <w:tcPr>
            <w:tcW w:w="1900" w:type="dxa"/>
            <w:vAlign w:val="bottom"/>
            <w:tcBorders>
              <w:left w:val="single" w:sz="8" w:color="auto"/>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300"/>
          </w:cols>
          <w:pgMar w:left="300" w:top="108" w:right="29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7"/>
          <w:szCs w:val="17"/>
          <w:color w:val="auto"/>
        </w:rPr>
        <w:t>Exhibit 10.7</w:t>
      </w:r>
    </w:p>
    <w:p>
      <w:pPr>
        <w:spacing w:after="0" w:line="200" w:lineRule="exact"/>
        <w:rPr>
          <w:sz w:val="20"/>
          <w:szCs w:val="20"/>
          <w:color w:val="auto"/>
        </w:rPr>
      </w:pPr>
    </w:p>
    <w:p>
      <w:pPr>
        <w:spacing w:after="0" w:line="30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The shares subject to each Annual Grant will vest in full on the one year anniversary of grant date of such Annual Grant (or, if sooner, the day immediately preceding the next Annual Meeting that occurs following the grant date of such Annual Grant), subject in all cases to the Eligible Director’s Continuous Service (as defined in the Plan) through such applicable vesting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 Limit</w:t>
      </w:r>
    </w:p>
    <w:p>
      <w:pPr>
        <w:spacing w:after="0" w:line="1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Notwithstanding anything herein to the contrary, the cash compensation and equity compensation that each Eligible Director may receive under this Policy shall be subject to the limits set forth in Section 3(d) of the Plan.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08" w:right="3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4"/>
          <w:szCs w:val="14"/>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654685</wp:posOffset>
            </wp:positionV>
            <wp:extent cx="929640" cy="2089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929640" cy="20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4,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Cindy L. Hoots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Via email</w:t>
      </w:r>
    </w:p>
    <w:p>
      <w:pPr>
        <w:spacing w:after="0" w:line="13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Re:</w:t>
        <w:tab/>
        <w:t>Zoom Video Communications, Inc. Board of Directors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Cindy:</w:t>
      </w:r>
    </w:p>
    <w:p>
      <w:pPr>
        <w:spacing w:after="0" w:line="155" w:lineRule="exact"/>
        <w:rPr>
          <w:sz w:val="20"/>
          <w:szCs w:val="20"/>
          <w:color w:val="auto"/>
        </w:rPr>
      </w:pPr>
    </w:p>
    <w:p>
      <w:pPr>
        <w:jc w:val="both"/>
        <w:ind w:right="40" w:firstLine="509"/>
        <w:spacing w:after="0" w:line="242" w:lineRule="auto"/>
        <w:rPr>
          <w:sz w:val="20"/>
          <w:szCs w:val="20"/>
          <w:color w:val="auto"/>
        </w:rPr>
      </w:pPr>
      <w:r>
        <w:rPr>
          <w:rFonts w:ascii="Times New Roman" w:cs="Times New Roman" w:eastAsia="Times New Roman" w:hAnsi="Times New Roman"/>
          <w:sz w:val="14"/>
          <w:szCs w:val="14"/>
          <w:color w:val="auto"/>
        </w:rPr>
        <w:t>I am very pleased to invite you to join the Board of Directors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of Zoom Video Communications, Inc. (“</w:t>
      </w:r>
      <w:r>
        <w:rPr>
          <w:rFonts w:ascii="Times New Roman" w:cs="Times New Roman" w:eastAsia="Times New Roman" w:hAnsi="Times New Roman"/>
          <w:sz w:val="14"/>
          <w:szCs w:val="14"/>
          <w:b w:val="1"/>
          <w:bCs w:val="1"/>
          <w:color w:val="auto"/>
        </w:rPr>
        <w:t>Zoom</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We believe that you will be a great addition to the Board.</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a Board member, you will participate in regularly scheduled and special Board meetings, which are expected to occur periodically during the year, meet or otherwise periodically confer</w:t>
      </w:r>
    </w:p>
    <w:p>
      <w:pPr>
        <w:spacing w:after="0" w:line="4" w:lineRule="exact"/>
        <w:rPr>
          <w:sz w:val="20"/>
          <w:szCs w:val="20"/>
          <w:color w:val="auto"/>
        </w:rPr>
      </w:pPr>
    </w:p>
    <w:p>
      <w:pPr>
        <w:jc w:val="both"/>
        <w:ind w:right="40"/>
        <w:spacing w:after="0" w:line="210" w:lineRule="auto"/>
        <w:rPr>
          <w:sz w:val="20"/>
          <w:szCs w:val="20"/>
          <w:color w:val="auto"/>
        </w:rPr>
      </w:pPr>
      <w:r>
        <w:rPr>
          <w:rFonts w:ascii="Times New Roman" w:cs="Times New Roman" w:eastAsia="Times New Roman" w:hAnsi="Times New Roman"/>
          <w:sz w:val="14"/>
          <w:szCs w:val="14"/>
          <w:color w:val="auto"/>
        </w:rPr>
        <w:t>with Zoom executives on an active and regular basis as requested by the Chairman of the Board, assess strategic risk exposure, and provide assistance and advisory services to Zoom’s executive team with occasional meetings, reference calls and advice on an as-needed basis. So long as you are serving on the Board, Zoom will reimburse you for your reasonable out-of-pocket expenses incurred in attending meetings of the Board, so long as you provide Zoom with appropriate receipts or other relevant documentation. You would not be an employee of Zoom and would have no authority to</w:t>
      </w:r>
    </w:p>
    <w:p>
      <w:pPr>
        <w:spacing w:after="0" w:line="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4"/>
          <w:szCs w:val="14"/>
          <w:color w:val="auto"/>
        </w:rPr>
        <w:t>obligate Zoom by contract or otherwise. You will not be eligible for any employee benefits, nor will Zoom make deductions from any amounts payable to you for taxes. Any taxes shall be solely your responsibility.</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Your election to the Board is as a Class II director for an initial term starting on January 5, 2023 and ending on the date of the 2024 annual meeting of stockholders (the “</w:t>
      </w:r>
      <w:r>
        <w:rPr>
          <w:rFonts w:ascii="Times New Roman" w:cs="Times New Roman" w:eastAsia="Times New Roman" w:hAnsi="Times New Roman"/>
          <w:sz w:val="14"/>
          <w:szCs w:val="14"/>
          <w:b w:val="1"/>
          <w:bCs w:val="1"/>
          <w:color w:val="auto"/>
        </w:rPr>
        <w:t>Annual Meeting</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jc w:val="both"/>
        <w:ind w:right="200" w:firstLine="509"/>
        <w:spacing w:after="0" w:line="219" w:lineRule="auto"/>
        <w:rPr>
          <w:sz w:val="20"/>
          <w:szCs w:val="20"/>
          <w:color w:val="auto"/>
        </w:rPr>
      </w:pPr>
      <w:r>
        <w:rPr>
          <w:rFonts w:ascii="Times New Roman" w:cs="Times New Roman" w:eastAsia="Times New Roman" w:hAnsi="Times New Roman"/>
          <w:sz w:val="14"/>
          <w:szCs w:val="14"/>
          <w:color w:val="auto"/>
        </w:rPr>
        <w:t>You will be eligible to receive cash and equity compensation pursuant to Zoom’s Non-Employee Director Compensation Policy, as amended from time to time (the “</w:t>
      </w:r>
      <w:r>
        <w:rPr>
          <w:rFonts w:ascii="Times New Roman" w:cs="Times New Roman" w:eastAsia="Times New Roman" w:hAnsi="Times New Roman"/>
          <w:sz w:val="14"/>
          <w:szCs w:val="14"/>
          <w:b w:val="1"/>
          <w:bCs w:val="1"/>
          <w:color w:val="auto"/>
        </w:rPr>
        <w:t>Policy</w:t>
      </w:r>
      <w:r>
        <w:rPr>
          <w:rFonts w:ascii="Times New Roman" w:cs="Times New Roman" w:eastAsia="Times New Roman" w:hAnsi="Times New Roman"/>
          <w:sz w:val="14"/>
          <w:szCs w:val="14"/>
          <w:color w:val="auto"/>
        </w:rPr>
        <w:t>”). Under such Policy as currently in effect, as a member of the Board, you will receive an annual retainer of $45,000. As a member of the Cybersecurity Risk Management Committee, you will receive an annual retainer of $10,000, and as the Chair of such committee, you will receive an additional annual retainer of $10,000. If you serve on any additional committees of the Board, you will receive 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annual retainer.</w:t>
      </w:r>
    </w:p>
    <w:p>
      <w:pPr>
        <w:spacing w:after="0" w:line="131"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Subject to the terms and conditions of the Policy, you will also be eligible to receive a restricted stock unit grant upon your initial election to the Board and a restricted stock unit grant on the date of the Company’s next annual meeting of stockholders.</w:t>
      </w:r>
    </w:p>
    <w:p>
      <w:pPr>
        <w:spacing w:after="0" w:line="136" w:lineRule="exact"/>
        <w:rPr>
          <w:sz w:val="20"/>
          <w:szCs w:val="20"/>
          <w:color w:val="auto"/>
        </w:rPr>
      </w:pPr>
    </w:p>
    <w:p>
      <w:pPr>
        <w:ind w:right="40" w:firstLine="509"/>
        <w:spacing w:after="0" w:line="218" w:lineRule="auto"/>
        <w:rPr>
          <w:sz w:val="20"/>
          <w:szCs w:val="20"/>
          <w:color w:val="auto"/>
        </w:rPr>
      </w:pPr>
      <w:r>
        <w:rPr>
          <w:rFonts w:ascii="Times New Roman" w:cs="Times New Roman" w:eastAsia="Times New Roman" w:hAnsi="Times New Roman"/>
          <w:sz w:val="14"/>
          <w:szCs w:val="14"/>
          <w:color w:val="auto"/>
        </w:rPr>
        <w:t>In your capacity as a director of Zoom, you will be expected not to use or disclose any confidential information, including, but not limited to, trade secrets of any former employer or other person or entity to whom you have an obligation of confidentiality. Rather, you will be expected to use only information that is generally known and used by persons with training and experience comparable to your own, that is common knowledge in the industry or otherwise legally in the public domain, or that is otherwise provided by Zoom. You acknowledge that as a result of your service</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4"/>
          <w:szCs w:val="14"/>
          <w:color w:val="auto"/>
        </w:rPr>
        <w:t>as a director you will obtain confidential information relating to or provided by Zoom and its affiliates. During and after your service with Zoom, you will not use for your benefit or disclose confidential information, knowledge or data relating to or provided by Zoom and its affiliates. You will be entitled to indemnification for your services as a Board member in accordance with Zoom’s standard form of indemnification agreement and Zoom’s charter documents.</w:t>
      </w:r>
    </w:p>
    <w:p>
      <w:pPr>
        <w:spacing w:after="0" w:line="135" w:lineRule="exact"/>
        <w:rPr>
          <w:sz w:val="20"/>
          <w:szCs w:val="20"/>
          <w:color w:val="auto"/>
        </w:rPr>
      </w:pPr>
    </w:p>
    <w:p>
      <w:pPr>
        <w:ind w:right="300" w:firstLine="509"/>
        <w:spacing w:after="0" w:line="239" w:lineRule="auto"/>
        <w:rPr>
          <w:sz w:val="20"/>
          <w:szCs w:val="20"/>
          <w:color w:val="auto"/>
        </w:rPr>
      </w:pPr>
      <w:r>
        <w:rPr>
          <w:rFonts w:ascii="Times New Roman" w:cs="Times New Roman" w:eastAsia="Times New Roman" w:hAnsi="Times New Roman"/>
          <w:sz w:val="14"/>
          <w:szCs w:val="14"/>
          <w:color w:val="auto"/>
        </w:rPr>
        <w:t>This letter, along with the indemnification agreement and restricted stock unit documentation referred to herein, constitutes the entire agreement between you and Zoom. This agreement supersedes any other agreements or promises made to you by anyone, whether oral or written, and it may only be modified in a writing signed by a duly authorized officer of Zoom.</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 accept this offer, please sign and return one copy of this letter to us by January 5, 2023.</w:t>
      </w:r>
    </w:p>
    <w:p>
      <w:pPr>
        <w:spacing w:after="0" w:line="200" w:lineRule="exact"/>
        <w:rPr>
          <w:sz w:val="20"/>
          <w:szCs w:val="20"/>
          <w:color w:val="auto"/>
        </w:rPr>
      </w:pPr>
    </w:p>
    <w:p>
      <w:pPr>
        <w:spacing w:after="0" w:line="332"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color w:val="3B3838"/>
        </w:rPr>
        <w:t>Zoom Video Communications, Inc.</w:t>
      </w:r>
    </w:p>
    <w:p>
      <w:pPr>
        <w:ind w:left="8460"/>
        <w:spacing w:after="0" w:line="221" w:lineRule="auto"/>
        <w:rPr>
          <w:sz w:val="20"/>
          <w:szCs w:val="20"/>
          <w:color w:val="auto"/>
        </w:rPr>
      </w:pPr>
      <w:r>
        <w:rPr>
          <w:rFonts w:ascii="Times New Roman" w:cs="Times New Roman" w:eastAsia="Times New Roman" w:hAnsi="Times New Roman"/>
          <w:sz w:val="14"/>
          <w:szCs w:val="14"/>
          <w:color w:val="3B3838"/>
        </w:rPr>
        <w:t>55 Almaden Blvd, Suite 600, San Jose, CA 95113</w:t>
      </w:r>
    </w:p>
    <w:p>
      <w:pPr>
        <w:jc w:val="right"/>
        <w:spacing w:after="0"/>
        <w:rPr>
          <w:sz w:val="20"/>
          <w:szCs w:val="20"/>
          <w:color w:val="auto"/>
        </w:rPr>
      </w:pPr>
      <w:r>
        <w:rPr>
          <w:rFonts w:ascii="Times New Roman" w:cs="Times New Roman" w:eastAsia="Times New Roman" w:hAnsi="Times New Roman"/>
          <w:sz w:val="14"/>
          <w:szCs w:val="14"/>
          <w:color w:val="2D8CFF"/>
        </w:rPr>
        <w:t xml:space="preserve">zoom.us </w:t>
      </w:r>
      <w:r>
        <w:rPr>
          <w:rFonts w:ascii="Times New Roman" w:cs="Times New Roman" w:eastAsia="Times New Roman" w:hAnsi="Times New Roman"/>
          <w:sz w:val="14"/>
          <w:szCs w:val="14"/>
          <w:color w:val="3B3838"/>
        </w:rPr>
        <w:t>| 1.888.799.9666</w:t>
      </w:r>
    </w:p>
    <w:p>
      <w:pPr>
        <w:sectPr>
          <w:pgSz w:w="11900" w:h="16838" w:orient="portrait"/>
          <w:cols w:equalWidth="0" w:num="1">
            <w:col w:w="11280"/>
          </w:cols>
          <w:pgMar w:left="300" w:top="305" w:right="319" w:bottom="1440" w:gutter="0" w:footer="0" w:header="0"/>
        </w:sectPr>
      </w:pPr>
    </w:p>
    <w:bookmarkStart w:id="139" w:name="page140"/>
    <w:bookmarkEnd w:id="139"/>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Cindy, we believe you will be a tremendous addition to the Board and I am excited to work with you.</w:t>
      </w:r>
    </w:p>
    <w:p>
      <w:pPr>
        <w:spacing w:after="0" w:line="17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color w:val="auto"/>
        </w:rPr>
        <w:t>Sincerely,</w:t>
      </w:r>
    </w:p>
    <w:p>
      <w:pPr>
        <w:spacing w:after="0" w:line="16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00" w:lineRule="exact"/>
        <w:rPr>
          <w:sz w:val="20"/>
          <w:szCs w:val="20"/>
          <w:color w:val="auto"/>
        </w:rPr>
      </w:pPr>
    </w:p>
    <w:p>
      <w:pPr>
        <w:spacing w:after="0" w:line="3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u w:val="single" w:color="auto"/>
          <w:color w:val="auto"/>
        </w:rPr>
        <w:t>/s/ Eric S. Yuan_____________________</w:t>
      </w:r>
    </w:p>
    <w:p>
      <w:pPr>
        <w:ind w:left="1000"/>
        <w:spacing w:after="0" w:line="210" w:lineRule="auto"/>
        <w:rPr>
          <w:sz w:val="20"/>
          <w:szCs w:val="20"/>
          <w:color w:val="auto"/>
        </w:rPr>
      </w:pPr>
      <w:r>
        <w:rPr>
          <w:rFonts w:ascii="Times New Roman" w:cs="Times New Roman" w:eastAsia="Times New Roman" w:hAnsi="Times New Roman"/>
          <w:sz w:val="14"/>
          <w:szCs w:val="14"/>
          <w:color w:val="auto"/>
        </w:rPr>
        <w:t>Eric S. Yuan, CEO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Accepted and Agreed: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Cindy L. Hoots</w:t>
      </w:r>
      <w:r>
        <w:rPr>
          <w:rFonts w:ascii="Times New Roman" w:cs="Times New Roman" w:eastAsia="Times New Roman" w:hAnsi="Times New Roman"/>
          <w:sz w:val="14"/>
          <w:szCs w:val="14"/>
          <w:color w:val="auto"/>
        </w:rPr>
        <w:t>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Cindy L. Hoots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January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3B3838"/>
        </w:rPr>
        <w:t>Zoom Video Communications, Inc.</w:t>
      </w:r>
    </w:p>
    <w:p>
      <w:pPr>
        <w:jc w:val="right"/>
        <w:spacing w:after="0" w:line="205" w:lineRule="auto"/>
        <w:rPr>
          <w:sz w:val="20"/>
          <w:szCs w:val="20"/>
          <w:color w:val="auto"/>
        </w:rPr>
      </w:pPr>
      <w:r>
        <w:rPr>
          <w:rFonts w:ascii="Times New Roman" w:cs="Times New Roman" w:eastAsia="Times New Roman" w:hAnsi="Times New Roman"/>
          <w:sz w:val="14"/>
          <w:szCs w:val="14"/>
          <w:color w:val="3B3838"/>
        </w:rPr>
        <w:t>55 Almaden Blvd, Suite 600, San Jose, CA 95113</w:t>
      </w:r>
    </w:p>
    <w:p>
      <w:pPr>
        <w:jc w:val="right"/>
        <w:spacing w:after="0"/>
        <w:rPr>
          <w:sz w:val="20"/>
          <w:szCs w:val="20"/>
          <w:color w:val="auto"/>
        </w:rPr>
      </w:pPr>
      <w:r>
        <w:rPr>
          <w:rFonts w:ascii="Times New Roman" w:cs="Times New Roman" w:eastAsia="Times New Roman" w:hAnsi="Times New Roman"/>
          <w:sz w:val="14"/>
          <w:szCs w:val="14"/>
          <w:color w:val="2D8CFF"/>
        </w:rPr>
        <w:t xml:space="preserve">zoom.us </w:t>
      </w:r>
      <w:r>
        <w:rPr>
          <w:rFonts w:ascii="Times New Roman" w:cs="Times New Roman" w:eastAsia="Times New Roman" w:hAnsi="Times New Roman"/>
          <w:sz w:val="14"/>
          <w:szCs w:val="14"/>
          <w:color w:val="3B3838"/>
        </w:rPr>
        <w:t>| 1.888.799.9666</w:t>
      </w:r>
    </w:p>
    <w:p>
      <w:pPr>
        <w:sectPr>
          <w:pgSz w:w="11900" w:h="16838" w:orient="portrait"/>
          <w:cols w:equalWidth="0" w:num="1">
            <w:col w:w="11280"/>
          </w:cols>
          <w:pgMar w:left="300" w:top="1440" w:right="319" w:bottom="1440" w:gutter="0" w:footer="0" w:header="0"/>
        </w:sectPr>
      </w:pPr>
    </w:p>
    <w:bookmarkStart w:id="140" w:name="page141"/>
    <w:bookmarkEnd w:id="140"/>
    <w:p>
      <w:pPr>
        <w:ind w:left="10480"/>
        <w:spacing w:after="0"/>
        <w:rPr>
          <w:sz w:val="20"/>
          <w:szCs w:val="20"/>
          <w:color w:val="auto"/>
        </w:rPr>
      </w:pPr>
      <w:r>
        <w:rPr>
          <w:rFonts w:ascii="Calibri" w:cs="Calibri" w:eastAsia="Calibri" w:hAnsi="Calibri"/>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20" w:type="dxa"/>
            <w:vAlign w:val="bottom"/>
          </w:tcPr>
          <w:p>
            <w:pPr>
              <w:spacing w:after="0"/>
              <w:rPr>
                <w:sz w:val="18"/>
                <w:szCs w:val="18"/>
                <w:color w:val="auto"/>
              </w:rPr>
            </w:pPr>
          </w:p>
        </w:tc>
        <w:tc>
          <w:tcPr>
            <w:tcW w:w="7260" w:type="dxa"/>
            <w:vAlign w:val="bottom"/>
          </w:tcPr>
          <w:p>
            <w:pPr>
              <w:ind w:left="380"/>
              <w:spacing w:after="0"/>
              <w:rPr>
                <w:sz w:val="20"/>
                <w:szCs w:val="20"/>
                <w:color w:val="auto"/>
              </w:rPr>
            </w:pPr>
            <w:r>
              <w:rPr>
                <w:rFonts w:ascii="Calibri" w:cs="Calibri" w:eastAsia="Calibri" w:hAnsi="Calibri"/>
                <w:sz w:val="17"/>
                <w:szCs w:val="17"/>
                <w:b w:val="1"/>
                <w:bCs w:val="1"/>
                <w:color w:val="auto"/>
              </w:rPr>
              <w:t>List of subsidiaries of the Registrant</w:t>
            </w:r>
          </w:p>
        </w:tc>
      </w:tr>
      <w:tr>
        <w:trPr>
          <w:trHeight w:val="233"/>
        </w:trPr>
        <w:tc>
          <w:tcPr>
            <w:tcW w:w="4020" w:type="dxa"/>
            <w:vAlign w:val="bottom"/>
          </w:tcPr>
          <w:p>
            <w:pPr>
              <w:ind w:left="2320"/>
              <w:spacing w:after="0"/>
              <w:rPr>
                <w:sz w:val="20"/>
                <w:szCs w:val="20"/>
                <w:color w:val="auto"/>
              </w:rPr>
            </w:pPr>
            <w:r>
              <w:rPr>
                <w:rFonts w:ascii="Calibri" w:cs="Calibri" w:eastAsia="Calibri" w:hAnsi="Calibri"/>
                <w:sz w:val="17"/>
                <w:szCs w:val="17"/>
                <w:color w:val="auto"/>
              </w:rPr>
              <w:t>Name of Subsidiary</w:t>
            </w:r>
          </w:p>
        </w:tc>
        <w:tc>
          <w:tcPr>
            <w:tcW w:w="7260" w:type="dxa"/>
            <w:vAlign w:val="bottom"/>
          </w:tcPr>
          <w:p>
            <w:pPr>
              <w:ind w:left="4100"/>
              <w:spacing w:after="0"/>
              <w:rPr>
                <w:sz w:val="20"/>
                <w:szCs w:val="20"/>
                <w:color w:val="auto"/>
              </w:rPr>
            </w:pPr>
            <w:r>
              <w:rPr>
                <w:rFonts w:ascii="Calibri" w:cs="Calibri" w:eastAsia="Calibri" w:hAnsi="Calibri"/>
                <w:sz w:val="17"/>
                <w:szCs w:val="17"/>
                <w:color w:val="auto"/>
              </w:rPr>
              <w:t>Jurisdicton of Organizaton</w:t>
            </w: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r>
      <w:tr>
        <w:trPr>
          <w:trHeight w:val="190"/>
        </w:trPr>
        <w:tc>
          <w:tcPr>
            <w:tcW w:w="4020" w:type="dxa"/>
            <w:vAlign w:val="bottom"/>
          </w:tcPr>
          <w:p>
            <w:pPr>
              <w:ind w:left="20"/>
              <w:spacing w:after="0" w:line="190" w:lineRule="exact"/>
              <w:rPr>
                <w:sz w:val="20"/>
                <w:szCs w:val="20"/>
                <w:color w:val="auto"/>
              </w:rPr>
            </w:pPr>
            <w:r>
              <w:rPr>
                <w:rFonts w:ascii="Calibri" w:cs="Calibri" w:eastAsia="Calibri" w:hAnsi="Calibri"/>
                <w:sz w:val="17"/>
                <w:szCs w:val="17"/>
                <w:color w:val="auto"/>
              </w:rPr>
              <w:t>Zoom Voice Communicatons, Inc.</w:t>
            </w:r>
          </w:p>
        </w:tc>
        <w:tc>
          <w:tcPr>
            <w:tcW w:w="7260" w:type="dxa"/>
            <w:vAlign w:val="bottom"/>
          </w:tcPr>
          <w:p>
            <w:pPr>
              <w:ind w:left="2840"/>
              <w:spacing w:after="0" w:line="190" w:lineRule="exact"/>
              <w:rPr>
                <w:sz w:val="20"/>
                <w:szCs w:val="20"/>
                <w:color w:val="auto"/>
              </w:rPr>
            </w:pPr>
            <w:r>
              <w:rPr>
                <w:rFonts w:ascii="Calibri" w:cs="Calibri" w:eastAsia="Calibri" w:hAnsi="Calibri"/>
                <w:sz w:val="17"/>
                <w:szCs w:val="17"/>
                <w:color w:val="auto"/>
              </w:rPr>
              <w:t>United States of America</w:t>
            </w:r>
          </w:p>
        </w:tc>
      </w:tr>
      <w:tr>
        <w:trPr>
          <w:trHeight w:val="203"/>
        </w:trPr>
        <w:tc>
          <w:tcPr>
            <w:tcW w:w="4020" w:type="dxa"/>
            <w:vAlign w:val="bottom"/>
          </w:tcPr>
          <w:p>
            <w:pPr>
              <w:ind w:left="20"/>
              <w:spacing w:after="0" w:line="204" w:lineRule="exact"/>
              <w:rPr>
                <w:sz w:val="20"/>
                <w:szCs w:val="20"/>
                <w:color w:val="auto"/>
              </w:rPr>
            </w:pPr>
            <w:r>
              <w:rPr>
                <w:rFonts w:ascii="Calibri" w:cs="Calibri" w:eastAsia="Calibri" w:hAnsi="Calibri"/>
                <w:sz w:val="17"/>
                <w:szCs w:val="17"/>
                <w:color w:val="auto"/>
              </w:rPr>
              <w:t>ZVC UK LTD</w:t>
            </w:r>
          </w:p>
        </w:tc>
        <w:tc>
          <w:tcPr>
            <w:tcW w:w="7260" w:type="dxa"/>
            <w:vAlign w:val="bottom"/>
          </w:tcPr>
          <w:p>
            <w:pPr>
              <w:ind w:left="2840"/>
              <w:spacing w:after="0" w:line="204" w:lineRule="exact"/>
              <w:rPr>
                <w:sz w:val="20"/>
                <w:szCs w:val="20"/>
                <w:color w:val="auto"/>
              </w:rPr>
            </w:pPr>
            <w:r>
              <w:rPr>
                <w:rFonts w:ascii="Calibri" w:cs="Calibri" w:eastAsia="Calibri" w:hAnsi="Calibri"/>
                <w:sz w:val="17"/>
                <w:szCs w:val="17"/>
                <w:color w:val="auto"/>
              </w:rPr>
              <w:t>United Kingdom</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ZVC Australia PTY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Australia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ZVC Netherlands B.V.</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Netherlands</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ZVC Japan KK</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Japan</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Zoom Video Communicatons (Suzhou) Inc.</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China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Saasbee Inc. (Hefei)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China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SaasBee Sofware (Hangzhou) Co.,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China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ZVC France SAS</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France</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ZVC India PVT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India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ZVC Canada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Canada</w:t>
            </w:r>
          </w:p>
        </w:tc>
      </w:tr>
      <w:tr>
        <w:trPr>
          <w:trHeight w:val="221"/>
        </w:trPr>
        <w:tc>
          <w:tcPr>
            <w:tcW w:w="4020" w:type="dxa"/>
            <w:vAlign w:val="bottom"/>
          </w:tcPr>
          <w:p>
            <w:pPr>
              <w:ind w:left="20"/>
              <w:spacing w:after="0"/>
              <w:rPr>
                <w:sz w:val="20"/>
                <w:szCs w:val="20"/>
                <w:color w:val="auto"/>
              </w:rPr>
            </w:pPr>
            <w:r>
              <w:rPr>
                <w:rFonts w:ascii="Calibri" w:cs="Calibri" w:eastAsia="Calibri" w:hAnsi="Calibri"/>
                <w:sz w:val="17"/>
                <w:szCs w:val="17"/>
                <w:color w:val="auto"/>
              </w:rPr>
              <w:t>Zoom Video Communicatons (Hong Kong)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Hong Kong</w:t>
            </w:r>
          </w:p>
        </w:tc>
      </w:tr>
      <w:tr>
        <w:trPr>
          <w:trHeight w:val="203"/>
        </w:trPr>
        <w:tc>
          <w:tcPr>
            <w:tcW w:w="4020" w:type="dxa"/>
            <w:vAlign w:val="bottom"/>
          </w:tcPr>
          <w:p>
            <w:pPr>
              <w:ind w:left="20"/>
              <w:spacing w:after="0" w:line="204" w:lineRule="exact"/>
              <w:rPr>
                <w:sz w:val="20"/>
                <w:szCs w:val="20"/>
                <w:color w:val="auto"/>
              </w:rPr>
            </w:pPr>
            <w:r>
              <w:rPr>
                <w:rFonts w:ascii="Calibri" w:cs="Calibri" w:eastAsia="Calibri" w:hAnsi="Calibri"/>
                <w:sz w:val="17"/>
                <w:szCs w:val="17"/>
                <w:color w:val="auto"/>
              </w:rPr>
              <w:t>Zoom Video Communicatons (Shanghai) Co., Ltd.</w:t>
            </w:r>
          </w:p>
        </w:tc>
        <w:tc>
          <w:tcPr>
            <w:tcW w:w="7260" w:type="dxa"/>
            <w:vAlign w:val="bottom"/>
          </w:tcPr>
          <w:p>
            <w:pPr>
              <w:ind w:left="2840"/>
              <w:spacing w:after="0" w:line="204" w:lineRule="exact"/>
              <w:rPr>
                <w:sz w:val="20"/>
                <w:szCs w:val="20"/>
                <w:color w:val="auto"/>
              </w:rPr>
            </w:pPr>
            <w:r>
              <w:rPr>
                <w:rFonts w:ascii="Calibri" w:cs="Calibri" w:eastAsia="Calibri" w:hAnsi="Calibri"/>
                <w:sz w:val="17"/>
                <w:szCs w:val="17"/>
                <w:color w:val="auto"/>
              </w:rPr>
              <w:t>China</w:t>
            </w:r>
          </w:p>
        </w:tc>
      </w:tr>
      <w:tr>
        <w:trPr>
          <w:trHeight w:val="233"/>
        </w:trPr>
        <w:tc>
          <w:tcPr>
            <w:tcW w:w="4020" w:type="dxa"/>
            <w:vAlign w:val="bottom"/>
          </w:tcPr>
          <w:p>
            <w:pPr>
              <w:ind w:left="20"/>
              <w:spacing w:after="0"/>
              <w:rPr>
                <w:sz w:val="20"/>
                <w:szCs w:val="20"/>
                <w:color w:val="auto"/>
              </w:rPr>
            </w:pPr>
            <w:r>
              <w:rPr>
                <w:rFonts w:ascii="Calibri" w:cs="Calibri" w:eastAsia="Calibri" w:hAnsi="Calibri"/>
                <w:sz w:val="17"/>
                <w:szCs w:val="17"/>
                <w:color w:val="auto"/>
              </w:rPr>
              <w:t>ZVC Singapore Pte.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Singapore</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ZVC Germany GmbH</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Germany</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Keybase LLC</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United States of America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Zoom Video Communicatons (Shanghai) Co.,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China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Solvvy, LLC</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United States of America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Zoom Sofware (Hangzhou) Co., Ltd.</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China</w:t>
            </w:r>
          </w:p>
        </w:tc>
      </w:tr>
      <w:tr>
        <w:trPr>
          <w:trHeight w:val="212"/>
        </w:trPr>
        <w:tc>
          <w:tcPr>
            <w:tcW w:w="4020" w:type="dxa"/>
            <w:vAlign w:val="bottom"/>
          </w:tcPr>
          <w:p>
            <w:pPr>
              <w:ind w:left="20"/>
              <w:spacing w:after="0"/>
              <w:rPr>
                <w:sz w:val="20"/>
                <w:szCs w:val="20"/>
                <w:color w:val="auto"/>
              </w:rPr>
            </w:pPr>
            <w:r>
              <w:rPr>
                <w:rFonts w:ascii="Calibri" w:cs="Calibri" w:eastAsia="Calibri" w:hAnsi="Calibri"/>
                <w:sz w:val="17"/>
                <w:szCs w:val="17"/>
                <w:color w:val="auto"/>
              </w:rPr>
              <w:t>Zoom Video Communicatons Korea, LLC</w:t>
            </w:r>
          </w:p>
        </w:tc>
        <w:tc>
          <w:tcPr>
            <w:tcW w:w="7260" w:type="dxa"/>
            <w:vAlign w:val="bottom"/>
          </w:tcPr>
          <w:p>
            <w:pPr>
              <w:ind w:left="2840"/>
              <w:spacing w:after="0"/>
              <w:rPr>
                <w:sz w:val="20"/>
                <w:szCs w:val="20"/>
                <w:color w:val="auto"/>
              </w:rPr>
            </w:pPr>
            <w:r>
              <w:rPr>
                <w:rFonts w:ascii="Calibri" w:cs="Calibri" w:eastAsia="Calibri" w:hAnsi="Calibri"/>
                <w:sz w:val="17"/>
                <w:szCs w:val="17"/>
                <w:color w:val="auto"/>
              </w:rPr>
              <w:t>Korea</w:t>
            </w:r>
          </w:p>
        </w:tc>
      </w:tr>
    </w:tbl>
    <w:p>
      <w:pPr>
        <w:sectPr>
          <w:pgSz w:w="11900" w:h="16838" w:orient="portrait"/>
          <w:cols w:equalWidth="0" w:num="1">
            <w:col w:w="11280"/>
          </w:cols>
          <w:pgMar w:left="300" w:top="498" w:right="3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0"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consent to the incorporation by reference in the registration statements (Nos. 333-263354, 333-254444, 333-237348, 333-230997) on Form S-8 and registration statement (No.333-252035) on Form-S-3 of our report dated March 3, 2023, with respect to the consolidated financial statements of Zoom Video Communications, Inc. and the effectiveness of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March 3, 2023</w:t>
      </w:r>
    </w:p>
    <w:p>
      <w:pPr>
        <w:sectPr>
          <w:pgSz w:w="11900" w:h="16838" w:orient="portrait"/>
          <w:cols w:equalWidth="0" w:num="1">
            <w:col w:w="11280"/>
          </w:cols>
          <w:pgMar w:left="300" w:top="695" w:right="3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Eric S. Yuan, certify that:</w:t>
      </w:r>
    </w:p>
    <w:p>
      <w:pPr>
        <w:spacing w:after="0" w:line="147" w:lineRule="exact"/>
        <w:rPr>
          <w:sz w:val="20"/>
          <w:szCs w:val="20"/>
          <w:color w:val="auto"/>
        </w:rPr>
      </w:pPr>
    </w:p>
    <w:p>
      <w:pPr>
        <w:ind w:left="1020" w:hanging="506"/>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Zoom Video Communications, Inc.;</w:t>
      </w:r>
    </w:p>
    <w:p>
      <w:pPr>
        <w:spacing w:after="0" w:line="146" w:lineRule="exact"/>
        <w:rPr>
          <w:rFonts w:ascii="Times New Roman" w:cs="Times New Roman" w:eastAsia="Times New Roman" w:hAnsi="Times New Roman"/>
          <w:sz w:val="14"/>
          <w:szCs w:val="14"/>
          <w:color w:val="auto"/>
        </w:rPr>
      </w:pPr>
    </w:p>
    <w:p>
      <w:pPr>
        <w:ind w:left="1020" w:right="220" w:hanging="506"/>
        <w:spacing w:after="0" w:line="287" w:lineRule="auto"/>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Times New Roman" w:cs="Times New Roman" w:eastAsia="Times New Roman" w:hAnsi="Times New Roman"/>
          <w:sz w:val="14"/>
          <w:szCs w:val="14"/>
          <w:color w:val="auto"/>
        </w:rPr>
      </w:pPr>
    </w:p>
    <w:p>
      <w:pPr>
        <w:ind w:left="1020" w:right="300" w:hanging="506"/>
        <w:spacing w:after="0" w:line="287" w:lineRule="auto"/>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4"/>
          <w:szCs w:val="14"/>
          <w:color w:val="auto"/>
        </w:rPr>
      </w:pPr>
    </w:p>
    <w:p>
      <w:pPr>
        <w:ind w:left="1540" w:hanging="517"/>
        <w:spacing w:after="0" w:line="270" w:lineRule="auto"/>
        <w:tabs>
          <w:tab w:leader="none" w:pos="1532"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Times New Roman" w:cs="Times New Roman" w:eastAsia="Times New Roman" w:hAnsi="Times New Roman"/>
          <w:sz w:val="14"/>
          <w:szCs w:val="14"/>
          <w:color w:val="auto"/>
        </w:rPr>
      </w:pPr>
    </w:p>
    <w:p>
      <w:pPr>
        <w:jc w:val="both"/>
        <w:ind w:left="1540" w:right="60" w:hanging="517"/>
        <w:spacing w:after="0" w:line="270" w:lineRule="auto"/>
        <w:tabs>
          <w:tab w:leader="none" w:pos="154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1540" w:right="400" w:hanging="517"/>
        <w:spacing w:after="0" w:line="287" w:lineRule="auto"/>
        <w:tabs>
          <w:tab w:leader="none" w:pos="1532"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Times New Roman" w:cs="Times New Roman" w:eastAsia="Times New Roman" w:hAnsi="Times New Roman"/>
          <w:sz w:val="14"/>
          <w:szCs w:val="14"/>
          <w:color w:val="auto"/>
        </w:rPr>
      </w:pPr>
    </w:p>
    <w:p>
      <w:pPr>
        <w:ind w:left="1540" w:right="20" w:hanging="517"/>
        <w:spacing w:after="0" w:line="270" w:lineRule="auto"/>
        <w:tabs>
          <w:tab w:leader="none" w:pos="154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1540" w:right="20" w:hanging="517"/>
        <w:spacing w:after="0" w:line="287" w:lineRule="auto"/>
        <w:tabs>
          <w:tab w:leader="none" w:pos="1532"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Times New Roman" w:cs="Times New Roman" w:eastAsia="Times New Roman" w:hAnsi="Times New Roman"/>
          <w:sz w:val="14"/>
          <w:szCs w:val="14"/>
          <w:color w:val="auto"/>
        </w:rPr>
      </w:pPr>
    </w:p>
    <w:p>
      <w:pPr>
        <w:ind w:left="1540" w:hanging="517"/>
        <w:spacing w:after="0"/>
        <w:tabs>
          <w:tab w:leader="none" w:pos="154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p>
      <w:pPr>
        <w:spacing w:after="0" w:line="25" w:lineRule="exact"/>
        <w:rPr>
          <w:sz w:val="20"/>
          <w:szCs w:val="20"/>
          <w:color w:val="auto"/>
        </w:rPr>
      </w:pPr>
    </w:p>
    <w:tbl>
      <w:tblPr>
        <w:tblLayout w:type="fixed"/>
        <w:tblInd w:w="780" w:type="dxa"/>
        <w:tblCellMar>
          <w:top w:w="0" w:type="dxa"/>
          <w:left w:w="0" w:type="dxa"/>
          <w:bottom w:w="0" w:type="dxa"/>
          <w:right w:w="0" w:type="dxa"/>
        </w:tblCellMar>
      </w:tblPr>
      <w:tr>
        <w:trPr>
          <w:trHeight w:val="181"/>
        </w:trPr>
        <w:tc>
          <w:tcPr>
            <w:tcW w:w="5620" w:type="dxa"/>
            <w:vAlign w:val="bottom"/>
          </w:tcPr>
          <w:p>
            <w:pPr>
              <w:ind w:left="498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Eric S. Yuan</w:t>
            </w:r>
          </w:p>
        </w:tc>
      </w:tr>
      <w:tr>
        <w:trPr>
          <w:trHeight w:val="167"/>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Date: March 3, 2023</w:t>
            </w: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Eric S. Yuan</w:t>
            </w:r>
          </w:p>
        </w:tc>
      </w:tr>
      <w:tr>
        <w:trPr>
          <w:trHeight w:val="178"/>
        </w:trPr>
        <w:tc>
          <w:tcPr>
            <w:tcW w:w="5620" w:type="dxa"/>
            <w:vAlign w:val="bottom"/>
          </w:tcPr>
          <w:p>
            <w:pPr>
              <w:spacing w:after="0"/>
              <w:rPr>
                <w:sz w:val="15"/>
                <w:szCs w:val="15"/>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5620" w:type="dxa"/>
            <w:vAlign w:val="bottom"/>
          </w:tcPr>
          <w:p>
            <w:pPr>
              <w:spacing w:after="0"/>
              <w:rPr>
                <w:sz w:val="16"/>
                <w:szCs w:val="16"/>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727" w:right="3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Kelly Steckelberg, certify that:</w:t>
      </w:r>
    </w:p>
    <w:p>
      <w:pPr>
        <w:spacing w:after="0" w:line="147" w:lineRule="exact"/>
        <w:rPr>
          <w:sz w:val="20"/>
          <w:szCs w:val="20"/>
          <w:color w:val="auto"/>
        </w:rPr>
      </w:pPr>
    </w:p>
    <w:p>
      <w:pPr>
        <w:ind w:left="1020" w:hanging="506"/>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Zoom Video Communications, Inc.;</w:t>
      </w:r>
    </w:p>
    <w:p>
      <w:pPr>
        <w:spacing w:after="0" w:line="157" w:lineRule="exact"/>
        <w:rPr>
          <w:rFonts w:ascii="Times New Roman" w:cs="Times New Roman" w:eastAsia="Times New Roman" w:hAnsi="Times New Roman"/>
          <w:sz w:val="14"/>
          <w:szCs w:val="14"/>
          <w:color w:val="auto"/>
        </w:rPr>
      </w:pPr>
    </w:p>
    <w:p>
      <w:pPr>
        <w:ind w:left="1020" w:right="220" w:hanging="506"/>
        <w:spacing w:after="0" w:line="287"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Times New Roman" w:cs="Times New Roman" w:eastAsia="Times New Roman" w:hAnsi="Times New Roman"/>
          <w:sz w:val="14"/>
          <w:szCs w:val="14"/>
          <w:color w:val="auto"/>
        </w:rPr>
      </w:pPr>
    </w:p>
    <w:p>
      <w:pPr>
        <w:ind w:left="1020" w:right="300" w:hanging="506"/>
        <w:spacing w:after="0" w:line="287"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ind w:left="1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4"/>
          <w:szCs w:val="14"/>
          <w:color w:val="auto"/>
        </w:rPr>
      </w:pPr>
    </w:p>
    <w:p>
      <w:pPr>
        <w:ind w:left="1540" w:hanging="517"/>
        <w:spacing w:after="0" w:line="270" w:lineRule="auto"/>
        <w:tabs>
          <w:tab w:leader="none" w:pos="1532"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4"/>
          <w:szCs w:val="14"/>
          <w:color w:val="auto"/>
        </w:rPr>
      </w:pPr>
    </w:p>
    <w:p>
      <w:pPr>
        <w:jc w:val="both"/>
        <w:ind w:left="1540" w:right="60" w:hanging="517"/>
        <w:spacing w:after="0" w:line="270" w:lineRule="auto"/>
        <w:tabs>
          <w:tab w:leader="none" w:pos="154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4"/>
          <w:szCs w:val="14"/>
          <w:color w:val="auto"/>
        </w:rPr>
      </w:pPr>
    </w:p>
    <w:p>
      <w:pPr>
        <w:ind w:left="1540" w:right="400" w:hanging="517"/>
        <w:spacing w:after="0" w:line="287" w:lineRule="auto"/>
        <w:tabs>
          <w:tab w:leader="none" w:pos="1532"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Times New Roman" w:cs="Times New Roman" w:eastAsia="Times New Roman" w:hAnsi="Times New Roman"/>
          <w:sz w:val="14"/>
          <w:szCs w:val="14"/>
          <w:color w:val="auto"/>
        </w:rPr>
      </w:pPr>
    </w:p>
    <w:p>
      <w:pPr>
        <w:ind w:left="1540" w:right="20" w:hanging="517"/>
        <w:spacing w:after="0" w:line="270" w:lineRule="auto"/>
        <w:tabs>
          <w:tab w:leader="none" w:pos="154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4"/>
          <w:szCs w:val="14"/>
          <w:color w:val="auto"/>
        </w:rPr>
      </w:pPr>
    </w:p>
    <w:p>
      <w:pPr>
        <w:ind w:left="1540" w:right="20" w:hanging="517"/>
        <w:spacing w:after="0" w:line="287" w:lineRule="auto"/>
        <w:tabs>
          <w:tab w:leader="none" w:pos="1532"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4"/>
          <w:szCs w:val="14"/>
          <w:color w:val="auto"/>
        </w:rPr>
      </w:pPr>
    </w:p>
    <w:p>
      <w:pPr>
        <w:ind w:left="1540" w:hanging="517"/>
        <w:spacing w:after="0"/>
        <w:tabs>
          <w:tab w:leader="none" w:pos="154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6" w:lineRule="exact"/>
        <w:rPr>
          <w:rFonts w:ascii="Times New Roman" w:cs="Times New Roman" w:eastAsia="Times New Roman" w:hAnsi="Times New Roman"/>
          <w:sz w:val="14"/>
          <w:szCs w:val="14"/>
          <w:color w:val="auto"/>
        </w:rPr>
      </w:pPr>
    </w:p>
    <w:p>
      <w:pPr>
        <w:ind w:left="5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ZOOM VIDEO COMMUNICATIONS, INC.</w:t>
      </w:r>
    </w:p>
    <w:p>
      <w:pPr>
        <w:spacing w:after="0" w:line="234"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5480" w:type="dxa"/>
            <w:vAlign w:val="bottom"/>
          </w:tcPr>
          <w:p>
            <w:pPr>
              <w:ind w:left="498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Kelly Steckelberg</w:t>
            </w:r>
          </w:p>
        </w:tc>
      </w:tr>
      <w:tr>
        <w:trPr>
          <w:trHeight w:val="167"/>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Date: March 3, 2023</w:t>
            </w: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Kelly Steckelberg</w:t>
            </w:r>
          </w:p>
        </w:tc>
      </w:tr>
      <w:tr>
        <w:trPr>
          <w:trHeight w:val="178"/>
        </w:trPr>
        <w:tc>
          <w:tcPr>
            <w:tcW w:w="548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548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bl>
    <w:p>
      <w:pPr>
        <w:sectPr>
          <w:pgSz w:w="11900" w:h="16838" w:orient="portrait"/>
          <w:cols w:equalWidth="0" w:num="1">
            <w:col w:w="11280"/>
          </w:cols>
          <w:pgMar w:left="300" w:top="865"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I, Eric S. Yuan, certify, pursuant to 18 U.S.C. Section 1350, as adopted pursuant to Section 906 of the Sarbanes-Oxley Act of 2002, that the Annual Report on Form 10-K of Zoom Video Communications, Inc. for the fiscal year ended January 31, 2023 fully complies with the requirements of Section 13(a) or 15(d) of the Securities Exchange Act of 1934 and that information contained in such Annual Report on Form 10-K fairly presents, in all material respects, the financial condition and results of operations of Zoom Video Communications, Inc.</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7160" w:type="dxa"/>
            <w:vAlign w:val="bottom"/>
            <w:gridSpan w:val="2"/>
          </w:tcPr>
          <w:p>
            <w:pPr>
              <w:ind w:left="2780"/>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tc>
      </w:tr>
      <w:tr>
        <w:trPr>
          <w:trHeight w:val="361"/>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Date: March 3, 2023</w:t>
            </w:r>
          </w:p>
        </w:tc>
        <w:tc>
          <w:tcPr>
            <w:tcW w:w="7160" w:type="dxa"/>
            <w:vAlign w:val="bottom"/>
            <w:gridSpan w:val="2"/>
          </w:tcPr>
          <w:p>
            <w:pPr>
              <w:ind w:left="2780"/>
              <w:spacing w:after="0"/>
              <w:rPr>
                <w:sz w:val="20"/>
                <w:szCs w:val="20"/>
                <w:color w:val="auto"/>
              </w:rPr>
            </w:pPr>
            <w:r>
              <w:rPr>
                <w:rFonts w:ascii="Times New Roman" w:cs="Times New Roman" w:eastAsia="Times New Roman" w:hAnsi="Times New Roman"/>
                <w:sz w:val="14"/>
                <w:szCs w:val="14"/>
                <w:color w:val="auto"/>
              </w:rPr>
              <w:t>By:    /s/ Eric S. Yuan</w:t>
            </w:r>
          </w:p>
        </w:tc>
      </w:tr>
      <w:tr>
        <w:trPr>
          <w:trHeight w:val="167"/>
        </w:trPr>
        <w:tc>
          <w:tcPr>
            <w:tcW w:w="3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Eric S. Yuan</w:t>
            </w:r>
          </w:p>
        </w:tc>
      </w:tr>
      <w:tr>
        <w:trPr>
          <w:trHeight w:val="178"/>
        </w:trPr>
        <w:tc>
          <w:tcPr>
            <w:tcW w:w="39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3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I, Kelly Steckelberg, certify, pursuant to 18 U.S.C. Section 1350, as adopted pursuant to Section 906 of the Sarbanes-Oxley Act of 2002, that the Annual Report on Form 10-K of Zoom Video Communications, Inc. for the fiscal year ended January 31, 2023 fully complies with the requirements of Section 13(a) or 15(d) of the Securities Exchange Act of 1934 and that information contained in such Annual Report on Form 10-K fairly presents, in all material respects, the financial condition and results of operations of Zoom Video Communications, Inc.</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7160" w:type="dxa"/>
            <w:vAlign w:val="bottom"/>
            <w:gridSpan w:val="2"/>
          </w:tcPr>
          <w:p>
            <w:pPr>
              <w:ind w:left="2780"/>
              <w:spacing w:after="0"/>
              <w:rPr>
                <w:sz w:val="20"/>
                <w:szCs w:val="20"/>
                <w:color w:val="auto"/>
              </w:rPr>
            </w:pPr>
            <w:r>
              <w:rPr>
                <w:rFonts w:ascii="Times New Roman" w:cs="Times New Roman" w:eastAsia="Times New Roman" w:hAnsi="Times New Roman"/>
                <w:sz w:val="14"/>
                <w:szCs w:val="14"/>
                <w:b w:val="1"/>
                <w:bCs w:val="1"/>
                <w:color w:val="auto"/>
              </w:rPr>
              <w:t>ZOOM VIDEO COMMUNICATIONS, INC.</w:t>
            </w:r>
          </w:p>
        </w:tc>
      </w:tr>
      <w:tr>
        <w:trPr>
          <w:trHeight w:val="361"/>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Date: March 3, 2023</w:t>
            </w:r>
          </w:p>
        </w:tc>
        <w:tc>
          <w:tcPr>
            <w:tcW w:w="7160" w:type="dxa"/>
            <w:vAlign w:val="bottom"/>
            <w:gridSpan w:val="2"/>
          </w:tcPr>
          <w:p>
            <w:pPr>
              <w:ind w:left="2780"/>
              <w:spacing w:after="0"/>
              <w:rPr>
                <w:sz w:val="20"/>
                <w:szCs w:val="20"/>
                <w:color w:val="auto"/>
              </w:rPr>
            </w:pPr>
            <w:r>
              <w:rPr>
                <w:rFonts w:ascii="Times New Roman" w:cs="Times New Roman" w:eastAsia="Times New Roman" w:hAnsi="Times New Roman"/>
                <w:sz w:val="14"/>
                <w:szCs w:val="14"/>
                <w:color w:val="auto"/>
              </w:rPr>
              <w:t>By:    /s/ Kelly Steckelberg</w:t>
            </w:r>
          </w:p>
        </w:tc>
      </w:tr>
      <w:tr>
        <w:trPr>
          <w:trHeight w:val="167"/>
        </w:trPr>
        <w:tc>
          <w:tcPr>
            <w:tcW w:w="3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Kelly Steckelberg</w:t>
            </w:r>
          </w:p>
        </w:tc>
      </w:tr>
      <w:tr>
        <w:trPr>
          <w:trHeight w:val="178"/>
        </w:trPr>
        <w:tc>
          <w:tcPr>
            <w:tcW w:w="39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6"/>
        </w:trPr>
        <w:tc>
          <w:tcPr>
            <w:tcW w:w="3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bl>
    <w:p>
      <w:pPr>
        <w:spacing w:after="0" w:line="200" w:lineRule="exact"/>
        <w:rPr>
          <w:sz w:val="20"/>
          <w:szCs w:val="20"/>
          <w:color w:val="auto"/>
        </w:rPr>
      </w:pPr>
    </w:p>
    <w:p>
      <w:pPr>
        <w:spacing w:after="0" w:line="2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certification accompanies the Form 10-K to which it relates, is not deemed filed with the Securities and Exchange Commission and is not to be incorporated by reference into any filing of Zoom Video Communications,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2"/>
    </w:lvl>
  </w:abstractNum>
  <w:abstractNum w:abstractNumId="20">
    <w:nsid w:val="836C40E"/>
    <w:multiLevelType w:val="hybridMultilevel"/>
    <w:lvl w:ilvl="0">
      <w:lvlJc w:val="left"/>
      <w:lvlText w:val="%1."/>
      <w:numFmt w:val="decimal"/>
      <w:start w:val="3"/>
    </w:lvl>
  </w:abstractNum>
  <w:abstractNum w:abstractNumId="21">
    <w:nsid w:val="2901D82"/>
    <w:multiLevelType w:val="hybridMultilevel"/>
    <w:lvl w:ilvl="0">
      <w:lvlJc w:val="left"/>
      <w:lvlText w:val="%1."/>
      <w:numFmt w:val="decimal"/>
      <w:start w:val="4"/>
    </w:lvl>
  </w:abstractNum>
  <w:abstractNum w:abstractNumId="22">
    <w:nsid w:val="3A95F874"/>
    <w:multiLevelType w:val="hybridMultilevel"/>
    <w:lvl w:ilvl="0">
      <w:lvlJc w:val="left"/>
      <w:lvlText w:val="%1."/>
      <w:numFmt w:val="decimal"/>
      <w:start w:val="5"/>
    </w:lvl>
  </w:abstractNum>
  <w:abstractNum w:abstractNumId="23">
    <w:nsid w:val="8138641"/>
    <w:multiLevelType w:val="hybridMultilevel"/>
    <w:lvl w:ilvl="0">
      <w:lvlJc w:val="left"/>
      <w:lvlText w:val="%1."/>
      <w:numFmt w:val="decimal"/>
      <w:start w:val="3"/>
    </w:lvl>
  </w:abstractNum>
  <w:abstractNum w:abstractNumId="24">
    <w:nsid w:val="1E7FF521"/>
    <w:multiLevelType w:val="hybridMultilevel"/>
    <w:lvl w:ilvl="0">
      <w:lvlJc w:val="left"/>
      <w:lvlText w:val="(%1)"/>
      <w:numFmt w:val="lowerRoman"/>
      <w:start w:val="2"/>
    </w:lvl>
  </w:abstractNum>
  <w:abstractNum w:abstractNumId="25">
    <w:nsid w:val="7C3DBD3D"/>
    <w:multiLevelType w:val="hybridMultilevel"/>
    <w:lvl w:ilvl="0">
      <w:lvlJc w:val="left"/>
      <w:lvlText w:val="•"/>
      <w:numFmt w:val="bullet"/>
      <w:start w:val="1"/>
    </w:lvl>
    <w:lvl w:ilvl="1">
      <w:lvlJc w:val="left"/>
      <w:lvlText w:val="◦"/>
      <w:numFmt w:val="bullet"/>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
      <w:numFmt w:val="bullet"/>
      <w:start w:val="1"/>
    </w:lvl>
    <w:lvl w:ilvl="1">
      <w:lvlJc w:val="left"/>
      <w:lvlText w:val="%2"/>
      <w:numFmt w:val="decimal"/>
      <w:start w:val="104"/>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lvl w:ilvl="1">
      <w:lvlJc w:val="left"/>
      <w:lvlText w:val="%2."/>
      <w:numFmt w:val="lowerLetter"/>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2"/>
    </w:lvl>
  </w:abstractNum>
  <w:abstractNum w:abstractNumId="33">
    <w:nsid w:val="5577F8E1"/>
    <w:multiLevelType w:val="hybridMultilevel"/>
    <w:lvl w:ilvl="0">
      <w:lvlJc w:val="left"/>
      <w:lvlText w:val="%1."/>
      <w:numFmt w:val="decimal"/>
      <w:start w:val="3"/>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3"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jpeg"/><Relationship Id="rId122" Type="http://schemas.openxmlformats.org/officeDocument/2006/relationships/hyperlink" Target="http://www.sec.gov/Archives/edgar/data/1585521/000119312519115111/d736915dex31.htm" TargetMode="External"/><Relationship Id="rId123" Type="http://schemas.openxmlformats.org/officeDocument/2006/relationships/hyperlink" Target="http://www.sec.gov/Archives/edgar/data/1585521/000119312519099813/d642624dex41.htm" TargetMode="External"/><Relationship Id="rId124" Type="http://schemas.openxmlformats.org/officeDocument/2006/relationships/hyperlink" Target="http://www.sec.gov/Archives/edgar/data/1585521/000119312519083351/d642624dex42.htm" TargetMode="External"/><Relationship Id="rId125" Type="http://schemas.openxmlformats.org/officeDocument/2006/relationships/hyperlink" Target="http://www.sec.gov/Archives/edgar/data/1585521/000119312519083351/d642624dex101.htm" TargetMode="External"/><Relationship Id="rId126" Type="http://schemas.openxmlformats.org/officeDocument/2006/relationships/hyperlink" Target="https://www.sec.gov/Archives/edgar/data/1585521/000158552122000213/exhibit102_zoomamendedandr.htm" TargetMode="External"/><Relationship Id="rId127" Type="http://schemas.openxmlformats.org/officeDocument/2006/relationships/hyperlink" Target="https://www.sec.gov/Archives/edgar/data/1585521/000158552120000238/a20200731-10qxex103.htm" TargetMode="External"/><Relationship Id="rId128" Type="http://schemas.openxmlformats.org/officeDocument/2006/relationships/hyperlink" Target="https://www.sec.gov/Archives/edgar/data/1585521/000158552120000299/zm-20201031xex101.htm" TargetMode="External"/><Relationship Id="rId129" Type="http://schemas.openxmlformats.org/officeDocument/2006/relationships/hyperlink" Target="http://www.sec.gov/Archives/edgar/data/1585521/000119312519099813/d642624dex103.htm" TargetMode="External"/><Relationship Id="rId130" Type="http://schemas.openxmlformats.org/officeDocument/2006/relationships/hyperlink" Target="https://www.sec.gov/Archives/edgar/data/1585521/000119312519083351/d642624dex104.htm" TargetMode="External"/><Relationship Id="rId131" Type="http://schemas.openxmlformats.org/officeDocument/2006/relationships/hyperlink" Target="http://www.sec.gov/Archives/edgar/data/1585521/000158552119000020/exhibit102_2019eiprsuexe.htm" TargetMode="External"/><Relationship Id="rId132" Type="http://schemas.openxmlformats.org/officeDocument/2006/relationships/hyperlink" Target="http://www.sec.gov/Archives/edgar/data/1585521/000158552119000020/exhibit103_2019eiprsunon.htm" TargetMode="External"/><Relationship Id="rId134" Type="http://schemas.openxmlformats.org/officeDocument/2006/relationships/hyperlink" Target="http://www.sec.gov/Archives/edgar/data/1585521/000119312519083351/d642624dex105.htm" TargetMode="External"/><Relationship Id="rId135" Type="http://schemas.openxmlformats.org/officeDocument/2006/relationships/hyperlink" Target="http://www.sec.gov/Archives/edgar/data/1585521/000119312519083351/d642624dex106.htm" TargetMode="External"/><Relationship Id="rId136" Type="http://schemas.openxmlformats.org/officeDocument/2006/relationships/hyperlink" Target="http://www.sec.gov/Archives/edgar/data/1585521/000119312519083351/d642624dex107.htm" TargetMode="External"/><Relationship Id="rId137" Type="http://schemas.openxmlformats.org/officeDocument/2006/relationships/hyperlink" Target="http://www.sec.gov/Archives/edgar/data/1585521/000119312519083351/d642624dex108.htm" TargetMode="External"/><Relationship Id="rId138" Type="http://schemas.openxmlformats.org/officeDocument/2006/relationships/hyperlink" Target="http://www.sec.gov/Archives/edgar/data/1585521/000158552119000020/exhibit104_azusoffer.htm" TargetMode="External"/><Relationship Id="rId139" Type="http://schemas.openxmlformats.org/officeDocument/2006/relationships/hyperlink" Target="https://www.sec.gov/Archives/edgar/data/1585521/000158552120000238/zm20200731ex101.htm" TargetMode="External"/><Relationship Id="rId140" Type="http://schemas.openxmlformats.org/officeDocument/2006/relationships/hyperlink" Target="https://www.sec.gov/Archives/edgar/data/1585521/000158552122000180/exhibit101_finalexecutedgr.htm" TargetMode="External"/><Relationship Id="rId141" Type="http://schemas.openxmlformats.org/officeDocument/2006/relationships/hyperlink" Target="https://www.sec.gov/Archives/edgar/data/1585521/000158552120000238/zm-20200731x10qxex102.htm" TargetMode="External"/><Relationship Id="rId142" Type="http://schemas.openxmlformats.org/officeDocument/2006/relationships/hyperlink" Target="https://www.sec.gov/Archives/edgar/data/1585521/000158552121000048/ex1017_napolitanoofferlett.htm" TargetMode="External"/><Relationship Id="rId143" Type="http://schemas.openxmlformats.org/officeDocument/2006/relationships/hyperlink" Target="https://www.sec.gov/Archives/edgar/data/1585521/000158552122000106/zoom-boardofferlettermcder.htm" TargetMode="External"/><Relationship Id="rId144" Type="http://schemas.openxmlformats.org/officeDocument/2006/relationships/hyperlink" Target="https://www.sec.gov/Archives/edgar/data/1585521/000119312519083351/d642624dex109.htm" TargetMode="External"/><Relationship Id="rId145" Type="http://schemas.openxmlformats.org/officeDocument/2006/relationships/hyperlink" Target="http://www.sec.gov/Archives/edgar/data/1585521/000158552119000020/exhibit105_lease4thamend.htm" TargetMode="External"/><Relationship Id="rId146" Type="http://schemas.openxmlformats.org/officeDocument/2006/relationships/hyperlink" Target="https://www.sec.gov/Archives/edgar/data/1585521/000158552120000154/zm-20200430xex101xexport.htm" TargetMode="External"/><Relationship Id="rId147" Type="http://schemas.openxmlformats.org/officeDocument/2006/relationships/hyperlink" Target="https://www.sec.gov/Archives/edgar/data/1585521/000158552122000037/ex1021_zoom-officerbonuspl.htm" TargetMode="External"/><Relationship Id="rId148" Type="http://schemas.openxmlformats.org/officeDocument/2006/relationships/hyperlink" Target="http://www.sec.gov/Archives/edgar/data/1585521/000119312519099813/d642624dex1011.htm" TargetMode="External"/><Relationship Id="rId149" Type="http://schemas.openxmlformats.org/officeDocument/2006/relationships/hyperlink" Target="https://www.sec.gov/Archives/edgar/data/1585521/000158552122000180/exhibit102_zoom-severanc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2023-03-03T10:14:49Z</dcterms:created>
  <dcterms:modified xsi:type="dcterms:W3CDTF">2023-03-03T10:14:49Z</dcterms:modified>
</cp:coreProperties>
</file>