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386080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412115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spacing w:after="0" w:line="233" w:lineRule="auto"/>
        <w:rPr>
          <w:sz w:val="20"/>
          <w:szCs w:val="20"/>
          <w:color w:val="auto"/>
        </w:rPr>
      </w:pPr>
      <w:r>
        <w:rPr>
          <w:rFonts w:ascii="Times New Roman" w:cs="Times New Roman" w:eastAsia="Times New Roman" w:hAnsi="Times New Roman"/>
          <w:sz w:val="20"/>
          <w:szCs w:val="20"/>
          <w:b w:val="1"/>
          <w:bCs w:val="1"/>
          <w:color w:val="auto"/>
        </w:rPr>
        <w:t>Washington, D.C. 20549</w:t>
      </w:r>
    </w:p>
    <w:p>
      <w:pPr>
        <w:ind w:left="33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7"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4" w:lineRule="exact"/>
        <w:rPr>
          <w:sz w:val="24"/>
          <w:szCs w:val="24"/>
          <w:color w:val="auto"/>
        </w:rPr>
      </w:pPr>
    </w:p>
    <w:p>
      <w:pPr>
        <w:ind w:left="400" w:right="880" w:hanging="374"/>
        <w:spacing w:after="0" w:line="262" w:lineRule="auto"/>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31, 2019</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400" w:right="860" w:hanging="374"/>
        <w:spacing w:after="0" w:line="262" w:lineRule="auto"/>
        <w:tabs>
          <w:tab w:leader="none" w:pos="4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29" w:right="239" w:bottom="1440" w:gutter="0" w:footer="0" w:header="0"/>
        </w:sectPr>
      </w:pPr>
    </w:p>
    <w:p>
      <w:pPr>
        <w:spacing w:after="0" w:line="7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85" w:lineRule="exact"/>
        <w:rPr>
          <w:sz w:val="24"/>
          <w:szCs w:val="24"/>
          <w:color w:val="auto"/>
        </w:rPr>
      </w:pPr>
    </w:p>
    <w:p>
      <w:pPr>
        <w:sectPr>
          <w:pgSz w:w="11900" w:h="16838" w:orient="portrait"/>
          <w:cols w:equalWidth="0" w:num="2">
            <w:col w:w="6920" w:space="720"/>
            <w:col w:w="3780"/>
          </w:cols>
          <w:pgMar w:left="240" w:top="229"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001-38865</w:t>
      </w:r>
    </w:p>
    <w:p>
      <w:pPr>
        <w:spacing w:after="0" w:line="25"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7"/>
          <w:szCs w:val="37"/>
          <w:b w:val="1"/>
          <w:bCs w:val="1"/>
          <w:color w:val="auto"/>
        </w:rPr>
        <w:t>Zoom Video Communications,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sectPr>
          <w:pgSz w:w="11900" w:h="16838" w:orient="portrait"/>
          <w:cols w:equalWidth="0" w:num="1">
            <w:col w:w="11420"/>
          </w:cols>
          <w:pgMar w:left="240" w:top="229" w:right="239" w:bottom="1440" w:gutter="0" w:footer="0" w:header="0"/>
          <w:type w:val="continuous"/>
        </w:sectPr>
      </w:pPr>
    </w:p>
    <w:p>
      <w:pPr>
        <w:spacing w:after="0" w:line="39"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61-1648780</w:t>
      </w:r>
    </w:p>
    <w:p>
      <w:pPr>
        <w:spacing w:after="0" w:line="61" w:lineRule="exact"/>
        <w:rPr>
          <w:sz w:val="24"/>
          <w:szCs w:val="24"/>
          <w:color w:val="auto"/>
        </w:rPr>
      </w:pPr>
    </w:p>
    <w:p>
      <w:pPr>
        <w:sectPr>
          <w:pgSz w:w="11900" w:h="16838" w:orient="portrait"/>
          <w:cols w:equalWidth="0" w:num="2">
            <w:col w:w="7400" w:space="720"/>
            <w:col w:w="3300"/>
          </w:cols>
          <w:pgMar w:left="240" w:top="229" w:right="239" w:bottom="1440" w:gutter="0" w:footer="0" w:header="0"/>
          <w:type w:val="continuous"/>
        </w:sectPr>
      </w:pPr>
    </w:p>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2">
            <w:col w:w="7280" w:space="720"/>
            <w:col w:w="3420"/>
          </w:cols>
          <w:pgMar w:left="240" w:top="229" w:right="239" w:bottom="1440" w:gutter="0" w:footer="0" w:header="0"/>
          <w:type w:val="continuous"/>
        </w:sectPr>
      </w:pPr>
    </w:p>
    <w:p>
      <w:pPr>
        <w:ind w:left="4440"/>
        <w:spacing w:after="0"/>
        <w:rPr>
          <w:sz w:val="20"/>
          <w:szCs w:val="20"/>
          <w:color w:val="auto"/>
        </w:rPr>
      </w:pPr>
      <w:r>
        <w:rPr>
          <w:rFonts w:ascii="Times New Roman" w:cs="Times New Roman" w:eastAsia="Times New Roman" w:hAnsi="Times New Roman"/>
          <w:sz w:val="18"/>
          <w:szCs w:val="18"/>
          <w:b w:val="1"/>
          <w:bCs w:val="1"/>
          <w:color w:val="auto"/>
        </w:rPr>
        <w:t>55 Almaden Boulevard, 6</w:t>
      </w:r>
      <w:r>
        <w:rPr>
          <w:rFonts w:ascii="Times New Roman" w:cs="Times New Roman" w:eastAsia="Times New Roman" w:hAnsi="Times New Roman"/>
          <w:sz w:val="16"/>
          <w:szCs w:val="16"/>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3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San Jose, California 95113</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(Address of principal executive offices and Zip Code)</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(888) 799-9666</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p>
      <w:pPr>
        <w:spacing w:after="0" w:line="1"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3"/>
        </w:trPr>
        <w:tc>
          <w:tcPr>
            <w:tcW w:w="4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17"/>
        </w:trPr>
        <w:tc>
          <w:tcPr>
            <w:tcW w:w="4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Class A Common Stock, $0.001 par value per share</w:t>
            </w:r>
          </w:p>
        </w:tc>
        <w:tc>
          <w:tcPr>
            <w:tcW w:w="2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ZM</w:t>
            </w:r>
          </w:p>
        </w:tc>
        <w:tc>
          <w:tcPr>
            <w:tcW w:w="4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27" w:lineRule="exact"/>
        <w:rPr>
          <w:sz w:val="24"/>
          <w:szCs w:val="24"/>
          <w:color w:val="auto"/>
        </w:rPr>
      </w:pPr>
    </w:p>
    <w:p>
      <w:pPr>
        <w:jc w:val="both"/>
        <w:ind w:right="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0"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6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274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6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27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36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spacing w:after="0"/>
              <w:rPr>
                <w:sz w:val="22"/>
                <w:szCs w:val="22"/>
                <w:color w:val="auto"/>
              </w:rPr>
            </w:pPr>
          </w:p>
        </w:tc>
        <w:tc>
          <w:tcPr>
            <w:tcW w:w="620" w:type="dxa"/>
            <w:vAlign w:val="bottom"/>
          </w:tcPr>
          <w:p>
            <w:pPr>
              <w:spacing w:after="0"/>
              <w:rPr>
                <w:sz w:val="22"/>
                <w:szCs w:val="22"/>
                <w:color w:val="auto"/>
              </w:rPr>
            </w:pPr>
          </w:p>
        </w:tc>
      </w:tr>
    </w:tbl>
    <w:p>
      <w:pPr>
        <w:spacing w:after="0" w:line="104"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tabs>
          <w:tab w:leader="none" w:pos="7500" w:val="left"/>
          <w:tab w:leader="none" w:pos="82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38" w:lineRule="exact"/>
        <w:rPr>
          <w:sz w:val="24"/>
          <w:szCs w:val="24"/>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As of November 22, 2019, the number of shares of the registrant’s Class A common stock outstanding was 111,794,527 and the number of shares of the registrant’s Class B common stock outstanding was 164,607,288.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935355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880" w:type="dxa"/>
            <w:vAlign w:val="bottom"/>
            <w:gridSpan w:val="26"/>
          </w:tcPr>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color w:val="0000FF"/>
                </w:rPr>
                <w:t>Table of Contents</w:t>
              </w:r>
            </w:hyperlink>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6"/>
        </w:trPr>
        <w:tc>
          <w:tcPr>
            <w:tcW w:w="9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540" w:type="dxa"/>
            <w:vAlign w:val="bottom"/>
            <w:gridSpan w:val="11"/>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Zoom Video Communications, Inc.</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540" w:type="dxa"/>
            <w:vAlign w:val="bottom"/>
            <w:gridSpan w:val="11"/>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80" w:type="dxa"/>
            <w:vAlign w:val="bottom"/>
            <w:gridSpan w:val="12"/>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October 31, 2019</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540" w:type="dxa"/>
            <w:vAlign w:val="bottom"/>
            <w:gridSpan w:val="11"/>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8980" w:type="dxa"/>
            <w:vAlign w:val="bottom"/>
            <w:gridSpan w:val="25"/>
            <w:vMerge w:val="restart"/>
          </w:tcPr>
          <w:p>
            <w:pPr>
              <w:spacing w:after="0" w:line="196"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PART I – Financial Information</w:t>
              </w:r>
            </w:hyperlink>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980" w:type="dxa"/>
            <w:vAlign w:val="bottom"/>
            <w:gridSpan w:val="25"/>
            <w:vMerge w:val="continue"/>
          </w:tcPr>
          <w:p>
            <w:pPr>
              <w:spacing w:after="0"/>
              <w:rPr>
                <w:sz w:val="14"/>
                <w:szCs w:val="14"/>
                <w:color w:val="auto"/>
              </w:rPr>
            </w:pPr>
          </w:p>
        </w:tc>
        <w:tc>
          <w:tcPr>
            <w:tcW w:w="1440" w:type="dxa"/>
            <w:vAlign w:val="bottom"/>
          </w:tcPr>
          <w:p>
            <w:pPr>
              <w:jc w:val="center"/>
              <w:spacing w:after="0" w:line="156" w:lineRule="exact"/>
              <w:rPr>
                <w:rFonts w:ascii="Times New Roman" w:cs="Times New Roman" w:eastAsia="Times New Roman" w:hAnsi="Times New Roman"/>
                <w:sz w:val="18"/>
                <w:szCs w:val="18"/>
                <w:color w:val="auto"/>
                <w:w w:val="88"/>
              </w:rPr>
            </w:pPr>
            <w:hyperlink w:anchor="page3">
              <w:r>
                <w:rPr>
                  <w:rFonts w:ascii="Times New Roman" w:cs="Times New Roman" w:eastAsia="Times New Roman" w:hAnsi="Times New Roman"/>
                  <w:sz w:val="18"/>
                  <w:szCs w:val="18"/>
                  <w:color w:val="auto"/>
                  <w:w w:val="88"/>
                </w:rPr>
                <w:t>4</w:t>
              </w:r>
            </w:hyperlink>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00" w:type="dxa"/>
            <w:vAlign w:val="bottom"/>
          </w:tcPr>
          <w:p>
            <w:pPr>
              <w:ind w:left="2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Item 1.</w:t>
              </w:r>
            </w:hyperlink>
          </w:p>
        </w:tc>
        <w:tc>
          <w:tcPr>
            <w:tcW w:w="8980" w:type="dxa"/>
            <w:vAlign w:val="bottom"/>
            <w:gridSpan w:val="25"/>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Financial Statements (Unaudited)</w:t>
              </w:r>
            </w:hyperlink>
          </w:p>
        </w:tc>
        <w:tc>
          <w:tcPr>
            <w:tcW w:w="1440" w:type="dxa"/>
            <w:vAlign w:val="bottom"/>
          </w:tcPr>
          <w:p>
            <w:pPr>
              <w:jc w:val="center"/>
              <w:spacing w:after="0"/>
              <w:rPr>
                <w:rFonts w:ascii="Times New Roman" w:cs="Times New Roman" w:eastAsia="Times New Roman" w:hAnsi="Times New Roman"/>
                <w:sz w:val="18"/>
                <w:szCs w:val="18"/>
                <w:color w:val="auto"/>
                <w:w w:val="88"/>
              </w:rPr>
            </w:pPr>
            <w:hyperlink w:anchor="page4">
              <w:r>
                <w:rPr>
                  <w:rFonts w:ascii="Times New Roman" w:cs="Times New Roman" w:eastAsia="Times New Roman" w:hAnsi="Times New Roman"/>
                  <w:sz w:val="18"/>
                  <w:szCs w:val="18"/>
                  <w:color w:val="auto"/>
                  <w:w w:val="88"/>
                </w:rPr>
                <w:t>4</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62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w:anchor="page4">
              <w:r>
                <w:rPr>
                  <w:rFonts w:ascii="Times New Roman" w:cs="Times New Roman" w:eastAsia="Times New Roman" w:hAnsi="Times New Roman"/>
                  <w:sz w:val="18"/>
                  <w:szCs w:val="18"/>
                  <w:color w:val="0000FF"/>
                  <w:w w:val="99"/>
                </w:rPr>
                <w:t>Condensed Consolidated Balance Sheets as of October 31, 2019 and January 31, 2019</w:t>
              </w:r>
            </w:hyperlink>
          </w:p>
        </w:tc>
        <w:tc>
          <w:tcPr>
            <w:tcW w:w="2780" w:type="dxa"/>
            <w:vAlign w:val="bottom"/>
            <w:gridSpan w:val="6"/>
          </w:tcPr>
          <w:p>
            <w:pPr>
              <w:spacing w:after="0"/>
              <w:rPr>
                <w:sz w:val="18"/>
                <w:szCs w:val="18"/>
                <w:color w:val="auto"/>
              </w:rPr>
            </w:pPr>
          </w:p>
        </w:tc>
        <w:tc>
          <w:tcPr>
            <w:tcW w:w="1440" w:type="dxa"/>
            <w:vAlign w:val="bottom"/>
          </w:tcPr>
          <w:p>
            <w:pPr>
              <w:jc w:val="center"/>
              <w:spacing w:after="0"/>
              <w:rPr>
                <w:rFonts w:ascii="Times New Roman" w:cs="Times New Roman" w:eastAsia="Times New Roman" w:hAnsi="Times New Roman"/>
                <w:sz w:val="18"/>
                <w:szCs w:val="18"/>
                <w:color w:val="auto"/>
                <w:w w:val="88"/>
              </w:rPr>
            </w:pPr>
            <w:hyperlink w:anchor="page4">
              <w:r>
                <w:rPr>
                  <w:rFonts w:ascii="Times New Roman" w:cs="Times New Roman" w:eastAsia="Times New Roman" w:hAnsi="Times New Roman"/>
                  <w:sz w:val="18"/>
                  <w:szCs w:val="18"/>
                  <w:color w:val="auto"/>
                  <w:w w:val="88"/>
                </w:rPr>
                <w:t>4</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00" w:type="dxa"/>
            <w:vAlign w:val="bottom"/>
          </w:tcPr>
          <w:p>
            <w:pPr>
              <w:spacing w:after="0"/>
              <w:rPr>
                <w:sz w:val="24"/>
                <w:szCs w:val="24"/>
                <w:color w:val="auto"/>
              </w:rPr>
            </w:pPr>
          </w:p>
        </w:tc>
        <w:tc>
          <w:tcPr>
            <w:tcW w:w="8980" w:type="dxa"/>
            <w:vAlign w:val="bottom"/>
            <w:gridSpan w:val="25"/>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Condensed Consolidated Statements of Operations for the Three and Nine Months Ended October 31, 2019 and 2018</w:t>
              </w:r>
            </w:hyperlink>
          </w:p>
        </w:tc>
        <w:tc>
          <w:tcPr>
            <w:tcW w:w="1440" w:type="dxa"/>
            <w:vAlign w:val="bottom"/>
          </w:tcPr>
          <w:p>
            <w:pPr>
              <w:jc w:val="center"/>
              <w:spacing w:after="0"/>
              <w:rPr>
                <w:rFonts w:ascii="Times New Roman" w:cs="Times New Roman" w:eastAsia="Times New Roman" w:hAnsi="Times New Roman"/>
                <w:sz w:val="18"/>
                <w:szCs w:val="18"/>
                <w:color w:val="auto"/>
                <w:w w:val="88"/>
              </w:rPr>
            </w:pPr>
            <w:hyperlink w:anchor="page4">
              <w:r>
                <w:rPr>
                  <w:rFonts w:ascii="Times New Roman" w:cs="Times New Roman" w:eastAsia="Times New Roman" w:hAnsi="Times New Roman"/>
                  <w:sz w:val="18"/>
                  <w:szCs w:val="18"/>
                  <w:color w:val="auto"/>
                  <w:w w:val="88"/>
                </w:rPr>
                <w:t>5</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900" w:type="dxa"/>
            <w:vAlign w:val="bottom"/>
          </w:tcPr>
          <w:p>
            <w:pPr>
              <w:spacing w:after="0"/>
              <w:rPr>
                <w:sz w:val="24"/>
                <w:szCs w:val="24"/>
                <w:color w:val="auto"/>
              </w:rPr>
            </w:pPr>
          </w:p>
        </w:tc>
        <w:tc>
          <w:tcPr>
            <w:tcW w:w="8980" w:type="dxa"/>
            <w:vAlign w:val="bottom"/>
            <w:gridSpan w:val="25"/>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Condensed Consolidated Statements of Comprehensive Income (Loss) for the Three and Nine Months Ended October 31,</w:t>
              </w:r>
            </w:hyperlink>
          </w:p>
        </w:tc>
        <w:tc>
          <w:tcPr>
            <w:tcW w:w="1440" w:type="dxa"/>
            <w:vAlign w:val="bottom"/>
            <w:vMerge w:val="restart"/>
          </w:tcPr>
          <w:p>
            <w:pPr>
              <w:jc w:val="center"/>
              <w:spacing w:after="0"/>
              <w:rPr>
                <w:rFonts w:ascii="Times New Roman" w:cs="Times New Roman" w:eastAsia="Times New Roman" w:hAnsi="Times New Roman"/>
                <w:sz w:val="18"/>
                <w:szCs w:val="18"/>
                <w:color w:val="auto"/>
                <w:w w:val="88"/>
              </w:rPr>
            </w:pPr>
            <w:hyperlink w:anchor="page5">
              <w:r>
                <w:rPr>
                  <w:rFonts w:ascii="Times New Roman" w:cs="Times New Roman" w:eastAsia="Times New Roman" w:hAnsi="Times New Roman"/>
                  <w:sz w:val="18"/>
                  <w:szCs w:val="18"/>
                  <w:color w:val="auto"/>
                  <w:w w:val="88"/>
                </w:rPr>
                <w:t>6</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900" w:type="dxa"/>
            <w:vAlign w:val="bottom"/>
          </w:tcPr>
          <w:p>
            <w:pPr>
              <w:spacing w:after="0"/>
              <w:rPr>
                <w:sz w:val="11"/>
                <w:szCs w:val="11"/>
                <w:color w:val="auto"/>
              </w:rPr>
            </w:pPr>
          </w:p>
        </w:tc>
        <w:tc>
          <w:tcPr>
            <w:tcW w:w="5080" w:type="dxa"/>
            <w:vAlign w:val="bottom"/>
            <w:tcBorders>
              <w:top w:val="single" w:sz="8" w:color="0000FF"/>
            </w:tcBorders>
            <w:gridSpan w:val="18"/>
          </w:tcPr>
          <w:p>
            <w:pPr>
              <w:spacing w:after="0" w:line="136" w:lineRule="exact"/>
              <w:rPr>
                <w:rFonts w:ascii="Times New Roman" w:cs="Times New Roman" w:eastAsia="Times New Roman" w:hAnsi="Times New Roman"/>
                <w:sz w:val="15"/>
                <w:szCs w:val="15"/>
                <w:color w:val="0000FF"/>
              </w:rPr>
            </w:pPr>
            <w:hyperlink w:anchor="page5">
              <w:r>
                <w:rPr>
                  <w:rFonts w:ascii="Times New Roman" w:cs="Times New Roman" w:eastAsia="Times New Roman" w:hAnsi="Times New Roman"/>
                  <w:sz w:val="15"/>
                  <w:szCs w:val="15"/>
                  <w:color w:val="0000FF"/>
                </w:rPr>
                <w:t>2019 and 2018</w:t>
              </w:r>
            </w:hyperlink>
          </w:p>
        </w:tc>
        <w:tc>
          <w:tcPr>
            <w:tcW w:w="112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28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0" w:type="dxa"/>
            <w:vAlign w:val="bottom"/>
          </w:tcPr>
          <w:p>
            <w:pPr>
              <w:spacing w:after="0"/>
              <w:rPr>
                <w:sz w:val="24"/>
                <w:szCs w:val="24"/>
                <w:color w:val="auto"/>
              </w:rPr>
            </w:pPr>
          </w:p>
        </w:tc>
        <w:tc>
          <w:tcPr>
            <w:tcW w:w="8980" w:type="dxa"/>
            <w:vAlign w:val="bottom"/>
            <w:gridSpan w:val="25"/>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Condensed Consolidated Statements of Convertible Preferred Stock and Stockholders’ Equity (Deficit) for the Three and</w:t>
              </w:r>
            </w:hyperlink>
          </w:p>
        </w:tc>
        <w:tc>
          <w:tcPr>
            <w:tcW w:w="1440" w:type="dxa"/>
            <w:vAlign w:val="bottom"/>
            <w:vMerge w:val="restart"/>
          </w:tcPr>
          <w:p>
            <w:pPr>
              <w:jc w:val="center"/>
              <w:spacing w:after="0"/>
              <w:rPr>
                <w:rFonts w:ascii="Times New Roman" w:cs="Times New Roman" w:eastAsia="Times New Roman" w:hAnsi="Times New Roman"/>
                <w:sz w:val="18"/>
                <w:szCs w:val="18"/>
                <w:color w:val="auto"/>
                <w:w w:val="88"/>
              </w:rPr>
            </w:pPr>
            <w:hyperlink w:anchor="page6">
              <w:r>
                <w:rPr>
                  <w:rFonts w:ascii="Times New Roman" w:cs="Times New Roman" w:eastAsia="Times New Roman" w:hAnsi="Times New Roman"/>
                  <w:sz w:val="18"/>
                  <w:szCs w:val="18"/>
                  <w:color w:val="auto"/>
                  <w:w w:val="88"/>
                </w:rPr>
                <w:t>7</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87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Nine Months Ended October 31, 2019 and 2018</w:t>
              </w:r>
            </w:hyperlink>
          </w:p>
        </w:tc>
        <w:tc>
          <w:tcPr>
            <w:tcW w:w="280" w:type="dxa"/>
            <w:vAlign w:val="bottom"/>
            <w:gridSpan w:val="2"/>
          </w:tcPr>
          <w:p>
            <w:pPr>
              <w:spacing w:after="0"/>
              <w:rPr>
                <w:sz w:val="13"/>
                <w:szCs w:val="13"/>
                <w:color w:val="auto"/>
              </w:rPr>
            </w:pP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8980" w:type="dxa"/>
            <w:vAlign w:val="bottom"/>
            <w:gridSpan w:val="25"/>
          </w:tcPr>
          <w:p>
            <w:pPr>
              <w:spacing w:after="0"/>
              <w:rPr>
                <w:rFonts w:ascii="Times New Roman" w:cs="Times New Roman" w:eastAsia="Times New Roman" w:hAnsi="Times New Roman"/>
                <w:sz w:val="18"/>
                <w:szCs w:val="18"/>
                <w:color w:val="0000FF"/>
              </w:rPr>
            </w:pPr>
            <w:hyperlink w:anchor="page8">
              <w:r>
                <w:rPr>
                  <w:rFonts w:ascii="Times New Roman" w:cs="Times New Roman" w:eastAsia="Times New Roman" w:hAnsi="Times New Roman"/>
                  <w:sz w:val="18"/>
                  <w:szCs w:val="18"/>
                  <w:color w:val="0000FF"/>
                </w:rPr>
                <w:t>Condensed Consolidated Statements of Cash Flows for the Nine Months Ended October 31, 2019 and 2018</w:t>
              </w:r>
            </w:hyperlink>
          </w:p>
        </w:tc>
        <w:tc>
          <w:tcPr>
            <w:tcW w:w="1440" w:type="dxa"/>
            <w:vAlign w:val="bottom"/>
          </w:tcPr>
          <w:p>
            <w:pPr>
              <w:jc w:val="center"/>
              <w:spacing w:after="0"/>
              <w:rPr>
                <w:rFonts w:ascii="Times New Roman" w:cs="Times New Roman" w:eastAsia="Times New Roman" w:hAnsi="Times New Roman"/>
                <w:sz w:val="18"/>
                <w:szCs w:val="18"/>
                <w:color w:val="auto"/>
                <w:w w:val="88"/>
              </w:rPr>
            </w:pPr>
            <w:hyperlink w:anchor="page8">
              <w:r>
                <w:rPr>
                  <w:rFonts w:ascii="Times New Roman" w:cs="Times New Roman" w:eastAsia="Times New Roman" w:hAnsi="Times New Roman"/>
                  <w:sz w:val="18"/>
                  <w:szCs w:val="18"/>
                  <w:color w:val="auto"/>
                  <w:w w:val="88"/>
                </w:rPr>
                <w:t>9</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7720" w:type="dxa"/>
            <w:vAlign w:val="bottom"/>
            <w:tcBorders>
              <w:top w:val="single" w:sz="8" w:color="0000FF"/>
            </w:tcBorders>
            <w:gridSpan w:val="21"/>
          </w:tcPr>
          <w:p>
            <w:pPr>
              <w:spacing w:after="0"/>
              <w:rPr>
                <w:rFonts w:ascii="Times New Roman" w:cs="Times New Roman" w:eastAsia="Times New Roman" w:hAnsi="Times New Roman"/>
                <w:sz w:val="18"/>
                <w:szCs w:val="18"/>
                <w:color w:val="0000FF"/>
              </w:rPr>
            </w:pPr>
            <w:hyperlink w:anchor="page9">
              <w:r>
                <w:rPr>
                  <w:rFonts w:ascii="Times New Roman" w:cs="Times New Roman" w:eastAsia="Times New Roman" w:hAnsi="Times New Roman"/>
                  <w:sz w:val="18"/>
                  <w:szCs w:val="18"/>
                  <w:color w:val="0000FF"/>
                </w:rPr>
                <w:t>Notes to Condensed Consolidated Financial Statements</w:t>
              </w:r>
            </w:hyperlink>
          </w:p>
        </w:tc>
        <w:tc>
          <w:tcPr>
            <w:tcW w:w="1260" w:type="dxa"/>
            <w:vAlign w:val="bottom"/>
            <w:gridSpan w:val="4"/>
          </w:tcPr>
          <w:p>
            <w:pPr>
              <w:spacing w:after="0"/>
              <w:rPr>
                <w:sz w:val="18"/>
                <w:szCs w:val="18"/>
                <w:color w:val="auto"/>
              </w:rPr>
            </w:pPr>
          </w:p>
        </w:tc>
        <w:tc>
          <w:tcPr>
            <w:tcW w:w="1440" w:type="dxa"/>
            <w:vAlign w:val="bottom"/>
          </w:tcPr>
          <w:p>
            <w:pPr>
              <w:jc w:val="center"/>
              <w:spacing w:after="0"/>
              <w:rPr>
                <w:rFonts w:ascii="Times New Roman" w:cs="Times New Roman" w:eastAsia="Times New Roman" w:hAnsi="Times New Roman"/>
                <w:sz w:val="18"/>
                <w:szCs w:val="18"/>
                <w:color w:val="auto"/>
                <w:w w:val="99"/>
              </w:rPr>
            </w:pPr>
            <w:hyperlink w:anchor="page9">
              <w:r>
                <w:rPr>
                  <w:rFonts w:ascii="Times New Roman" w:cs="Times New Roman" w:eastAsia="Times New Roman" w:hAnsi="Times New Roman"/>
                  <w:sz w:val="18"/>
                  <w:szCs w:val="18"/>
                  <w:color w:val="auto"/>
                  <w:w w:val="99"/>
                </w:rPr>
                <w:t>10</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ind w:left="20"/>
              <w:spacing w:after="0"/>
              <w:rPr>
                <w:rFonts w:ascii="Times New Roman" w:cs="Times New Roman" w:eastAsia="Times New Roman" w:hAnsi="Times New Roman"/>
                <w:sz w:val="18"/>
                <w:szCs w:val="18"/>
                <w:color w:val="auto"/>
              </w:rPr>
            </w:pPr>
            <w:hyperlink w:anchor="page24">
              <w:r>
                <w:rPr>
                  <w:rFonts w:ascii="Times New Roman" w:cs="Times New Roman" w:eastAsia="Times New Roman" w:hAnsi="Times New Roman"/>
                  <w:sz w:val="18"/>
                  <w:szCs w:val="18"/>
                  <w:color w:val="auto"/>
                </w:rPr>
                <w:t>Item 2.</w:t>
              </w:r>
            </w:hyperlink>
          </w:p>
        </w:tc>
        <w:tc>
          <w:tcPr>
            <w:tcW w:w="8980" w:type="dxa"/>
            <w:vAlign w:val="bottom"/>
            <w:gridSpan w:val="25"/>
          </w:tcPr>
          <w:p>
            <w:pPr>
              <w:spacing w:after="0"/>
              <w:rPr>
                <w:rFonts w:ascii="Times New Roman" w:cs="Times New Roman" w:eastAsia="Times New Roman" w:hAnsi="Times New Roman"/>
                <w:sz w:val="18"/>
                <w:szCs w:val="18"/>
                <w:color w:val="0000FF"/>
              </w:rPr>
            </w:pPr>
            <w:hyperlink w:anchor="page24">
              <w:r>
                <w:rPr>
                  <w:rFonts w:ascii="Times New Roman" w:cs="Times New Roman" w:eastAsia="Times New Roman" w:hAnsi="Times New Roman"/>
                  <w:sz w:val="18"/>
                  <w:szCs w:val="18"/>
                  <w:color w:val="0000FF"/>
                </w:rPr>
                <w:t>Management’s Discussion and Analysis of Financial Condition and Results of Operations</w:t>
              </w:r>
            </w:hyperlink>
          </w:p>
        </w:tc>
        <w:tc>
          <w:tcPr>
            <w:tcW w:w="1440" w:type="dxa"/>
            <w:vAlign w:val="bottom"/>
          </w:tcPr>
          <w:p>
            <w:pPr>
              <w:jc w:val="center"/>
              <w:spacing w:after="0"/>
              <w:rPr>
                <w:rFonts w:ascii="Times New Roman" w:cs="Times New Roman" w:eastAsia="Times New Roman" w:hAnsi="Times New Roman"/>
                <w:sz w:val="18"/>
                <w:szCs w:val="18"/>
                <w:color w:val="auto"/>
                <w:w w:val="99"/>
              </w:rPr>
            </w:pPr>
            <w:hyperlink w:anchor="page24">
              <w:r>
                <w:rPr>
                  <w:rFonts w:ascii="Times New Roman" w:cs="Times New Roman" w:eastAsia="Times New Roman" w:hAnsi="Times New Roman"/>
                  <w:sz w:val="18"/>
                  <w:szCs w:val="18"/>
                  <w:color w:val="auto"/>
                  <w:w w:val="99"/>
                </w:rPr>
                <w:t>24</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ind w:left="20"/>
              <w:spacing w:after="0"/>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Item 3.</w:t>
              </w:r>
            </w:hyperlink>
          </w:p>
        </w:tc>
        <w:tc>
          <w:tcPr>
            <w:tcW w:w="4360" w:type="dxa"/>
            <w:vAlign w:val="bottom"/>
            <w:tcBorders>
              <w:top w:val="single" w:sz="8" w:color="0000FF"/>
              <w:bottom w:val="single" w:sz="8" w:color="0000FF"/>
            </w:tcBorders>
            <w:gridSpan w:val="17"/>
          </w:tcPr>
          <w:p>
            <w:pPr>
              <w:spacing w:after="0"/>
              <w:rPr>
                <w:rFonts w:ascii="Times New Roman" w:cs="Times New Roman" w:eastAsia="Times New Roman" w:hAnsi="Times New Roman"/>
                <w:sz w:val="18"/>
                <w:szCs w:val="18"/>
                <w:color w:val="0000FF"/>
                <w:w w:val="99"/>
              </w:rPr>
            </w:pPr>
            <w:hyperlink w:anchor="page34">
              <w:r>
                <w:rPr>
                  <w:rFonts w:ascii="Times New Roman" w:cs="Times New Roman" w:eastAsia="Times New Roman" w:hAnsi="Times New Roman"/>
                  <w:sz w:val="18"/>
                  <w:szCs w:val="18"/>
                  <w:color w:val="0000FF"/>
                  <w:w w:val="99"/>
                </w:rPr>
                <w:t>Quantitative and Qualitative Disclosures About Market Risk</w:t>
              </w:r>
            </w:hyperlink>
          </w:p>
        </w:tc>
        <w:tc>
          <w:tcPr>
            <w:tcW w:w="2080" w:type="dxa"/>
            <w:vAlign w:val="bottom"/>
            <w:tcBorders>
              <w:top w:val="single" w:sz="8" w:color="0000FF"/>
            </w:tcBorders>
            <w:gridSpan w:val="3"/>
          </w:tcPr>
          <w:p>
            <w:pPr>
              <w:spacing w:after="0"/>
              <w:rPr>
                <w:sz w:val="18"/>
                <w:szCs w:val="18"/>
                <w:color w:val="auto"/>
              </w:rPr>
            </w:pPr>
          </w:p>
        </w:tc>
        <w:tc>
          <w:tcPr>
            <w:tcW w:w="2540" w:type="dxa"/>
            <w:vAlign w:val="bottom"/>
            <w:gridSpan w:val="5"/>
          </w:tcPr>
          <w:p>
            <w:pPr>
              <w:spacing w:after="0"/>
              <w:rPr>
                <w:sz w:val="18"/>
                <w:szCs w:val="18"/>
                <w:color w:val="auto"/>
              </w:rPr>
            </w:pPr>
          </w:p>
        </w:tc>
        <w:tc>
          <w:tcPr>
            <w:tcW w:w="1440" w:type="dxa"/>
            <w:vAlign w:val="bottom"/>
          </w:tcPr>
          <w:p>
            <w:pPr>
              <w:jc w:val="center"/>
              <w:spacing w:after="0"/>
              <w:rPr>
                <w:rFonts w:ascii="Times New Roman" w:cs="Times New Roman" w:eastAsia="Times New Roman" w:hAnsi="Times New Roman"/>
                <w:sz w:val="18"/>
                <w:szCs w:val="18"/>
                <w:color w:val="auto"/>
                <w:w w:val="99"/>
              </w:rPr>
            </w:pPr>
            <w:hyperlink w:anchor="page34">
              <w:r>
                <w:rPr>
                  <w:rFonts w:ascii="Times New Roman" w:cs="Times New Roman" w:eastAsia="Times New Roman" w:hAnsi="Times New Roman"/>
                  <w:sz w:val="18"/>
                  <w:szCs w:val="18"/>
                  <w:color w:val="auto"/>
                  <w:w w:val="99"/>
                </w:rPr>
                <w:t>35</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ind w:left="20"/>
              <w:spacing w:after="0"/>
              <w:rPr>
                <w:rFonts w:ascii="Times New Roman" w:cs="Times New Roman" w:eastAsia="Times New Roman" w:hAnsi="Times New Roman"/>
                <w:sz w:val="18"/>
                <w:szCs w:val="18"/>
                <w:color w:val="auto"/>
              </w:rPr>
            </w:pPr>
            <w:hyperlink w:anchor="page35">
              <w:r>
                <w:rPr>
                  <w:rFonts w:ascii="Times New Roman" w:cs="Times New Roman" w:eastAsia="Times New Roman" w:hAnsi="Times New Roman"/>
                  <w:sz w:val="18"/>
                  <w:szCs w:val="18"/>
                  <w:color w:val="auto"/>
                </w:rPr>
                <w:t>Item 4.</w:t>
              </w:r>
            </w:hyperlink>
          </w:p>
        </w:tc>
        <w:tc>
          <w:tcPr>
            <w:tcW w:w="178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w:anchor="page35">
              <w:r>
                <w:rPr>
                  <w:rFonts w:ascii="Times New Roman" w:cs="Times New Roman" w:eastAsia="Times New Roman" w:hAnsi="Times New Roman"/>
                  <w:sz w:val="18"/>
                  <w:szCs w:val="18"/>
                  <w:color w:val="0000FF"/>
                  <w:w w:val="99"/>
                </w:rPr>
                <w:t>Controls and Procedures</w:t>
              </w:r>
            </w:hyperlink>
          </w:p>
        </w:tc>
        <w:tc>
          <w:tcPr>
            <w:tcW w:w="7200" w:type="dxa"/>
            <w:vAlign w:val="bottom"/>
            <w:gridSpan w:val="16"/>
          </w:tcPr>
          <w:p>
            <w:pPr>
              <w:spacing w:after="0"/>
              <w:rPr>
                <w:sz w:val="18"/>
                <w:szCs w:val="18"/>
                <w:color w:val="auto"/>
              </w:rPr>
            </w:pPr>
          </w:p>
        </w:tc>
        <w:tc>
          <w:tcPr>
            <w:tcW w:w="1440" w:type="dxa"/>
            <w:vAlign w:val="bottom"/>
          </w:tcPr>
          <w:p>
            <w:pPr>
              <w:jc w:val="center"/>
              <w:spacing w:after="0"/>
              <w:rPr>
                <w:rFonts w:ascii="Times New Roman" w:cs="Times New Roman" w:eastAsia="Times New Roman" w:hAnsi="Times New Roman"/>
                <w:sz w:val="18"/>
                <w:szCs w:val="18"/>
                <w:color w:val="auto"/>
                <w:w w:val="99"/>
              </w:rPr>
            </w:pPr>
            <w:hyperlink w:anchor="page35">
              <w:r>
                <w:rPr>
                  <w:rFonts w:ascii="Times New Roman" w:cs="Times New Roman" w:eastAsia="Times New Roman" w:hAnsi="Times New Roman"/>
                  <w:sz w:val="18"/>
                  <w:szCs w:val="18"/>
                  <w:color w:val="auto"/>
                  <w:w w:val="99"/>
                </w:rPr>
                <w:t>35</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900" w:type="dxa"/>
            <w:vAlign w:val="bottom"/>
          </w:tcPr>
          <w:p>
            <w:pPr>
              <w:spacing w:after="0"/>
              <w:rPr>
                <w:sz w:val="22"/>
                <w:szCs w:val="22"/>
                <w:color w:val="auto"/>
              </w:rPr>
            </w:pPr>
          </w:p>
        </w:tc>
        <w:tc>
          <w:tcPr>
            <w:tcW w:w="8980" w:type="dxa"/>
            <w:vAlign w:val="bottom"/>
            <w:gridSpan w:val="25"/>
          </w:tcPr>
          <w:p>
            <w:pPr>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PART II – Other Information</w:t>
              </w:r>
            </w:hyperlink>
          </w:p>
        </w:tc>
        <w:tc>
          <w:tcPr>
            <w:tcW w:w="1440" w:type="dxa"/>
            <w:vAlign w:val="bottom"/>
          </w:tcPr>
          <w:p>
            <w:pPr>
              <w:jc w:val="center"/>
              <w:spacing w:after="0"/>
              <w:rPr>
                <w:rFonts w:ascii="Times New Roman" w:cs="Times New Roman" w:eastAsia="Times New Roman" w:hAnsi="Times New Roman"/>
                <w:sz w:val="18"/>
                <w:szCs w:val="18"/>
                <w:color w:val="auto"/>
                <w:w w:val="99"/>
              </w:rPr>
            </w:pPr>
            <w:hyperlink w:anchor="page35">
              <w:r>
                <w:rPr>
                  <w:rFonts w:ascii="Times New Roman" w:cs="Times New Roman" w:eastAsia="Times New Roman" w:hAnsi="Times New Roman"/>
                  <w:sz w:val="18"/>
                  <w:szCs w:val="18"/>
                  <w:color w:val="auto"/>
                  <w:w w:val="99"/>
                </w:rPr>
                <w:t>36</w:t>
              </w:r>
            </w:hyperlink>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00" w:type="dxa"/>
            <w:vAlign w:val="bottom"/>
          </w:tcPr>
          <w:p>
            <w:pPr>
              <w:ind w:left="20"/>
              <w:spacing w:after="0"/>
              <w:rPr>
                <w:rFonts w:ascii="Times New Roman" w:cs="Times New Roman" w:eastAsia="Times New Roman" w:hAnsi="Times New Roman"/>
                <w:sz w:val="18"/>
                <w:szCs w:val="18"/>
                <w:color w:val="auto"/>
              </w:rPr>
            </w:pPr>
            <w:hyperlink w:anchor="page36">
              <w:r>
                <w:rPr>
                  <w:rFonts w:ascii="Times New Roman" w:cs="Times New Roman" w:eastAsia="Times New Roman" w:hAnsi="Times New Roman"/>
                  <w:sz w:val="18"/>
                  <w:szCs w:val="18"/>
                  <w:color w:val="auto"/>
                </w:rPr>
                <w:t>Item 1.</w:t>
              </w:r>
            </w:hyperlink>
          </w:p>
        </w:tc>
        <w:tc>
          <w:tcPr>
            <w:tcW w:w="2080" w:type="dxa"/>
            <w:vAlign w:val="bottom"/>
            <w:tcBorders>
              <w:top w:val="single" w:sz="8" w:color="0000FF"/>
            </w:tcBorders>
            <w:gridSpan w:val="10"/>
          </w:tcPr>
          <w:p>
            <w:pPr>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Legal Proceedings</w:t>
              </w:r>
            </w:hyperlink>
          </w:p>
        </w:tc>
        <w:tc>
          <w:tcPr>
            <w:tcW w:w="6900" w:type="dxa"/>
            <w:vAlign w:val="bottom"/>
            <w:gridSpan w:val="15"/>
          </w:tcPr>
          <w:p>
            <w:pPr>
              <w:spacing w:after="0"/>
              <w:rPr>
                <w:sz w:val="22"/>
                <w:szCs w:val="22"/>
                <w:color w:val="auto"/>
              </w:rPr>
            </w:pPr>
          </w:p>
        </w:tc>
        <w:tc>
          <w:tcPr>
            <w:tcW w:w="1440" w:type="dxa"/>
            <w:vAlign w:val="bottom"/>
          </w:tcPr>
          <w:p>
            <w:pPr>
              <w:jc w:val="center"/>
              <w:spacing w:after="0"/>
              <w:rPr>
                <w:rFonts w:ascii="Times New Roman" w:cs="Times New Roman" w:eastAsia="Times New Roman" w:hAnsi="Times New Roman"/>
                <w:sz w:val="18"/>
                <w:szCs w:val="18"/>
                <w:color w:val="auto"/>
                <w:w w:val="99"/>
              </w:rPr>
            </w:pPr>
            <w:hyperlink w:anchor="page36">
              <w:r>
                <w:rPr>
                  <w:rFonts w:ascii="Times New Roman" w:cs="Times New Roman" w:eastAsia="Times New Roman" w:hAnsi="Times New Roman"/>
                  <w:sz w:val="18"/>
                  <w:szCs w:val="18"/>
                  <w:color w:val="auto"/>
                  <w:w w:val="99"/>
                </w:rPr>
                <w:t>36</w:t>
              </w:r>
            </w:hyperlink>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00" w:type="dxa"/>
            <w:vAlign w:val="bottom"/>
          </w:tcPr>
          <w:p>
            <w:pPr>
              <w:ind w:left="20"/>
              <w:spacing w:after="0"/>
              <w:rPr>
                <w:rFonts w:ascii="Times New Roman" w:cs="Times New Roman" w:eastAsia="Times New Roman" w:hAnsi="Times New Roman"/>
                <w:sz w:val="18"/>
                <w:szCs w:val="18"/>
                <w:color w:val="auto"/>
              </w:rPr>
            </w:pPr>
            <w:hyperlink w:anchor="page36">
              <w:r>
                <w:rPr>
                  <w:rFonts w:ascii="Times New Roman" w:cs="Times New Roman" w:eastAsia="Times New Roman" w:hAnsi="Times New Roman"/>
                  <w:sz w:val="18"/>
                  <w:szCs w:val="18"/>
                  <w:color w:val="auto"/>
                </w:rPr>
                <w:t>Item 1A</w:t>
              </w:r>
            </w:hyperlink>
          </w:p>
        </w:tc>
        <w:tc>
          <w:tcPr>
            <w:tcW w:w="90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color w:val="0000FF"/>
                <w:w w:val="97"/>
              </w:rPr>
            </w:pPr>
            <w:hyperlink w:anchor="page36">
              <w:r>
                <w:rPr>
                  <w:rFonts w:ascii="Times New Roman" w:cs="Times New Roman" w:eastAsia="Times New Roman" w:hAnsi="Times New Roman"/>
                  <w:sz w:val="18"/>
                  <w:szCs w:val="18"/>
                  <w:color w:val="0000FF"/>
                  <w:w w:val="97"/>
                </w:rPr>
                <w:t>Risk Factors</w:t>
              </w:r>
            </w:hyperlink>
          </w:p>
        </w:tc>
        <w:tc>
          <w:tcPr>
            <w:tcW w:w="420" w:type="dxa"/>
            <w:vAlign w:val="bottom"/>
            <w:tcBorders>
              <w:top w:val="single" w:sz="8" w:color="0000FF"/>
            </w:tcBorders>
            <w:gridSpan w:val="3"/>
          </w:tcPr>
          <w:p>
            <w:pPr>
              <w:spacing w:after="0"/>
              <w:rPr>
                <w:sz w:val="18"/>
                <w:szCs w:val="18"/>
                <w:color w:val="auto"/>
              </w:rPr>
            </w:pPr>
          </w:p>
        </w:tc>
        <w:tc>
          <w:tcPr>
            <w:tcW w:w="7660" w:type="dxa"/>
            <w:vAlign w:val="bottom"/>
            <w:gridSpan w:val="18"/>
          </w:tcPr>
          <w:p>
            <w:pPr>
              <w:spacing w:after="0"/>
              <w:rPr>
                <w:sz w:val="18"/>
                <w:szCs w:val="18"/>
                <w:color w:val="auto"/>
              </w:rPr>
            </w:pPr>
          </w:p>
        </w:tc>
        <w:tc>
          <w:tcPr>
            <w:tcW w:w="1440" w:type="dxa"/>
            <w:vAlign w:val="bottom"/>
          </w:tcPr>
          <w:p>
            <w:pPr>
              <w:jc w:val="center"/>
              <w:spacing w:after="0"/>
              <w:rPr>
                <w:rFonts w:ascii="Times New Roman" w:cs="Times New Roman" w:eastAsia="Times New Roman" w:hAnsi="Times New Roman"/>
                <w:sz w:val="18"/>
                <w:szCs w:val="18"/>
                <w:color w:val="auto"/>
                <w:w w:val="99"/>
              </w:rPr>
            </w:pPr>
            <w:hyperlink w:anchor="page36">
              <w:r>
                <w:rPr>
                  <w:rFonts w:ascii="Times New Roman" w:cs="Times New Roman" w:eastAsia="Times New Roman" w:hAnsi="Times New Roman"/>
                  <w:sz w:val="18"/>
                  <w:szCs w:val="18"/>
                  <w:color w:val="auto"/>
                  <w:w w:val="99"/>
                </w:rPr>
                <w:t>36</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ind w:left="20"/>
              <w:spacing w:after="0"/>
              <w:rPr>
                <w:rFonts w:ascii="Times New Roman" w:cs="Times New Roman" w:eastAsia="Times New Roman" w:hAnsi="Times New Roman"/>
                <w:sz w:val="18"/>
                <w:szCs w:val="18"/>
                <w:color w:val="auto"/>
              </w:rPr>
            </w:pPr>
            <w:hyperlink w:anchor="page60">
              <w:r>
                <w:rPr>
                  <w:rFonts w:ascii="Times New Roman" w:cs="Times New Roman" w:eastAsia="Times New Roman" w:hAnsi="Times New Roman"/>
                  <w:sz w:val="18"/>
                  <w:szCs w:val="18"/>
                  <w:color w:val="auto"/>
                </w:rPr>
                <w:t>Item 2.</w:t>
              </w:r>
            </w:hyperlink>
          </w:p>
        </w:tc>
        <w:tc>
          <w:tcPr>
            <w:tcW w:w="43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w:anchor="page60">
              <w:r>
                <w:rPr>
                  <w:rFonts w:ascii="Times New Roman" w:cs="Times New Roman" w:eastAsia="Times New Roman" w:hAnsi="Times New Roman"/>
                  <w:sz w:val="18"/>
                  <w:szCs w:val="18"/>
                  <w:color w:val="0000FF"/>
                  <w:w w:val="99"/>
                </w:rPr>
                <w:t>Unregistered Sales of Equity Securities and Use of Proceeds</w:t>
              </w:r>
            </w:hyperlink>
          </w:p>
        </w:tc>
        <w:tc>
          <w:tcPr>
            <w:tcW w:w="4640" w:type="dxa"/>
            <w:vAlign w:val="bottom"/>
            <w:gridSpan w:val="9"/>
          </w:tcPr>
          <w:p>
            <w:pPr>
              <w:spacing w:after="0"/>
              <w:rPr>
                <w:sz w:val="18"/>
                <w:szCs w:val="18"/>
                <w:color w:val="auto"/>
              </w:rPr>
            </w:pPr>
          </w:p>
        </w:tc>
        <w:tc>
          <w:tcPr>
            <w:tcW w:w="1440" w:type="dxa"/>
            <w:vAlign w:val="bottom"/>
          </w:tcPr>
          <w:p>
            <w:pPr>
              <w:jc w:val="center"/>
              <w:spacing w:after="0"/>
              <w:rPr>
                <w:rFonts w:ascii="Times New Roman" w:cs="Times New Roman" w:eastAsia="Times New Roman" w:hAnsi="Times New Roman"/>
                <w:sz w:val="18"/>
                <w:szCs w:val="18"/>
                <w:color w:val="auto"/>
                <w:w w:val="99"/>
              </w:rPr>
            </w:pPr>
            <w:hyperlink w:anchor="page60">
              <w:r>
                <w:rPr>
                  <w:rFonts w:ascii="Times New Roman" w:cs="Times New Roman" w:eastAsia="Times New Roman" w:hAnsi="Times New Roman"/>
                  <w:sz w:val="18"/>
                  <w:szCs w:val="18"/>
                  <w:color w:val="auto"/>
                  <w:w w:val="99"/>
                </w:rPr>
                <w:t>60</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ind w:left="20"/>
              <w:spacing w:after="0"/>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Item 3.</w:t>
              </w:r>
            </w:hyperlink>
          </w:p>
        </w:tc>
        <w:tc>
          <w:tcPr>
            <w:tcW w:w="23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8"/>
              </w:rPr>
            </w:pPr>
            <w:hyperlink w:anchor="page61">
              <w:r>
                <w:rPr>
                  <w:rFonts w:ascii="Times New Roman" w:cs="Times New Roman" w:eastAsia="Times New Roman" w:hAnsi="Times New Roman"/>
                  <w:sz w:val="18"/>
                  <w:szCs w:val="18"/>
                  <w:color w:val="0000FF"/>
                  <w:w w:val="98"/>
                </w:rPr>
                <w:t>Defaults Upon Senior Securities</w:t>
              </w:r>
            </w:hyperlink>
          </w:p>
        </w:tc>
        <w:tc>
          <w:tcPr>
            <w:tcW w:w="6660" w:type="dxa"/>
            <w:vAlign w:val="bottom"/>
            <w:gridSpan w:val="13"/>
          </w:tcPr>
          <w:p>
            <w:pPr>
              <w:spacing w:after="0"/>
              <w:rPr>
                <w:sz w:val="18"/>
                <w:szCs w:val="18"/>
                <w:color w:val="auto"/>
              </w:rPr>
            </w:pPr>
          </w:p>
        </w:tc>
        <w:tc>
          <w:tcPr>
            <w:tcW w:w="1440" w:type="dxa"/>
            <w:vAlign w:val="bottom"/>
          </w:tcPr>
          <w:p>
            <w:pPr>
              <w:jc w:val="center"/>
              <w:spacing w:after="0"/>
              <w:rPr>
                <w:rFonts w:ascii="Times New Roman" w:cs="Times New Roman" w:eastAsia="Times New Roman" w:hAnsi="Times New Roman"/>
                <w:sz w:val="18"/>
                <w:szCs w:val="18"/>
                <w:color w:val="auto"/>
                <w:w w:val="99"/>
              </w:rPr>
            </w:pPr>
            <w:hyperlink w:anchor="page61">
              <w:r>
                <w:rPr>
                  <w:rFonts w:ascii="Times New Roman" w:cs="Times New Roman" w:eastAsia="Times New Roman" w:hAnsi="Times New Roman"/>
                  <w:sz w:val="18"/>
                  <w:szCs w:val="18"/>
                  <w:color w:val="auto"/>
                  <w:w w:val="99"/>
                </w:rPr>
                <w:t>61</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ind w:left="20"/>
              <w:spacing w:after="0"/>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Item 4.</w:t>
              </w:r>
            </w:hyperlink>
          </w:p>
        </w:tc>
        <w:tc>
          <w:tcPr>
            <w:tcW w:w="17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8"/>
              </w:rPr>
            </w:pPr>
            <w:hyperlink w:anchor="page61">
              <w:r>
                <w:rPr>
                  <w:rFonts w:ascii="Times New Roman" w:cs="Times New Roman" w:eastAsia="Times New Roman" w:hAnsi="Times New Roman"/>
                  <w:sz w:val="18"/>
                  <w:szCs w:val="18"/>
                  <w:color w:val="0000FF"/>
                  <w:w w:val="98"/>
                </w:rPr>
                <w:t>Mine Safety Disclosures</w:t>
              </w:r>
            </w:hyperlink>
          </w:p>
        </w:tc>
        <w:tc>
          <w:tcPr>
            <w:tcW w:w="7220" w:type="dxa"/>
            <w:vAlign w:val="bottom"/>
            <w:gridSpan w:val="17"/>
          </w:tcPr>
          <w:p>
            <w:pPr>
              <w:spacing w:after="0"/>
              <w:rPr>
                <w:sz w:val="18"/>
                <w:szCs w:val="18"/>
                <w:color w:val="auto"/>
              </w:rPr>
            </w:pPr>
          </w:p>
        </w:tc>
        <w:tc>
          <w:tcPr>
            <w:tcW w:w="1440" w:type="dxa"/>
            <w:vAlign w:val="bottom"/>
          </w:tcPr>
          <w:p>
            <w:pPr>
              <w:jc w:val="center"/>
              <w:spacing w:after="0"/>
              <w:rPr>
                <w:rFonts w:ascii="Times New Roman" w:cs="Times New Roman" w:eastAsia="Times New Roman" w:hAnsi="Times New Roman"/>
                <w:sz w:val="18"/>
                <w:szCs w:val="18"/>
                <w:color w:val="auto"/>
                <w:w w:val="99"/>
              </w:rPr>
            </w:pPr>
            <w:hyperlink w:anchor="page61">
              <w:r>
                <w:rPr>
                  <w:rFonts w:ascii="Times New Roman" w:cs="Times New Roman" w:eastAsia="Times New Roman" w:hAnsi="Times New Roman"/>
                  <w:sz w:val="18"/>
                  <w:szCs w:val="18"/>
                  <w:color w:val="auto"/>
                  <w:w w:val="99"/>
                </w:rPr>
                <w:t>61</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ind w:left="20"/>
              <w:spacing w:after="0"/>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Item 5.</w:t>
              </w:r>
            </w:hyperlink>
          </w:p>
        </w:tc>
        <w:tc>
          <w:tcPr>
            <w:tcW w:w="8980" w:type="dxa"/>
            <w:vAlign w:val="bottom"/>
            <w:gridSpan w:val="25"/>
          </w:tcPr>
          <w:p>
            <w:pPr>
              <w:spacing w:after="0"/>
              <w:rPr>
                <w:rFonts w:ascii="Times New Roman" w:cs="Times New Roman" w:eastAsia="Times New Roman" w:hAnsi="Times New Roman"/>
                <w:sz w:val="18"/>
                <w:szCs w:val="18"/>
                <w:color w:val="0000FF"/>
              </w:rPr>
            </w:pPr>
            <w:hyperlink w:anchor="page61">
              <w:r>
                <w:rPr>
                  <w:rFonts w:ascii="Times New Roman" w:cs="Times New Roman" w:eastAsia="Times New Roman" w:hAnsi="Times New Roman"/>
                  <w:sz w:val="18"/>
                  <w:szCs w:val="18"/>
                  <w:color w:val="0000FF"/>
                </w:rPr>
                <w:t>Other Information</w:t>
              </w:r>
            </w:hyperlink>
          </w:p>
        </w:tc>
        <w:tc>
          <w:tcPr>
            <w:tcW w:w="1440" w:type="dxa"/>
            <w:vAlign w:val="bottom"/>
          </w:tcPr>
          <w:p>
            <w:pPr>
              <w:jc w:val="center"/>
              <w:spacing w:after="0"/>
              <w:rPr>
                <w:rFonts w:ascii="Times New Roman" w:cs="Times New Roman" w:eastAsia="Times New Roman" w:hAnsi="Times New Roman"/>
                <w:sz w:val="18"/>
                <w:szCs w:val="18"/>
                <w:color w:val="auto"/>
                <w:w w:val="99"/>
              </w:rPr>
            </w:pPr>
            <w:hyperlink w:anchor="page61">
              <w:r>
                <w:rPr>
                  <w:rFonts w:ascii="Times New Roman" w:cs="Times New Roman" w:eastAsia="Times New Roman" w:hAnsi="Times New Roman"/>
                  <w:sz w:val="18"/>
                  <w:szCs w:val="18"/>
                  <w:color w:val="auto"/>
                  <w:w w:val="99"/>
                </w:rPr>
                <w:t>61</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ind w:left="20"/>
              <w:spacing w:after="0"/>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Item 6.</w:t>
              </w:r>
            </w:hyperlink>
          </w:p>
        </w:tc>
        <w:tc>
          <w:tcPr>
            <w:tcW w:w="60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8"/>
                <w:szCs w:val="18"/>
                <w:color w:val="0000FF"/>
                <w:w w:val="96"/>
              </w:rPr>
            </w:pPr>
            <w:hyperlink w:anchor="page61">
              <w:r>
                <w:rPr>
                  <w:rFonts w:ascii="Times New Roman" w:cs="Times New Roman" w:eastAsia="Times New Roman" w:hAnsi="Times New Roman"/>
                  <w:sz w:val="18"/>
                  <w:szCs w:val="18"/>
                  <w:color w:val="0000FF"/>
                  <w:w w:val="96"/>
                </w:rPr>
                <w:t>Exhibits</w:t>
              </w:r>
            </w:hyperlink>
          </w:p>
        </w:tc>
        <w:tc>
          <w:tcPr>
            <w:tcW w:w="700" w:type="dxa"/>
            <w:vAlign w:val="bottom"/>
            <w:tcBorders>
              <w:top w:val="single" w:sz="8" w:color="0000FF"/>
            </w:tcBorders>
            <w:gridSpan w:val="4"/>
          </w:tcPr>
          <w:p>
            <w:pPr>
              <w:spacing w:after="0"/>
              <w:rPr>
                <w:sz w:val="18"/>
                <w:szCs w:val="18"/>
                <w:color w:val="auto"/>
              </w:rPr>
            </w:pPr>
          </w:p>
        </w:tc>
        <w:tc>
          <w:tcPr>
            <w:tcW w:w="7680" w:type="dxa"/>
            <w:vAlign w:val="bottom"/>
            <w:gridSpan w:val="19"/>
          </w:tcPr>
          <w:p>
            <w:pPr>
              <w:spacing w:after="0"/>
              <w:rPr>
                <w:sz w:val="18"/>
                <w:szCs w:val="18"/>
                <w:color w:val="auto"/>
              </w:rPr>
            </w:pPr>
          </w:p>
        </w:tc>
        <w:tc>
          <w:tcPr>
            <w:tcW w:w="1440" w:type="dxa"/>
            <w:vAlign w:val="bottom"/>
          </w:tcPr>
          <w:p>
            <w:pPr>
              <w:jc w:val="center"/>
              <w:spacing w:after="0"/>
              <w:rPr>
                <w:rFonts w:ascii="Times New Roman" w:cs="Times New Roman" w:eastAsia="Times New Roman" w:hAnsi="Times New Roman"/>
                <w:sz w:val="18"/>
                <w:szCs w:val="18"/>
                <w:color w:val="auto"/>
                <w:w w:val="99"/>
              </w:rPr>
            </w:pPr>
            <w:hyperlink w:anchor="page61">
              <w:r>
                <w:rPr>
                  <w:rFonts w:ascii="Times New Roman" w:cs="Times New Roman" w:eastAsia="Times New Roman" w:hAnsi="Times New Roman"/>
                  <w:sz w:val="18"/>
                  <w:szCs w:val="18"/>
                  <w:color w:val="auto"/>
                  <w:w w:val="99"/>
                </w:rPr>
                <w:t>62</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7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7"/>
              </w:rPr>
            </w:pPr>
            <w:hyperlink w:anchor="page62">
              <w:r>
                <w:rPr>
                  <w:rFonts w:ascii="Times New Roman" w:cs="Times New Roman" w:eastAsia="Times New Roman" w:hAnsi="Times New Roman"/>
                  <w:sz w:val="18"/>
                  <w:szCs w:val="18"/>
                  <w:color w:val="0000FF"/>
                  <w:w w:val="97"/>
                </w:rPr>
                <w:t>Signatures</w:t>
              </w:r>
            </w:hyperlink>
          </w:p>
        </w:tc>
        <w:tc>
          <w:tcPr>
            <w:tcW w:w="8220" w:type="dxa"/>
            <w:vAlign w:val="bottom"/>
            <w:gridSpan w:val="22"/>
          </w:tcPr>
          <w:p>
            <w:pPr>
              <w:spacing w:after="0"/>
              <w:rPr>
                <w:sz w:val="18"/>
                <w:szCs w:val="18"/>
                <w:color w:val="auto"/>
              </w:rPr>
            </w:pPr>
          </w:p>
        </w:tc>
        <w:tc>
          <w:tcPr>
            <w:tcW w:w="1440" w:type="dxa"/>
            <w:vAlign w:val="bottom"/>
          </w:tcPr>
          <w:p>
            <w:pPr>
              <w:jc w:val="center"/>
              <w:spacing w:after="0"/>
              <w:rPr>
                <w:rFonts w:ascii="Times New Roman" w:cs="Times New Roman" w:eastAsia="Times New Roman" w:hAnsi="Times New Roman"/>
                <w:sz w:val="18"/>
                <w:szCs w:val="18"/>
                <w:color w:val="auto"/>
                <w:w w:val="99"/>
              </w:rPr>
            </w:pPr>
            <w:hyperlink w:anchor="page62">
              <w:r>
                <w:rPr>
                  <w:rFonts w:ascii="Times New Roman" w:cs="Times New Roman" w:eastAsia="Times New Roman" w:hAnsi="Times New Roman"/>
                  <w:sz w:val="18"/>
                  <w:szCs w:val="18"/>
                  <w:color w:val="auto"/>
                  <w:w w:val="99"/>
                </w:rPr>
                <w:t>63</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2"/>
        </w:trPr>
        <w:tc>
          <w:tcPr>
            <w:tcW w:w="900" w:type="dxa"/>
            <w:vAlign w:val="bottom"/>
          </w:tcPr>
          <w:p>
            <w:pPr>
              <w:spacing w:after="0"/>
              <w:rPr>
                <w:sz w:val="24"/>
                <w:szCs w:val="24"/>
                <w:color w:val="auto"/>
              </w:rPr>
            </w:pPr>
          </w:p>
        </w:tc>
        <w:tc>
          <w:tcPr>
            <w:tcW w:w="5080" w:type="dxa"/>
            <w:vAlign w:val="bottom"/>
            <w:gridSpan w:val="18"/>
          </w:tcPr>
          <w:p>
            <w:pPr>
              <w:jc w:val="center"/>
              <w:ind w:left="4451"/>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which statements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including our statements regarding the benefits and timing of the roll 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Quarterly Report on Form 10-Q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liquidity needs; our ability to become the ubiquitous platform for communications; our ability to attract new customers and retain existing customers; our ability to successfully expand into our existing markets and into new markets; our ability to effectively manage our growth and future expenses; and the impact of recent accounting pronouncements on our unaudited condensed consolidated financial statements.</w:t>
      </w:r>
    </w:p>
    <w:p>
      <w:pPr>
        <w:spacing w:after="0" w:line="1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8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with the Securities and Exchange Commission as exhibits to this Quarterly Report on Form 10-Q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95"/>
        </w:trPr>
        <w:tc>
          <w:tcPr>
            <w:tcW w:w="79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230,874</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63,624</w:t>
            </w:r>
          </w:p>
        </w:tc>
        <w:tc>
          <w:tcPr>
            <w:tcW w:w="0" w:type="dxa"/>
            <w:vAlign w:val="bottom"/>
          </w:tcPr>
          <w:p>
            <w:pPr>
              <w:spacing w:after="0"/>
              <w:rPr>
                <w:sz w:val="1"/>
                <w:szCs w:val="1"/>
                <w:color w:val="auto"/>
              </w:rPr>
            </w:pPr>
          </w:p>
        </w:tc>
      </w:tr>
      <w:tr>
        <w:trPr>
          <w:trHeight w:val="224"/>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Marketable securities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580,526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112,777</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94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Accounts receivable, net of allowances of $5,193 and $2,071 as of October 31, 2019 and January 31, 2019,</w:t>
            </w:r>
          </w:p>
        </w:tc>
        <w:tc>
          <w:tcPr>
            <w:tcW w:w="3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95,770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63,613</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respectively</w:t>
            </w:r>
          </w:p>
        </w:tc>
        <w:tc>
          <w:tcPr>
            <w:tcW w:w="3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contract acquisition costs, current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26,453</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72,620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10,252</w:t>
            </w:r>
          </w:p>
        </w:tc>
        <w:tc>
          <w:tcPr>
            <w:tcW w:w="0" w:type="dxa"/>
            <w:vAlign w:val="bottom"/>
          </w:tcPr>
          <w:p>
            <w:pPr>
              <w:spacing w:after="0"/>
              <w:rPr>
                <w:sz w:val="1"/>
                <w:szCs w:val="1"/>
                <w:color w:val="auto"/>
              </w:rPr>
            </w:pPr>
          </w:p>
        </w:tc>
      </w:tr>
      <w:tr>
        <w:trPr>
          <w:trHeight w:val="217"/>
        </w:trPr>
        <w:tc>
          <w:tcPr>
            <w:tcW w:w="79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1,019,399</w:t>
            </w: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276,719</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contract acquisition costs, noncurrent</w:t>
            </w: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40,792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29,063</w:t>
            </w:r>
          </w:p>
        </w:tc>
        <w:tc>
          <w:tcPr>
            <w:tcW w:w="0" w:type="dxa"/>
            <w:vAlign w:val="bottom"/>
          </w:tcPr>
          <w:p>
            <w:pPr>
              <w:spacing w:after="0"/>
              <w:rPr>
                <w:sz w:val="1"/>
                <w:szCs w:val="1"/>
                <w:color w:val="auto"/>
              </w:rPr>
            </w:pPr>
          </w:p>
        </w:tc>
      </w:tr>
      <w:tr>
        <w:trPr>
          <w:trHeight w:val="22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37,275</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53,308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 noncurrent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11,508</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1,188,057</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354,565</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360"/>
          </w:cols>
          <w:pgMar w:left="240" w:top="121" w:right="299" w:bottom="1440" w:gutter="0" w:footer="0" w:header="0"/>
        </w:sectPr>
      </w:pPr>
    </w:p>
    <w:p>
      <w:pPr>
        <w:ind w:left="20"/>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1233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16319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Current liabilities:</w:t>
      </w:r>
    </w:p>
    <w:p>
      <w:pPr>
        <w:spacing w:after="0" w:line="73" w:lineRule="exact"/>
        <w:rPr>
          <w:sz w:val="20"/>
          <w:szCs w:val="20"/>
          <w:color w:val="auto"/>
        </w:rPr>
      </w:pPr>
    </w:p>
    <w:p>
      <w:pPr>
        <w:ind w:left="220"/>
        <w:spacing w:after="0"/>
        <w:tabs>
          <w:tab w:leader="none" w:pos="7940" w:val="left"/>
        </w:tabs>
        <w:rPr>
          <w:sz w:val="20"/>
          <w:szCs w:val="20"/>
          <w:color w:val="auto"/>
        </w:rPr>
      </w:pPr>
      <w:r>
        <w:rPr>
          <w:rFonts w:ascii="Times New Roman" w:cs="Times New Roman" w:eastAsia="Times New Roman" w:hAnsi="Times New Roman"/>
          <w:sz w:val="16"/>
          <w:szCs w:val="16"/>
          <w:color w:val="auto"/>
        </w:rPr>
        <w:t>Accounts payable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1233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163195"/>
                    </a:xfrm>
                    <a:prstGeom prst="rect">
                      <a:avLst/>
                    </a:prstGeom>
                    <a:noFill/>
                  </pic:spPr>
                </pic:pic>
              </a:graphicData>
            </a:graphic>
          </wp:anchor>
        </w:drawing>
      </w:r>
    </w:p>
    <w:p>
      <w:pPr>
        <w:spacing w:after="0" w:line="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Deferred revenue,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123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Deferred revenue,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1233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liabilities,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123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liabilities</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8)</w:t>
      </w:r>
    </w:p>
    <w:p>
      <w:pPr>
        <w:spacing w:after="0" w:line="59" w:lineRule="exact"/>
        <w:rPr>
          <w:sz w:val="20"/>
          <w:szCs w:val="20"/>
          <w:color w:val="auto"/>
        </w:rPr>
      </w:pPr>
    </w:p>
    <w:p>
      <w:pPr>
        <w:ind w:left="20" w:right="420"/>
        <w:spacing w:after="0" w:line="232" w:lineRule="auto"/>
        <w:rPr>
          <w:sz w:val="20"/>
          <w:szCs w:val="20"/>
          <w:color w:val="auto"/>
        </w:rPr>
      </w:pPr>
      <w:r>
        <w:rPr>
          <w:rFonts w:ascii="Times New Roman" w:cs="Times New Roman" w:eastAsia="Times New Roman" w:hAnsi="Times New Roman"/>
          <w:sz w:val="16"/>
          <w:szCs w:val="16"/>
          <w:color w:val="auto"/>
        </w:rPr>
        <w:t>Convertible preferred stock, $0.001 par value per share, zero and 158,104,540 shares authorized as of October 31, 2019 and January 31, 2019, respectively; zero and 152,665,804 shares issued and outstanding as of October 31, 2019 and January 31,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212330"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3429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Stockholders’ equity (deficit):</w:t>
      </w:r>
    </w:p>
    <w:p>
      <w:pPr>
        <w:spacing w:after="0" w:line="59" w:lineRule="exact"/>
        <w:rPr>
          <w:sz w:val="20"/>
          <w:szCs w:val="20"/>
          <w:color w:val="auto"/>
        </w:rPr>
      </w:pPr>
    </w:p>
    <w:p>
      <w:pPr>
        <w:ind w:left="360" w:right="600"/>
        <w:spacing w:after="0" w:line="245" w:lineRule="auto"/>
        <w:rPr>
          <w:sz w:val="20"/>
          <w:szCs w:val="20"/>
          <w:color w:val="auto"/>
        </w:rPr>
      </w:pPr>
      <w:r>
        <w:rPr>
          <w:rFonts w:ascii="Times New Roman" w:cs="Times New Roman" w:eastAsia="Times New Roman" w:hAnsi="Times New Roman"/>
          <w:sz w:val="16"/>
          <w:szCs w:val="16"/>
          <w:color w:val="auto"/>
        </w:rPr>
        <w:t>Preferred stock, $0.001 par value per share, 200,000,000 and zero shares authorized as of October 31, 2019 and January 31, 2019, respectively; zero shares issued and outstanding as of October 31, 2019 and January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1233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240030"/>
                    </a:xfrm>
                    <a:prstGeom prst="rect">
                      <a:avLst/>
                    </a:prstGeom>
                    <a:noFill/>
                  </pic:spPr>
                </pic:pic>
              </a:graphicData>
            </a:graphic>
          </wp:anchor>
        </w:drawing>
      </w:r>
    </w:p>
    <w:p>
      <w:pPr>
        <w:ind w:left="360" w:right="300"/>
        <w:spacing w:after="0" w:line="224" w:lineRule="auto"/>
        <w:rPr>
          <w:sz w:val="20"/>
          <w:szCs w:val="20"/>
          <w:color w:val="auto"/>
        </w:rPr>
      </w:pPr>
      <w:r>
        <w:rPr>
          <w:rFonts w:ascii="Times New Roman" w:cs="Times New Roman" w:eastAsia="Times New Roman" w:hAnsi="Times New Roman"/>
          <w:sz w:val="16"/>
          <w:szCs w:val="16"/>
          <w:color w:val="auto"/>
        </w:rPr>
        <w:t>Common stock, $0.001 par value per share, 2,000,000,000 and 320,000,000 Class A shares authorized as of October 31, 2019 and January 31, 2019, respectively; 109,311,196 and zero shares issued and outstanding as of October 31, 2019 and January 31, 2019, respectively; 300,000,000 Class B shares authorized as of October 31, 2019 and January 31, 2019; 166,915,262 and 90,327,435 shares issued and outstanding as of October 31, 2019 and January 31,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1233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16319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1233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163195"/>
                    </a:xfrm>
                    <a:prstGeom prst="rect">
                      <a:avLst/>
                    </a:prstGeom>
                    <a:noFill/>
                  </pic:spPr>
                </pic:pic>
              </a:graphicData>
            </a:graphic>
          </wp:anchor>
        </w:drawing>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3,202</w:t>
            </w: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4,963</w:t>
            </w:r>
          </w:p>
        </w:tc>
      </w:tr>
      <w:tr>
        <w:trPr>
          <w:trHeight w:val="257"/>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6"/>
              </w:rPr>
              <w:t>128,064</w:t>
            </w:r>
          </w:p>
        </w:tc>
        <w:tc>
          <w:tcPr>
            <w:tcW w:w="540" w:type="dxa"/>
            <w:vAlign w:val="bottom"/>
          </w:tcPr>
          <w:p>
            <w:pPr>
              <w:spacing w:after="0"/>
              <w:rPr>
                <w:sz w:val="22"/>
                <w:szCs w:val="22"/>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32,256</w:t>
            </w:r>
          </w:p>
        </w:tc>
      </w:tr>
      <w:tr>
        <w:trPr>
          <w:trHeight w:val="257"/>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6"/>
              </w:rPr>
              <w:t>186,537</w:t>
            </w:r>
          </w:p>
        </w:tc>
        <w:tc>
          <w:tcPr>
            <w:tcW w:w="540" w:type="dxa"/>
            <w:vAlign w:val="bottom"/>
          </w:tcPr>
          <w:p>
            <w:pPr>
              <w:spacing w:after="0"/>
              <w:rPr>
                <w:sz w:val="22"/>
                <w:szCs w:val="22"/>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115,122</w:t>
            </w:r>
          </w:p>
        </w:tc>
      </w:tr>
      <w:tr>
        <w:trPr>
          <w:trHeight w:val="33"/>
        </w:trPr>
        <w:tc>
          <w:tcPr>
            <w:tcW w:w="7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6"/>
              </w:rPr>
              <w:t>317,803</w:t>
            </w:r>
          </w:p>
        </w:tc>
        <w:tc>
          <w:tcPr>
            <w:tcW w:w="54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152,341</w:t>
            </w:r>
          </w:p>
        </w:tc>
      </w:tr>
      <w:tr>
        <w:trPr>
          <w:trHeight w:val="257"/>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15,062</w:t>
            </w:r>
          </w:p>
        </w:tc>
        <w:tc>
          <w:tcPr>
            <w:tcW w:w="540" w:type="dxa"/>
            <w:vAlign w:val="bottom"/>
          </w:tcPr>
          <w:p>
            <w:pPr>
              <w:spacing w:after="0"/>
              <w:rPr>
                <w:sz w:val="22"/>
                <w:szCs w:val="22"/>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10,651</w:t>
            </w:r>
          </w:p>
        </w:tc>
      </w:tr>
      <w:tr>
        <w:trPr>
          <w:trHeight w:val="257"/>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50,132</w:t>
            </w:r>
          </w:p>
        </w:tc>
        <w:tc>
          <w:tcPr>
            <w:tcW w:w="540" w:type="dxa"/>
            <w:vAlign w:val="bottom"/>
          </w:tcPr>
          <w:p>
            <w:pPr>
              <w:spacing w:after="0"/>
              <w:rPr>
                <w:sz w:val="22"/>
                <w:szCs w:val="22"/>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32,543</w:t>
            </w:r>
          </w:p>
        </w:tc>
        <w:tc>
          <w:tcPr>
            <w:tcW w:w="540" w:type="dxa"/>
            <w:vAlign w:val="bottom"/>
          </w:tcPr>
          <w:p>
            <w:pPr>
              <w:spacing w:after="0"/>
              <w:rPr>
                <w:sz w:val="22"/>
                <w:szCs w:val="22"/>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39,460</w:t>
            </w:r>
          </w:p>
        </w:tc>
      </w:tr>
      <w:tr>
        <w:trPr>
          <w:trHeight w:val="33"/>
        </w:trPr>
        <w:tc>
          <w:tcPr>
            <w:tcW w:w="7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6"/>
              </w:rPr>
              <w:t>415,540</w:t>
            </w:r>
          </w:p>
        </w:tc>
        <w:tc>
          <w:tcPr>
            <w:tcW w:w="54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202,452</w:t>
            </w:r>
          </w:p>
        </w:tc>
      </w:tr>
      <w:tr>
        <w:trPr>
          <w:trHeight w:val="33"/>
        </w:trPr>
        <w:tc>
          <w:tcPr>
            <w:tcW w:w="7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-8255</wp:posOffset>
            </wp:positionV>
            <wp:extent cx="10464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—159,552</w:t>
      </w:r>
    </w:p>
    <w:p>
      <w:pPr>
        <w:spacing w:after="0" w:line="200" w:lineRule="exact"/>
        <w:rPr>
          <w:sz w:val="20"/>
          <w:szCs w:val="20"/>
          <w:color w:val="auto"/>
        </w:rPr>
      </w:pPr>
    </w:p>
    <w:p>
      <w:pPr>
        <w:spacing w:after="0" w:line="251" w:lineRule="exact"/>
        <w:rPr>
          <w:sz w:val="20"/>
          <w:szCs w:val="20"/>
          <w:color w:val="auto"/>
        </w:rPr>
      </w:pPr>
    </w:p>
    <w:p>
      <w:pPr>
        <w:ind w:left="360"/>
        <w:spacing w:after="0"/>
        <w:tabs>
          <w:tab w:leader="none" w:pos="21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8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275</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57"/>
        </w:trPr>
        <w:tc>
          <w:tcPr>
            <w:tcW w:w="118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6"/>
              </w:rPr>
              <w:t>786,778</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17,760</w:t>
            </w:r>
          </w:p>
        </w:tc>
      </w:tr>
      <w:tr>
        <w:trPr>
          <w:trHeight w:val="257"/>
        </w:trPr>
        <w:tc>
          <w:tcPr>
            <w:tcW w:w="118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651</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57"/>
        </w:trPr>
        <w:tc>
          <w:tcPr>
            <w:tcW w:w="118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8"/>
              </w:rPr>
              <w:t>(15,187)</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(25,153)</w:t>
            </w:r>
          </w:p>
        </w:tc>
      </w:tr>
    </w:tbl>
    <w:p>
      <w:pPr>
        <w:spacing w:after="0" w:line="13" w:lineRule="exact"/>
        <w:rPr>
          <w:sz w:val="20"/>
          <w:szCs w:val="20"/>
          <w:color w:val="auto"/>
        </w:rPr>
      </w:pPr>
    </w:p>
    <w:p>
      <w:pPr>
        <w:sectPr>
          <w:pgSz w:w="11900" w:h="16838" w:orient="portrait"/>
          <w:cols w:equalWidth="0" w:num="2">
            <w:col w:w="8200" w:space="720"/>
            <w:col w:w="2440"/>
          </w:cols>
          <w:pgMar w:left="240" w:top="121" w:right="29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4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772,517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(7,439)</w:t>
            </w:r>
          </w:p>
        </w:tc>
      </w:tr>
      <w:tr>
        <w:trPr>
          <w:trHeight w:val="33"/>
        </w:trPr>
        <w:tc>
          <w:tcPr>
            <w:tcW w:w="79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 equity (deficit)</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1,188,057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354,565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360"/>
          </w:cols>
          <w:pgMar w:left="240" w:top="121" w:right="29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6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166,593</w:t>
            </w:r>
          </w:p>
        </w:tc>
        <w:tc>
          <w:tcPr>
            <w:tcW w:w="1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90,121</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434,407</w:t>
            </w:r>
          </w:p>
        </w:tc>
        <w:tc>
          <w:tcPr>
            <w:tcW w:w="1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224,717</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30,845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16,843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82,849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41,476</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135,748</w:t>
            </w:r>
          </w:p>
        </w:tc>
        <w:tc>
          <w:tcPr>
            <w:tcW w:w="10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73,278</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351,558</w:t>
            </w:r>
          </w:p>
        </w:tc>
        <w:tc>
          <w:tcPr>
            <w:tcW w:w="10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183,241</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17,573</w:t>
            </w:r>
          </w:p>
        </w:tc>
        <w:tc>
          <w:tcPr>
            <w:tcW w:w="1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8,893</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46,410</w:t>
            </w:r>
          </w:p>
        </w:tc>
        <w:tc>
          <w:tcPr>
            <w:tcW w:w="1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22,206</w:t>
            </w:r>
          </w:p>
        </w:tc>
        <w:tc>
          <w:tcPr>
            <w:tcW w:w="0" w:type="dxa"/>
            <w:vAlign w:val="bottom"/>
          </w:tcPr>
          <w:p>
            <w:pPr>
              <w:spacing w:after="0"/>
              <w:rPr>
                <w:sz w:val="1"/>
                <w:szCs w:val="1"/>
                <w:color w:val="auto"/>
              </w:rPr>
            </w:pPr>
          </w:p>
        </w:tc>
      </w:tr>
      <w:tr>
        <w:trPr>
          <w:trHeight w:val="243"/>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96,048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53,454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239,741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130,769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23,806</w:t>
            </w:r>
          </w:p>
        </w:tc>
        <w:tc>
          <w:tcPr>
            <w:tcW w:w="10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11,994</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63,264</w:t>
            </w:r>
          </w:p>
        </w:tc>
        <w:tc>
          <w:tcPr>
            <w:tcW w:w="10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29,591</w:t>
            </w:r>
          </w:p>
        </w:tc>
        <w:tc>
          <w:tcPr>
            <w:tcW w:w="0" w:type="dxa"/>
            <w:vAlign w:val="bottom"/>
          </w:tcPr>
          <w:p>
            <w:pPr>
              <w:spacing w:after="0"/>
              <w:rPr>
                <w:sz w:val="1"/>
                <w:szCs w:val="1"/>
                <w:color w:val="auto"/>
              </w:rPr>
            </w:pPr>
          </w:p>
        </w:tc>
      </w:tr>
      <w:tr>
        <w:trPr>
          <w:trHeight w:val="237"/>
        </w:trPr>
        <w:tc>
          <w:tcPr>
            <w:tcW w:w="4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137,427</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74,341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349,415</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182,566</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4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3,231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6,753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3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before provision for income taxes</w:t>
            </w:r>
          </w:p>
        </w:tc>
        <w:tc>
          <w:tcPr>
            <w:tcW w:w="3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11,817</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2,265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3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9,966</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Undistributed earnings attributable to participating securities</w:t>
            </w:r>
          </w:p>
        </w:tc>
        <w:tc>
          <w:tcPr>
            <w:tcW w:w="34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3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7,473</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60" w:type="dxa"/>
            <w:vAlign w:val="bottom"/>
            <w:shd w:val="clear" w:color="auto" w:fill="CFF0FC"/>
          </w:tcPr>
          <w:p>
            <w:pPr>
              <w:ind w:left="20"/>
              <w:spacing w:after="0" w:line="192" w:lineRule="exact"/>
              <w:rPr>
                <w:sz w:val="20"/>
                <w:szCs w:val="20"/>
                <w:color w:val="auto"/>
              </w:rPr>
            </w:pPr>
            <w:r>
              <w:rPr>
                <w:rFonts w:ascii="Times New Roman" w:cs="Times New Roman" w:eastAsia="Times New Roman" w:hAnsi="Times New Roman"/>
                <w:sz w:val="18"/>
                <w:szCs w:val="18"/>
                <w:color w:val="auto"/>
              </w:rPr>
              <w:t>Net income (loss) per share attributable to common</w:t>
            </w: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34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4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 attributable</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common stockholders:</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273,316,850</w:t>
            </w:r>
          </w:p>
        </w:tc>
        <w:tc>
          <w:tcPr>
            <w:tcW w:w="10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85,645,323</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219,295,445</w:t>
            </w:r>
          </w:p>
        </w:tc>
        <w:tc>
          <w:tcPr>
            <w:tcW w:w="10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83,198,339</w:t>
            </w: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292,771,122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5"/>
              </w:rPr>
              <w:t>111,000,300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241,512,569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9"/>
              </w:rPr>
              <w:t>109,303,996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Pr>
          <w:p>
            <w:pPr>
              <w:spacing w:after="0"/>
              <w:rPr>
                <w:sz w:val="13"/>
                <w:szCs w:val="13"/>
                <w:color w:val="auto"/>
              </w:rPr>
            </w:pPr>
          </w:p>
        </w:tc>
      </w:tr>
      <w:tr>
        <w:trPr>
          <w:trHeight w:val="195"/>
        </w:trPr>
        <w:tc>
          <w:tcPr>
            <w:tcW w:w="42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60" w:type="dxa"/>
            <w:vAlign w:val="bottom"/>
            <w:tcBorders>
              <w:bottom w:val="single" w:sz="8" w:color="auto"/>
            </w:tcBorders>
          </w:tcPr>
          <w:p>
            <w:pPr>
              <w:spacing w:after="0"/>
              <w:rPr>
                <w:sz w:val="16"/>
                <w:szCs w:val="16"/>
                <w:color w:val="auto"/>
              </w:rPr>
            </w:pPr>
          </w:p>
        </w:tc>
      </w:tr>
      <w:tr>
        <w:trPr>
          <w:trHeight w:val="196"/>
        </w:trPr>
        <w:tc>
          <w:tcPr>
            <w:tcW w:w="42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tcBorders>
              <w:bottom w:val="single" w:sz="8" w:color="CCEEFF"/>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9,966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1,887</w:t>
            </w: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5"/>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on available-for-sale marketable</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61"/>
        </w:trPr>
        <w:tc>
          <w:tcPr>
            <w:tcW w:w="4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securities, net of tax</w:t>
            </w:r>
          </w:p>
        </w:tc>
        <w:tc>
          <w:tcPr>
            <w:tcW w:w="10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142</w:t>
            </w:r>
          </w:p>
        </w:tc>
      </w:tr>
      <w:tr>
        <w:trPr>
          <w:trHeight w:val="237"/>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80" w:type="dxa"/>
            <w:vAlign w:val="bottom"/>
            <w:tcBorders>
              <w:top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rPr>
              <w:t>10,752</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2,029</w:t>
            </w:r>
          </w:p>
        </w:tc>
      </w:tr>
      <w:tr>
        <w:trPr>
          <w:trHeight w:val="27"/>
        </w:trPr>
        <w:tc>
          <w:tcPr>
            <w:tcW w:w="4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
        </w:trPr>
        <w:tc>
          <w:tcPr>
            <w:tcW w:w="4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STOCKHOLDERS’ EQUITY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October 31, 2019</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3"/>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restart"/>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tcBorders>
              <w:right w:val="single" w:sz="8" w:color="auto"/>
            </w:tcBorders>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12"/>
                <w:szCs w:val="12"/>
                <w:color w:val="auto"/>
              </w:rPr>
            </w:pPr>
          </w:p>
        </w:tc>
        <w:tc>
          <w:tcPr>
            <w:tcW w:w="21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8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220"/>
              <w:spacing w:after="0" w:line="110"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4"/>
                <w:szCs w:val="4"/>
                <w:color w:val="auto"/>
              </w:rPr>
            </w:pPr>
          </w:p>
        </w:tc>
        <w:tc>
          <w:tcPr>
            <w:tcW w:w="1280" w:type="dxa"/>
            <w:vAlign w:val="bottom"/>
            <w:gridSpan w:val="2"/>
            <w:vMerge w:val="restart"/>
          </w:tcPr>
          <w:p>
            <w:pPr>
              <w:jc w:val="center"/>
              <w:ind w:right="240"/>
              <w:spacing w:after="0" w:line="11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4"/>
                <w:szCs w:val="4"/>
                <w:color w:val="auto"/>
              </w:rPr>
            </w:pPr>
          </w:p>
        </w:tc>
        <w:tc>
          <w:tcPr>
            <w:tcW w:w="1120" w:type="dxa"/>
            <w:vAlign w:val="bottom"/>
            <w:gridSpan w:val="2"/>
            <w:vMerge w:val="restart"/>
          </w:tcPr>
          <w:p>
            <w:pPr>
              <w:jc w:val="center"/>
              <w:ind w:right="220"/>
              <w:spacing w:after="0" w:line="11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4"/>
                <w:szCs w:val="4"/>
                <w:color w:val="auto"/>
              </w:rPr>
            </w:pPr>
          </w:p>
        </w:tc>
        <w:tc>
          <w:tcPr>
            <w:tcW w:w="1060" w:type="dxa"/>
            <w:vAlign w:val="bottom"/>
            <w:vMerge w:val="restart"/>
          </w:tcPr>
          <w:p>
            <w:pPr>
              <w:jc w:val="center"/>
              <w:ind w:right="69"/>
              <w:spacing w:after="0" w:line="110"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36"/>
        </w:trPr>
        <w:tc>
          <w:tcPr>
            <w:tcW w:w="1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right w:val="single" w:sz="8" w:color="auto"/>
            </w:tcBorders>
            <w:vMerge w:val="restart"/>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8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right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1"/>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July 31, 2019</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273,486,167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760,990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(17,398)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743,796</w:t>
            </w:r>
          </w:p>
        </w:tc>
        <w:tc>
          <w:tcPr>
            <w:tcW w:w="0" w:type="dxa"/>
            <w:vAlign w:val="bottom"/>
          </w:tcPr>
          <w:p>
            <w:pPr>
              <w:spacing w:after="0"/>
              <w:rPr>
                <w:sz w:val="1"/>
                <w:szCs w:val="1"/>
                <w:color w:val="auto"/>
              </w:rPr>
            </w:pPr>
          </w:p>
        </w:tc>
      </w:tr>
      <w:tr>
        <w:trPr>
          <w:trHeight w:val="163"/>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tcBorders>
              <w:right w:val="single" w:sz="8" w:color="auto"/>
            </w:tcBorders>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2,740,291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3,842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3,845</w:t>
            </w:r>
          </w:p>
        </w:tc>
        <w:tc>
          <w:tcPr>
            <w:tcW w:w="0" w:type="dxa"/>
            <w:vAlign w:val="bottom"/>
          </w:tcPr>
          <w:p>
            <w:pPr>
              <w:spacing w:after="0"/>
              <w:rPr>
                <w:sz w:val="1"/>
                <w:szCs w:val="1"/>
                <w:color w:val="auto"/>
              </w:rPr>
            </w:pPr>
          </w:p>
        </w:tc>
      </w:tr>
      <w:tr>
        <w:trPr>
          <w:trHeight w:val="198"/>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upon exercise of stock options</w:t>
            </w:r>
          </w:p>
        </w:tc>
        <w:tc>
          <w:tcPr>
            <w:tcW w:w="12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84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Stock-based compensation</w:t>
            </w:r>
          </w:p>
        </w:tc>
        <w:tc>
          <w:tcPr>
            <w:tcW w:w="12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88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21,946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21,946</w:t>
            </w:r>
          </w:p>
        </w:tc>
        <w:tc>
          <w:tcPr>
            <w:tcW w:w="0" w:type="dxa"/>
            <w:vAlign w:val="bottom"/>
          </w:tcPr>
          <w:p>
            <w:pPr>
              <w:spacing w:after="0"/>
              <w:rPr>
                <w:sz w:val="1"/>
                <w:szCs w:val="1"/>
                <w:color w:val="auto"/>
              </w:rPr>
            </w:pPr>
          </w:p>
        </w:tc>
      </w:tr>
      <w:tr>
        <w:trPr>
          <w:trHeight w:val="193"/>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719</w:t>
            </w:r>
          </w:p>
        </w:tc>
        <w:tc>
          <w:tcPr>
            <w:tcW w:w="0" w:type="dxa"/>
            <w:vAlign w:val="bottom"/>
          </w:tcPr>
          <w:p>
            <w:pPr>
              <w:spacing w:after="0"/>
              <w:rPr>
                <w:sz w:val="1"/>
                <w:szCs w:val="1"/>
                <w:color w:val="auto"/>
              </w:rPr>
            </w:pPr>
          </w:p>
        </w:tc>
      </w:tr>
      <w:tr>
        <w:trPr>
          <w:trHeight w:val="198"/>
        </w:trPr>
        <w:tc>
          <w:tcPr>
            <w:tcW w:w="1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2,211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2,211</w:t>
            </w:r>
          </w:p>
        </w:tc>
        <w:tc>
          <w:tcPr>
            <w:tcW w:w="0" w:type="dxa"/>
            <w:vAlign w:val="bottom"/>
          </w:tcPr>
          <w:p>
            <w:pPr>
              <w:spacing w:after="0"/>
              <w:rPr>
                <w:sz w:val="1"/>
                <w:szCs w:val="1"/>
                <w:color w:val="auto"/>
              </w:rPr>
            </w:pPr>
          </w:p>
        </w:tc>
      </w:tr>
      <w:tr>
        <w:trPr>
          <w:trHeight w:val="138"/>
        </w:trPr>
        <w:tc>
          <w:tcPr>
            <w:tcW w:w="184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Balance as of October 31,</w:t>
            </w:r>
          </w:p>
        </w:tc>
        <w:tc>
          <w:tcPr>
            <w:tcW w:w="11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1"/>
                <w:szCs w:val="11"/>
                <w:color w:val="auto"/>
              </w:rPr>
            </w:pPr>
          </w:p>
        </w:tc>
        <w:tc>
          <w:tcPr>
            <w:tcW w:w="2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vMerge w:val="restart"/>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276,226,458</w:t>
            </w:r>
          </w:p>
        </w:tc>
        <w:tc>
          <w:tcPr>
            <w:tcW w:w="120" w:type="dxa"/>
            <w:vAlign w:val="bottom"/>
            <w:vMerge w:val="restart"/>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786,778</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651</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(15,187)</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772,517</w:t>
            </w:r>
          </w:p>
        </w:tc>
        <w:tc>
          <w:tcPr>
            <w:tcW w:w="0" w:type="dxa"/>
            <w:vAlign w:val="bottom"/>
          </w:tcPr>
          <w:p>
            <w:pPr>
              <w:spacing w:after="0"/>
              <w:rPr>
                <w:sz w:val="1"/>
                <w:szCs w:val="1"/>
                <w:color w:val="auto"/>
              </w:rPr>
            </w:pPr>
          </w:p>
        </w:tc>
      </w:tr>
      <w:tr>
        <w:trPr>
          <w:trHeight w:val="191"/>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2019</w:t>
            </w:r>
          </w:p>
        </w:tc>
        <w:tc>
          <w:tcPr>
            <w:tcW w:w="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8"/>
        </w:trPr>
        <w:tc>
          <w:tcPr>
            <w:tcW w:w="18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October 31, 2018</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3"/>
          </w:tcPr>
          <w:p>
            <w:pPr>
              <w:jc w:val="center"/>
              <w:ind w:left="668"/>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7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18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Borders>
              <w:right w:val="single" w:sz="8" w:color="auto"/>
            </w:tcBorders>
            <w:vMerge w:val="restart"/>
          </w:tcPr>
          <w:p>
            <w:pPr>
              <w:spacing w:after="0"/>
              <w:rPr>
                <w:sz w:val="5"/>
                <w:szCs w:val="5"/>
                <w:color w:val="auto"/>
              </w:rPr>
            </w:pPr>
          </w:p>
        </w:tc>
        <w:tc>
          <w:tcPr>
            <w:tcW w:w="100" w:type="dxa"/>
            <w:vAlign w:val="bottom"/>
          </w:tcPr>
          <w:p>
            <w:pPr>
              <w:spacing w:after="0"/>
              <w:rPr>
                <w:sz w:val="5"/>
                <w:szCs w:val="5"/>
                <w:color w:val="auto"/>
              </w:rPr>
            </w:pPr>
          </w:p>
        </w:tc>
        <w:tc>
          <w:tcPr>
            <w:tcW w:w="2000" w:type="dxa"/>
            <w:vAlign w:val="bottom"/>
            <w:gridSpan w:val="4"/>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8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4"/>
            <w:vMerge w:val="continue"/>
          </w:tcPr>
          <w:p>
            <w:pPr>
              <w:spacing w:after="0"/>
              <w:rPr>
                <w:sz w:val="11"/>
                <w:szCs w:val="11"/>
                <w:color w:val="auto"/>
              </w:rPr>
            </w:pPr>
          </w:p>
        </w:tc>
        <w:tc>
          <w:tcPr>
            <w:tcW w:w="12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20" w:type="dxa"/>
            <w:vAlign w:val="bottom"/>
            <w:gridSpan w:val="3"/>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060" w:type="dxa"/>
            <w:vAlign w:val="bottom"/>
          </w:tcPr>
          <w:p>
            <w:pPr>
              <w:jc w:val="center"/>
              <w:ind w:right="69"/>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18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right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1"/>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July 31, 2018</w:t>
            </w:r>
          </w:p>
        </w:tc>
        <w:tc>
          <w:tcPr>
            <w:tcW w:w="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152,665,804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159,552</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86,396,013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9,164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(30,252)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(21,478)</w:t>
            </w:r>
          </w:p>
        </w:tc>
        <w:tc>
          <w:tcPr>
            <w:tcW w:w="0" w:type="dxa"/>
            <w:vAlign w:val="bottom"/>
          </w:tcPr>
          <w:p>
            <w:pPr>
              <w:spacing w:after="0"/>
              <w:rPr>
                <w:sz w:val="1"/>
                <w:szCs w:val="1"/>
                <w:color w:val="auto"/>
              </w:rPr>
            </w:pPr>
          </w:p>
        </w:tc>
      </w:tr>
      <w:tr>
        <w:trPr>
          <w:trHeight w:val="153"/>
        </w:trPr>
        <w:tc>
          <w:tcPr>
            <w:tcW w:w="184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Issuance of common stock</w:t>
            </w:r>
          </w:p>
        </w:tc>
        <w:tc>
          <w:tcPr>
            <w:tcW w:w="12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88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2,358,809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730</w:t>
            </w:r>
          </w:p>
        </w:tc>
        <w:tc>
          <w:tcPr>
            <w:tcW w:w="0" w:type="dxa"/>
            <w:vAlign w:val="bottom"/>
          </w:tcPr>
          <w:p>
            <w:pPr>
              <w:spacing w:after="0"/>
              <w:rPr>
                <w:sz w:val="1"/>
                <w:szCs w:val="1"/>
                <w:color w:val="auto"/>
              </w:rPr>
            </w:pPr>
          </w:p>
        </w:tc>
      </w:tr>
      <w:tr>
        <w:trPr>
          <w:trHeight w:val="193"/>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upon exercise of stock options</w:t>
            </w: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84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Stock-based compensation</w:t>
            </w:r>
          </w:p>
        </w:tc>
        <w:tc>
          <w:tcPr>
            <w:tcW w:w="12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880" w:type="dxa"/>
            <w:vAlign w:val="bottom"/>
            <w:tcBorders>
              <w:right w:val="single" w:sz="8" w:color="auto"/>
            </w:tcBorders>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2,652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2,652</w:t>
            </w:r>
          </w:p>
        </w:tc>
        <w:tc>
          <w:tcPr>
            <w:tcW w:w="0" w:type="dxa"/>
            <w:vAlign w:val="bottom"/>
          </w:tcPr>
          <w:p>
            <w:pPr>
              <w:spacing w:after="0"/>
              <w:rPr>
                <w:sz w:val="1"/>
                <w:szCs w:val="1"/>
                <w:color w:val="auto"/>
              </w:rPr>
            </w:pPr>
          </w:p>
        </w:tc>
      </w:tr>
      <w:tr>
        <w:trPr>
          <w:trHeight w:val="198"/>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2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08"/>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(598)</w:t>
            </w:r>
          </w:p>
        </w:tc>
        <w:tc>
          <w:tcPr>
            <w:tcW w:w="0" w:type="dxa"/>
            <w:vAlign w:val="bottom"/>
          </w:tcPr>
          <w:p>
            <w:pPr>
              <w:spacing w:after="0"/>
              <w:rPr>
                <w:sz w:val="1"/>
                <w:szCs w:val="1"/>
                <w:color w:val="auto"/>
              </w:rPr>
            </w:pPr>
          </w:p>
        </w:tc>
      </w:tr>
      <w:tr>
        <w:trPr>
          <w:trHeight w:val="133"/>
        </w:trPr>
        <w:tc>
          <w:tcPr>
            <w:tcW w:w="182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as of October 31,</w:t>
            </w:r>
          </w:p>
        </w:tc>
        <w:tc>
          <w:tcPr>
            <w:tcW w:w="20" w:type="dxa"/>
            <w:vAlign w:val="bottom"/>
          </w:tcPr>
          <w:p>
            <w:pPr>
              <w:spacing w:after="0"/>
              <w:rPr>
                <w:sz w:val="11"/>
                <w:szCs w:val="11"/>
                <w:color w:val="auto"/>
              </w:rPr>
            </w:pPr>
          </w:p>
        </w:tc>
        <w:tc>
          <w:tcPr>
            <w:tcW w:w="11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152,665,804</w:t>
            </w:r>
          </w:p>
        </w:tc>
        <w:tc>
          <w:tcPr>
            <w:tcW w:w="120" w:type="dxa"/>
            <w:vAlign w:val="bottom"/>
          </w:tcPr>
          <w:p>
            <w:pPr>
              <w:spacing w:after="0"/>
              <w:rPr>
                <w:sz w:val="11"/>
                <w:szCs w:val="11"/>
                <w:color w:val="auto"/>
              </w:rPr>
            </w:pP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159,552</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88,754,822</w:t>
            </w:r>
          </w:p>
        </w:tc>
        <w:tc>
          <w:tcPr>
            <w:tcW w:w="120" w:type="dxa"/>
            <w:vAlign w:val="bottom"/>
            <w:vMerge w:val="restart"/>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12,543</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(30,850)</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(18,609)</w:t>
            </w:r>
          </w:p>
        </w:tc>
        <w:tc>
          <w:tcPr>
            <w:tcW w:w="0" w:type="dxa"/>
            <w:vAlign w:val="bottom"/>
          </w:tcPr>
          <w:p>
            <w:pPr>
              <w:spacing w:after="0"/>
              <w:rPr>
                <w:sz w:val="1"/>
                <w:szCs w:val="1"/>
                <w:color w:val="auto"/>
              </w:rPr>
            </w:pPr>
          </w:p>
        </w:tc>
      </w:tr>
      <w:tr>
        <w:trPr>
          <w:trHeight w:val="211"/>
        </w:trPr>
        <w:tc>
          <w:tcPr>
            <w:tcW w:w="1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2018</w:t>
            </w:r>
          </w:p>
        </w:tc>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STOCKHOLDERS’ EQUITY (DEFICIT)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10"/>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October 31, 2019</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3"/>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tcBorders>
              <w:right w:val="single" w:sz="8" w:color="auto"/>
            </w:tcBorders>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12"/>
                <w:szCs w:val="12"/>
                <w:color w:val="auto"/>
              </w:rPr>
            </w:pPr>
          </w:p>
        </w:tc>
        <w:tc>
          <w:tcPr>
            <w:tcW w:w="21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8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220"/>
              <w:spacing w:after="0" w:line="110"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4"/>
                <w:szCs w:val="4"/>
                <w:color w:val="auto"/>
              </w:rPr>
            </w:pPr>
          </w:p>
        </w:tc>
        <w:tc>
          <w:tcPr>
            <w:tcW w:w="1280" w:type="dxa"/>
            <w:vAlign w:val="bottom"/>
            <w:gridSpan w:val="2"/>
            <w:vMerge w:val="restart"/>
          </w:tcPr>
          <w:p>
            <w:pPr>
              <w:jc w:val="center"/>
              <w:ind w:right="240"/>
              <w:spacing w:after="0" w:line="11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4"/>
                <w:szCs w:val="4"/>
                <w:color w:val="auto"/>
              </w:rPr>
            </w:pPr>
          </w:p>
        </w:tc>
        <w:tc>
          <w:tcPr>
            <w:tcW w:w="1120" w:type="dxa"/>
            <w:vAlign w:val="bottom"/>
            <w:gridSpan w:val="2"/>
            <w:vMerge w:val="restart"/>
          </w:tcPr>
          <w:p>
            <w:pPr>
              <w:jc w:val="center"/>
              <w:ind w:right="220"/>
              <w:spacing w:after="0" w:line="11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4"/>
                <w:szCs w:val="4"/>
                <w:color w:val="auto"/>
              </w:rPr>
            </w:pPr>
          </w:p>
        </w:tc>
        <w:tc>
          <w:tcPr>
            <w:tcW w:w="1140" w:type="dxa"/>
            <w:vAlign w:val="bottom"/>
            <w:gridSpan w:val="2"/>
            <w:vMerge w:val="restart"/>
          </w:tcPr>
          <w:p>
            <w:pPr>
              <w:jc w:val="center"/>
              <w:ind w:right="140"/>
              <w:spacing w:after="0" w:line="110"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36"/>
        </w:trPr>
        <w:tc>
          <w:tcPr>
            <w:tcW w:w="1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right w:val="single" w:sz="8" w:color="auto"/>
            </w:tcBorders>
            <w:vMerge w:val="restart"/>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8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right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 Equity</w:t>
            </w:r>
          </w:p>
        </w:tc>
        <w:tc>
          <w:tcPr>
            <w:tcW w:w="0" w:type="dxa"/>
            <w:vAlign w:val="bottom"/>
          </w:tcPr>
          <w:p>
            <w:pPr>
              <w:spacing w:after="0"/>
              <w:rPr>
                <w:sz w:val="1"/>
                <w:szCs w:val="1"/>
                <w:color w:val="auto"/>
              </w:rPr>
            </w:pPr>
          </w:p>
        </w:tc>
      </w:tr>
      <w:tr>
        <w:trPr>
          <w:trHeight w:val="138"/>
        </w:trPr>
        <w:tc>
          <w:tcPr>
            <w:tcW w:w="184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Balance as of January 31,</w:t>
            </w:r>
          </w:p>
        </w:tc>
        <w:tc>
          <w:tcPr>
            <w:tcW w:w="11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152,665,804</w:t>
            </w:r>
          </w:p>
        </w:tc>
        <w:tc>
          <w:tcPr>
            <w:tcW w:w="12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159,552</w:t>
            </w: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90,327,435</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17,760</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(25,153)</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2019</w:t>
            </w:r>
          </w:p>
        </w:tc>
        <w:tc>
          <w:tcPr>
            <w:tcW w:w="2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84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Conversion of convertible</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stock to common</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upon initial public</w:t>
            </w:r>
          </w:p>
        </w:tc>
        <w:tc>
          <w:tcPr>
            <w:tcW w:w="11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(152,665,804)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(159,552)</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152,665,804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159,399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159,552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offering</w:t>
            </w: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84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Conversion of convertible</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promissory notes and accrued</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to common stock upon</w:t>
            </w:r>
          </w:p>
        </w:tc>
        <w:tc>
          <w:tcPr>
            <w:tcW w:w="12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tcBorders>
              <w:right w:val="single" w:sz="8" w:color="auto"/>
            </w:tcBorders>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426,223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15,344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initial public offering</w:t>
            </w:r>
          </w:p>
        </w:tc>
        <w:tc>
          <w:tcPr>
            <w:tcW w:w="12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84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Issuance of common stock</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upon initial public offering</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and private placement, net of</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underwriting discounts and</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commissions and other</w:t>
            </w:r>
          </w:p>
        </w:tc>
        <w:tc>
          <w:tcPr>
            <w:tcW w:w="12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8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15,819,646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541,483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541,499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offering costs</w:t>
            </w: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84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Issuance of common stock</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upon exercise of stock options,</w:t>
            </w:r>
          </w:p>
        </w:tc>
        <w:tc>
          <w:tcPr>
            <w:tcW w:w="12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tcBorders>
              <w:right w:val="single" w:sz="8" w:color="auto"/>
            </w:tcBorders>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16,487,350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6,002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repurchases</w:t>
            </w:r>
          </w:p>
        </w:tc>
        <w:tc>
          <w:tcPr>
            <w:tcW w:w="12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84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Issuance of common stock</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reserved for charitable</w:t>
            </w:r>
          </w:p>
        </w:tc>
        <w:tc>
          <w:tcPr>
            <w:tcW w:w="12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8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donations</w:t>
            </w: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84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Stock-based compensation</w:t>
            </w:r>
          </w:p>
        </w:tc>
        <w:tc>
          <w:tcPr>
            <w:tcW w:w="12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880" w:type="dxa"/>
            <w:vAlign w:val="bottom"/>
            <w:tcBorders>
              <w:right w:val="single" w:sz="8" w:color="auto"/>
            </w:tcBorders>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46,790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46,790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2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9,966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9,966</w:t>
            </w:r>
          </w:p>
        </w:tc>
        <w:tc>
          <w:tcPr>
            <w:tcW w:w="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8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as of October 31,</w:t>
            </w:r>
          </w:p>
        </w:tc>
        <w:tc>
          <w:tcPr>
            <w:tcW w:w="11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1"/>
                <w:szCs w:val="11"/>
                <w:color w:val="auto"/>
              </w:rPr>
            </w:pP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vMerge w:val="restart"/>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276,226,458</w:t>
            </w:r>
          </w:p>
        </w:tc>
        <w:tc>
          <w:tcPr>
            <w:tcW w:w="120" w:type="dxa"/>
            <w:vAlign w:val="bottom"/>
            <w:vMerge w:val="restart"/>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786,778</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651</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(15,187)</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772,517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2019</w:t>
            </w:r>
          </w:p>
        </w:tc>
        <w:tc>
          <w:tcPr>
            <w:tcW w:w="20" w:type="dxa"/>
            <w:vAlign w:val="bottom"/>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right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78"/>
        </w:trPr>
        <w:tc>
          <w:tcPr>
            <w:tcW w:w="18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October 31, 2018</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3"/>
          </w:tcPr>
          <w:p>
            <w:pPr>
              <w:jc w:val="center"/>
              <w:ind w:left="668"/>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7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18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Borders>
              <w:right w:val="single" w:sz="8" w:color="auto"/>
            </w:tcBorders>
            <w:vMerge w:val="restart"/>
          </w:tcPr>
          <w:p>
            <w:pPr>
              <w:spacing w:after="0"/>
              <w:rPr>
                <w:sz w:val="5"/>
                <w:szCs w:val="5"/>
                <w:color w:val="auto"/>
              </w:rPr>
            </w:pPr>
          </w:p>
        </w:tc>
        <w:tc>
          <w:tcPr>
            <w:tcW w:w="100" w:type="dxa"/>
            <w:vAlign w:val="bottom"/>
          </w:tcPr>
          <w:p>
            <w:pPr>
              <w:spacing w:after="0"/>
              <w:rPr>
                <w:sz w:val="5"/>
                <w:szCs w:val="5"/>
                <w:color w:val="auto"/>
              </w:rPr>
            </w:pPr>
          </w:p>
        </w:tc>
        <w:tc>
          <w:tcPr>
            <w:tcW w:w="2000" w:type="dxa"/>
            <w:vAlign w:val="bottom"/>
            <w:gridSpan w:val="4"/>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8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4"/>
            <w:vMerge w:val="continue"/>
          </w:tcPr>
          <w:p>
            <w:pPr>
              <w:spacing w:after="0"/>
              <w:rPr>
                <w:sz w:val="11"/>
                <w:szCs w:val="11"/>
                <w:color w:val="auto"/>
              </w:rPr>
            </w:pPr>
          </w:p>
        </w:tc>
        <w:tc>
          <w:tcPr>
            <w:tcW w:w="12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20" w:type="dxa"/>
            <w:vAlign w:val="bottom"/>
            <w:gridSpan w:val="3"/>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14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18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right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18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Balance as of January 31,</w:t>
            </w:r>
          </w:p>
        </w:tc>
        <w:tc>
          <w:tcPr>
            <w:tcW w:w="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152,665,804</w:t>
            </w:r>
          </w:p>
        </w:tc>
        <w:tc>
          <w:tcPr>
            <w:tcW w:w="12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159,552</w:t>
            </w: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82,609,638</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6,517</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(531)</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(32,737)</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(26,671)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2018</w:t>
            </w:r>
          </w:p>
        </w:tc>
        <w:tc>
          <w:tcPr>
            <w:tcW w:w="2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84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Issuance of common stock</w:t>
            </w:r>
          </w:p>
        </w:tc>
        <w:tc>
          <w:tcPr>
            <w:tcW w:w="12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88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6,145,184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1,399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1,406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upon exercise of stock options</w:t>
            </w: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84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Stock-based compensation</w:t>
            </w:r>
          </w:p>
        </w:tc>
        <w:tc>
          <w:tcPr>
            <w:tcW w:w="12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880" w:type="dxa"/>
            <w:vAlign w:val="bottom"/>
            <w:tcBorders>
              <w:right w:val="single" w:sz="8" w:color="auto"/>
            </w:tcBorders>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4,627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4,627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2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1,887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82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as of October 31,</w:t>
            </w:r>
          </w:p>
        </w:tc>
        <w:tc>
          <w:tcPr>
            <w:tcW w:w="20" w:type="dxa"/>
            <w:vAlign w:val="bottom"/>
          </w:tcPr>
          <w:p>
            <w:pPr>
              <w:spacing w:after="0"/>
              <w:rPr>
                <w:sz w:val="11"/>
                <w:szCs w:val="11"/>
                <w:color w:val="auto"/>
              </w:rPr>
            </w:pPr>
          </w:p>
        </w:tc>
        <w:tc>
          <w:tcPr>
            <w:tcW w:w="11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152,665,804</w:t>
            </w:r>
          </w:p>
        </w:tc>
        <w:tc>
          <w:tcPr>
            <w:tcW w:w="120" w:type="dxa"/>
            <w:vAlign w:val="bottom"/>
          </w:tcPr>
          <w:p>
            <w:pPr>
              <w:spacing w:after="0"/>
              <w:rPr>
                <w:sz w:val="11"/>
                <w:szCs w:val="11"/>
                <w:color w:val="auto"/>
              </w:rPr>
            </w:pP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159,552</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88,754,822</w:t>
            </w:r>
          </w:p>
        </w:tc>
        <w:tc>
          <w:tcPr>
            <w:tcW w:w="120" w:type="dxa"/>
            <w:vAlign w:val="bottom"/>
            <w:vMerge w:val="restart"/>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12,543</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(30,850)</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(18,609)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2018</w:t>
            </w:r>
          </w:p>
        </w:tc>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13335</wp:posOffset>
            </wp:positionV>
            <wp:extent cx="19208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9,966</w:t>
            </w:r>
          </w:p>
        </w:tc>
        <w:tc>
          <w:tcPr>
            <w:tcW w:w="14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1,887</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46,532</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4,627</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deferred contract acquisition costs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25,939</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14,362</w:t>
            </w:r>
          </w:p>
        </w:tc>
      </w:tr>
      <w:tr>
        <w:trPr>
          <w:trHeight w:val="243"/>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11,589</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4,459</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4,840</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accounts receivable allowances</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3,976</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1,493</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(1,577)</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(36,886)</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(27,775)</w:t>
            </w:r>
          </w:p>
        </w:tc>
      </w:tr>
      <w:tr>
        <w:trPr>
          <w:trHeight w:val="243"/>
        </w:trPr>
        <w:tc>
          <w:tcPr>
            <w:tcW w:w="8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(22,439)</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(6,450)</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(50,824)</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(32,875)</w:t>
            </w:r>
          </w:p>
        </w:tc>
      </w:tr>
      <w:tr>
        <w:trPr>
          <w:trHeight w:val="243"/>
        </w:trPr>
        <w:tc>
          <w:tcPr>
            <w:tcW w:w="8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(1,118)</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369</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53,485</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22,644</w:t>
            </w:r>
          </w:p>
        </w:tc>
      </w:tr>
      <w:tr>
        <w:trPr>
          <w:trHeight w:val="243"/>
        </w:trPr>
        <w:tc>
          <w:tcPr>
            <w:tcW w:w="8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76,579</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52,583</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lease liabilities, net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(4,724)</w:t>
            </w:r>
          </w:p>
        </w:tc>
        <w:tc>
          <w:tcPr>
            <w:tcW w:w="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3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115,338</w:t>
            </w:r>
          </w:p>
        </w:tc>
        <w:tc>
          <w:tcPr>
            <w:tcW w:w="1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35,341</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(629,107)</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(49,159)</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164,140</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43,547</w:t>
            </w:r>
          </w:p>
        </w:tc>
      </w:tr>
      <w:tr>
        <w:trPr>
          <w:trHeight w:val="243"/>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(28,132)</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(18,121)</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equity investment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3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(496,099)</w:t>
            </w:r>
          </w:p>
        </w:tc>
        <w:tc>
          <w:tcPr>
            <w:tcW w:w="1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(23,733)</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5"/>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Proceeds from initial public offering and private placement, net of underwriting discounts and commissions and</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offering costs</w:t>
            </w:r>
          </w:p>
        </w:tc>
        <w:tc>
          <w:tcPr>
            <w:tcW w:w="340" w:type="dxa"/>
            <w:vAlign w:val="bottom"/>
          </w:tcPr>
          <w:p>
            <w:pPr>
              <w:spacing w:after="0"/>
              <w:rPr>
                <w:sz w:val="20"/>
                <w:szCs w:val="20"/>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542,492</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international employee stock sales to be remitted to employees and tax authorities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48,547</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exercise of stock options, net of repurchases</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5,584</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2,714</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convertible promissory notes and derivatives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15,000</w:t>
            </w:r>
          </w:p>
        </w:tc>
      </w:tr>
      <w:tr>
        <w:trPr>
          <w:trHeight w:val="243"/>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payments on capital lease obligations</w:t>
            </w:r>
          </w:p>
        </w:tc>
        <w:tc>
          <w:tcPr>
            <w:tcW w:w="34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30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596,623</w:t>
            </w:r>
          </w:p>
        </w:tc>
        <w:tc>
          <w:tcPr>
            <w:tcW w:w="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17,622</w:t>
            </w:r>
          </w:p>
        </w:tc>
      </w:tr>
      <w:tr>
        <w:trPr>
          <w:trHeight w:val="237"/>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215,862</w:t>
            </w:r>
          </w:p>
        </w:tc>
        <w:tc>
          <w:tcPr>
            <w:tcW w:w="1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29,230</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65,968</w:t>
            </w:r>
          </w:p>
        </w:tc>
        <w:tc>
          <w:tcPr>
            <w:tcW w:w="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36,821</w:t>
            </w:r>
          </w:p>
        </w:tc>
      </w:tr>
      <w:tr>
        <w:trPr>
          <w:trHeight w:val="237"/>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281,830</w:t>
            </w:r>
          </w:p>
        </w:tc>
        <w:tc>
          <w:tcPr>
            <w:tcW w:w="1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66,051</w:t>
            </w:r>
          </w:p>
        </w:tc>
      </w:tr>
      <w:tr>
        <w:trPr>
          <w:trHeight w:val="27"/>
        </w:trPr>
        <w:tc>
          <w:tcPr>
            <w:tcW w:w="8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8"/>
        </w:trPr>
        <w:tc>
          <w:tcPr>
            <w:tcW w:w="830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within the condensed consolidated balance</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45"/>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sheets to the amounts shown in the condensed consolidated statements of cash flows above: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230,874</w:t>
            </w:r>
          </w:p>
        </w:tc>
        <w:tc>
          <w:tcPr>
            <w:tcW w:w="14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63,707</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current included in 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48,647</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200</w:t>
            </w:r>
          </w:p>
        </w:tc>
      </w:tr>
      <w:tr>
        <w:trPr>
          <w:trHeight w:val="243"/>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 noncurrent included in other assets, noncurrent</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2,309</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2,144</w:t>
            </w:r>
          </w:p>
        </w:tc>
      </w:tr>
      <w:tr>
        <w:trPr>
          <w:trHeight w:val="27"/>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8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281,830</w:t>
            </w: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66,051</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320"/>
          </w:cols>
          <w:pgMar w:left="240" w:top="121"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ZOOM VIDEO COMMUNICATIONS, INC. NOTES TO CONDENSED CONSOLIDATED FINANCIAL STATEMENTS (unaudited)</w:t>
      </w:r>
    </w:p>
    <w:p>
      <w:pPr>
        <w:spacing w:after="0" w:line="358" w:lineRule="exact"/>
        <w:rPr>
          <w:sz w:val="20"/>
          <w:szCs w:val="20"/>
          <w:color w:val="auto"/>
        </w:rPr>
      </w:pPr>
    </w:p>
    <w:p>
      <w:pPr>
        <w:ind w:left="1140" w:hanging="646"/>
        <w:spacing w:after="0"/>
        <w:tabs>
          <w:tab w:leader="none" w:pos="114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Summary of Business and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Zoom Video Communications, Inc. and its subsidiaries (together, “Zoom,” the “Company,” “we,” “us,” or “our”) provide a video-first, unified communications platform. Our platform combines video, audio, phone, screen sharing, and chat functionalities. We were incorporated in the state of Delaware in April 2011 and are headquartered in San Jose, California.</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fiscal year ends on January 31. References to fiscal 2020, for example, refer to the fiscal year ending January 31, 2020.</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Public Offering and Private Placement</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April 23, 2019, we completed our initial public offering (“IPO”), in which we issued and sold 9,911,434 shares of our Class A common stock at $36.00 per share, resulting in net proceeds of $340.8 million after deducting underwriting discounts and commissions. On April 18, 2019, the underwriters exercised their option to purchase an additional 3,130,435 shares of our Class A common stock at $36.00 per share. This transaction closed on April 23, 2019, resulting in additional proceeds of $107.1 million, net of underwriters’ discounts and commissions. In connection with the IPO:</w:t>
      </w:r>
    </w:p>
    <w:p>
      <w:pPr>
        <w:spacing w:after="0" w:line="72" w:lineRule="exact"/>
        <w:rPr>
          <w:sz w:val="20"/>
          <w:szCs w:val="20"/>
          <w:color w:val="auto"/>
        </w:rPr>
      </w:pPr>
    </w:p>
    <w:p>
      <w:pPr>
        <w:ind w:left="1140" w:hanging="646"/>
        <w:spacing w:after="0" w:line="282" w:lineRule="auto"/>
        <w:tabs>
          <w:tab w:leader="none" w:pos="1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shares of convertible preferred stock outstanding automatically converted into an aggregate of 152,665,804 shares of Class B common stock;</w:t>
      </w:r>
    </w:p>
    <w:p>
      <w:pPr>
        <w:spacing w:after="0" w:line="53"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convertible promissory notes and accrued interest automatically converted into 426,223 shares of Class A common stock based on the IPO price of $36.00 per share; and</w:t>
      </w:r>
    </w:p>
    <w:p>
      <w:pPr>
        <w:spacing w:after="0" w:line="53" w:lineRule="exact"/>
        <w:rPr>
          <w:rFonts w:ascii="Times New Roman" w:cs="Times New Roman" w:eastAsia="Times New Roman" w:hAnsi="Times New Roman"/>
          <w:sz w:val="18"/>
          <w:szCs w:val="18"/>
          <w:color w:val="auto"/>
        </w:rPr>
      </w:pPr>
    </w:p>
    <w:p>
      <w:pPr>
        <w:jc w:val="both"/>
        <w:ind w:left="1140" w:hanging="646"/>
        <w:spacing w:after="0" w:line="266" w:lineRule="auto"/>
        <w:tabs>
          <w:tab w:leader="none" w:pos="1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Salesforce Ventures LLC purchased 2,777,777 shares of Class A common stock from us at $36.00 per share in a concurrent private placement. We received aggregate proceeds of $100.0 million and did not pay any underwriting discounts or commissions with respect to the shares of Class A common stock that were sold in this private placement.</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Deferred offering costs consist primarily of accounting, legal, and other fees related to our IPO. Prior to the IPO, all deferred offering costs were capitalized in other assets, noncurrent in the condensed consolidated balance sheets. After the IPO, $6.4 million of deferred offering costs were reclassified into stockholders’ equity (deficit) as a reduction of the IPO proceeds in the condensed consolidated balance sheets. We capitalized $2.4 million of deferred offering costs within other assets, noncurrent in the condensed consolidated balance sheet as of January 31, 2019.</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9" w:lineRule="exact"/>
        <w:rPr>
          <w:sz w:val="20"/>
          <w:szCs w:val="20"/>
          <w:color w:val="auto"/>
        </w:rPr>
      </w:pPr>
    </w:p>
    <w:p>
      <w:pPr>
        <w:jc w:val="both"/>
        <w:ind w:firstLine="486"/>
        <w:spacing w:after="0" w:line="23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(“GAAP”) and applicable regulations of the Securities and Exchange Commission (“SEC”) regarding interim financial reporting, and include the accounts of Zoom Video Communications, Inc., its subsidiaries, and a variable interest entity (“VIE”) for which we are the primary beneficiary. All intercompany balances and transactions have been eliminated in consolidation.</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condensed consolidated balance sheet as of January 31, 2019 included herein was derived from the audited financial statements as of that date, but does not include all disclosures, including certain notes required by GAAP on an annual reporting basis. The unaudited condensed consolidated financial statements reflect all normal recurring adjustments necessary to present fairly the balance sheets, statements of operations, statements of comprehensive income, statements of convertible preferred stock and stockholders’ equity (deficit), and statements of cash flows for the interim periods, but are not necessarily indicative of the results of operations to be anticipated for the full fiscal year or any future period.</w:t>
      </w:r>
    </w:p>
    <w:p>
      <w:pPr>
        <w:spacing w:after="0" w:line="76" w:lineRule="exact"/>
        <w:rPr>
          <w:sz w:val="20"/>
          <w:szCs w:val="20"/>
          <w:color w:val="auto"/>
        </w:rPr>
      </w:pPr>
    </w:p>
    <w:p>
      <w:pPr>
        <w:jc w:val="both"/>
        <w:ind w:firstLine="486"/>
        <w:spacing w:after="0" w:line="27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should be read in conjunction with the audited consolidated financial statements and notes included in our final prospectus dated April 17, 2019 (“Prospectus”) filed with the SEC pursuant to Rule 424(b)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Actual results could differ from those estimates. Significant items subject to such estimates and assumptions include, but are not limited to, the estimated expected benefit period for deferred contract acquisition costs, the accounts receivable allowances, the useful lives of long-lived assets, the incremental borrowing rate for operating leases, the valuation of derivative liabilities, the value of common stock and other assumptions used to measure stock-based compensation expense, sales and other tax liabilities, and the valuation of deferred income tax assets and uncertain tax positions. Actual results could differ from those estimates.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Significant Accounting Policies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discussed in Note 1. “Summary of Business and Significant Accounting Policies” in the Notes to Consolidated Financial Statements in our Prospectus. There have been no significant changes to these policies during the nine months ended October 31, 2019, except as noted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w:t>
      </w:r>
    </w:p>
    <w:p>
      <w:pPr>
        <w:spacing w:after="0" w:line="11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Historically, restricted cash consisted of certificates of deposit collateralizing our operating leases and corporate credit cards, and was included in prepaid expenses and other current assets and other assets, noncurrent in the condensed consolidated balance sheets.</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third quarter of fiscal year 2020, we received $48.5 million of cash from proceeds on international employees’ sales of our common stock. The amount is held in our bank account until it is remitted to the employees and the tax authorities. Due to the restrictions on the use of the funds in the bank account, we have classified the amount as restricted cash included in prepaid expenses and other current assets, and a corresponding amount included in accrued expenses and other current liabilities in the condensed consolidated balance sheets.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Investment</w:t>
      </w:r>
    </w:p>
    <w:p>
      <w:pPr>
        <w:spacing w:after="0" w:line="1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third quarter of fiscal year 2020, we made a $3.0 million strategic investment in a private limited liability company in the business of designing and developing video communications hardware. We do not have a controlling financial interest in the investee nor the ability to exercise significant influence over the operating and financial policies of the investee. The investment is included within other assets, noncurrent in the condensed consolidated balance sheets. Dividend income, unrealized and realized holding gains or losses, and impairment charges would be reported in other income, net in the condensed consolidated statements of operations. The maximum loss we could incur for this investment is its carrying value.</w:t>
      </w:r>
    </w:p>
    <w:p>
      <w:pPr>
        <w:spacing w:after="0" w:line="1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elected to measure this investment, which does not have a readily determinable fair value, at its cost minus impairment, if any, plus or minus changes resulting from observable price changes in orderly transactions for the identical or a similar investment of the same issuer (i.e., using the measurement alternative). At each reporting period, we perform a qualitative assessment considering impairment indicators to evaluate whether the investment is impaired. If this qualitative assessment indicates that the investment is impaired and the fair value of the investment is less than its carrying amount, the investment would be written down to its fair value.</w:t>
      </w:r>
    </w:p>
    <w:p>
      <w:pPr>
        <w:spacing w:after="0" w:line="1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October 31, 2019, the carrying amount of this investment is $3.0 million. We have not recognized any impairments nor any downward or upward measurement alternative adjustments to its carrying amount.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w:t>
      </w:r>
    </w:p>
    <w:p>
      <w:pPr>
        <w:spacing w:after="0" w:line="11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All significant lease arrangements are generally recognized at lease commencement. Operating lease right-of-use (“ROU”) assets and operating lease liabilities are recognized at commencement. For short-term leases (an initial term of 12 months or less), an ROU asset and corresponding lease liability are not recorded and we record rent expense in our condensed consolidated statements of operations on a straight-line basis over the lease term and record variable lease payments as incurred. ROU assets represent our right to use an underlying asset during the reasonably certain lease term and lease liabilities represent our obligation to make lease payments arising from the lease. Our lease terms may include options to extend or terminate the lease when it is reasonably certain that we will exercise that option. Operating lease ROU assets and liabilities are recognized at the commencement date based on the present value of fixed payments not yet paid over the lease term. We use our incremental borrowing rate based on the information available at the commencement date in determining the lease liabilities as our leases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generally do not provide an implicit rate. ROU assets also include any initial direct costs incurred and any lease payments made at or before the lease commencement date, less lease incentives received. We currently do not have any finance leases.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(“ASU”) No. 2016-13, </w:t>
      </w:r>
      <w:r>
        <w:rPr>
          <w:rFonts w:ascii="Times New Roman" w:cs="Times New Roman" w:eastAsia="Times New Roman" w:hAnsi="Times New Roman"/>
          <w:sz w:val="18"/>
          <w:szCs w:val="18"/>
          <w:i w:val="1"/>
          <w:iCs w:val="1"/>
          <w:color w:val="auto"/>
        </w:rPr>
        <w:t>Financial Instruments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Credit Losses (Topic 326): Measurement of Credit Losses on Financial Instruments</w:t>
      </w:r>
      <w:r>
        <w:rPr>
          <w:rFonts w:ascii="Times New Roman" w:cs="Times New Roman" w:eastAsia="Times New Roman" w:hAnsi="Times New Roman"/>
          <w:sz w:val="18"/>
          <w:szCs w:val="18"/>
          <w:color w:val="auto"/>
        </w:rPr>
        <w:t>, which replaces the existing incurred loss impairment model with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credit loss model and requires a financial asset measured at amortized cost to be presented at the net amount expected to be collected. The guidance will be effective for fiscal years beginning after December 15, 2019 and interim periods within those fiscal years. Early adoption is permitted. We are currently evaluating whether the adoption of this standard will have a material impact on our condensed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1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which supersedes FASB ASC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840), and makes other conforming amendments to GAAP. ASU No. 2016-02 requires, among other changes to the lease accounting guidance, lessees to recognize most leases on-balance sheet via an ROU asset and lease liability, and additional qualitative and quantitative disclosures. ASU 2016-02 is effective for the annual periods in fiscal years beginning after December 15, 2018, and interim periods therein. We adopted the standard as of February 1, 2019 using the modified retrospective method of applying the new standard at the adoption date. Under this approach, we will continue to report comparative periods presented in the period of adoption under ASC 840. We have elected the package of practical expedients permitted under the transition guidance within the new standard, which allows us to (1) carry forward the historical lease classification, (2) not reassess whether any expired or existing contracts contain leases, and (3) not reassess indirect costs for any existing leases. This election allows us to account for lease components (e.g., fixed payments or variable payments that depend on a rate that can be determined at commencement, including rent for the right to use the asset) together with nonlease components (e.g., other fixed payments that deliver a good or service, including common area maintenance costs) in the calculation of the ROU asset and corresponding liability. Adoption of this standard resulted in the recording of ROU assets and lease liabilities of $40.5 million and $43.0 million, respectively, with no material impact on retained earnings as of February 1, 2019. See Note 7 for further details.</w:t>
      </w:r>
    </w:p>
    <w:p>
      <w:pPr>
        <w:spacing w:after="0" w:line="83"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color w:val="auto"/>
        </w:rPr>
        <w:t xml:space="preserve">In June 2018, the FASB issued ASU No. 2018-07, </w:t>
      </w:r>
      <w:r>
        <w:rPr>
          <w:rFonts w:ascii="Times New Roman" w:cs="Times New Roman" w:eastAsia="Times New Roman" w:hAnsi="Times New Roman"/>
          <w:sz w:val="18"/>
          <w:szCs w:val="18"/>
          <w:i w:val="1"/>
          <w:iCs w:val="1"/>
          <w:color w:val="auto"/>
        </w:rPr>
        <w:t>Compensation – Stock Compensation (Topic 718): Improvements to Nonemploy</w:t>
      </w:r>
      <w:r>
        <w:rPr>
          <w:rFonts w:ascii="Times New Roman" w:cs="Times New Roman" w:eastAsia="Times New Roman" w:hAnsi="Times New Roman"/>
          <w:sz w:val="18"/>
          <w:szCs w:val="18"/>
          <w:color w:val="auto"/>
        </w:rPr>
        <w:t>ee Share-Based Payment Accounting. The standard simplifies the accounting for share-based payments granted to nonemployees for goods and services and aligns most of the guidance on such payments to nonemployees with the requirements for share-based payments granted to employees. ASU No. 2018-07 is effective for the annual periods in fiscal years beginning after December 15, 2018, and interim periods therein, using a modified retrospective approach. We adopted ASU No. 2018-07 as of February 1, 2019, and our adoption did not have a material impact on the condensed consolidated financial statements.</w:t>
      </w:r>
    </w:p>
    <w:p>
      <w:pPr>
        <w:spacing w:after="0" w:line="180"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for Fair Value Measurement</w:t>
      </w:r>
      <w:r>
        <w:rPr>
          <w:rFonts w:ascii="Times New Roman" w:cs="Times New Roman" w:eastAsia="Times New Roman" w:hAnsi="Times New Roman"/>
          <w:sz w:val="18"/>
          <w:szCs w:val="18"/>
          <w:color w:val="auto"/>
        </w:rPr>
        <w:t>. The standard no longer requires disclosure of the amount and reasons for transfers between Level 1 and Level 2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hierarchy; however, public companies will be required to disclose the range and weighted-average of significant unobservable inputs used to develop Level 3 fair value measurements. ASU No. 2018-13 is effective for the annual periods in fiscal years beginning after December 15, 2019, and interim periods therein, with early adoption permitted. We adopted ASU No. 2018-13 as of February 1, 2019, and our adoption did not have a material impact on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2. 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revenue by region based on the billing address of customers: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96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96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96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96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200" w:type="dxa"/>
            <w:vAlign w:val="bottom"/>
          </w:tcPr>
          <w:p>
            <w:pPr>
              <w:spacing w:after="0"/>
              <w:rPr>
                <w:sz w:val="12"/>
                <w:szCs w:val="12"/>
                <w:color w:val="auto"/>
              </w:rPr>
            </w:pPr>
          </w:p>
        </w:tc>
        <w:tc>
          <w:tcPr>
            <w:tcW w:w="80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200" w:type="dxa"/>
            <w:vAlign w:val="bottom"/>
          </w:tcPr>
          <w:p>
            <w:pPr>
              <w:spacing w:after="0"/>
              <w:rPr>
                <w:sz w:val="12"/>
                <w:szCs w:val="12"/>
                <w:color w:val="auto"/>
              </w:rPr>
            </w:pPr>
          </w:p>
        </w:tc>
        <w:tc>
          <w:tcPr>
            <w:tcW w:w="8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220" w:type="dxa"/>
            <w:vAlign w:val="bottom"/>
          </w:tcPr>
          <w:p>
            <w:pPr>
              <w:spacing w:after="0"/>
              <w:rPr>
                <w:sz w:val="12"/>
                <w:szCs w:val="12"/>
                <w:color w:val="auto"/>
              </w:rPr>
            </w:pPr>
          </w:p>
        </w:tc>
        <w:tc>
          <w:tcPr>
            <w:tcW w:w="78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1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37"/>
        </w:trPr>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133,864</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73,619</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349,122</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184,334</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333"/>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13,661</w:t>
            </w:r>
          </w:p>
        </w:tc>
        <w:tc>
          <w:tcPr>
            <w:tcW w:w="1360" w:type="dxa"/>
            <w:vAlign w:val="bottom"/>
            <w:gridSpan w:val="3"/>
          </w:tcPr>
          <w:p>
            <w:pPr>
              <w:jc w:val="right"/>
              <w:ind w:right="144"/>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1360" w:type="dxa"/>
            <w:vAlign w:val="bottom"/>
            <w:gridSpan w:val="3"/>
          </w:tcPr>
          <w:p>
            <w:pPr>
              <w:jc w:val="right"/>
              <w:ind w:right="164"/>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36,189</w:t>
            </w:r>
          </w:p>
        </w:tc>
        <w:tc>
          <w:tcPr>
            <w:tcW w:w="1340" w:type="dxa"/>
            <w:vAlign w:val="bottom"/>
            <w:gridSpan w:val="3"/>
          </w:tcPr>
          <w:p>
            <w:pPr>
              <w:jc w:val="right"/>
              <w:ind w:right="164"/>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18,466</w:t>
            </w:r>
          </w:p>
        </w:tc>
        <w:tc>
          <w:tcPr>
            <w:tcW w:w="1380" w:type="dxa"/>
            <w:vAlign w:val="bottom"/>
            <w:gridSpan w:val="3"/>
          </w:tcPr>
          <w:p>
            <w:pPr>
              <w:jc w:val="right"/>
              <w:ind w:right="14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3"/>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 East,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Africa</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19,068</w:t>
            </w:r>
          </w:p>
        </w:tc>
        <w:tc>
          <w:tcPr>
            <w:tcW w:w="136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w:t>
            </w:r>
          </w:p>
        </w:tc>
        <w:tc>
          <w:tcPr>
            <w:tcW w:w="136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49,096</w:t>
            </w:r>
          </w:p>
        </w:tc>
        <w:tc>
          <w:tcPr>
            <w:tcW w:w="134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21,917</w:t>
            </w:r>
          </w:p>
        </w:tc>
        <w:tc>
          <w:tcPr>
            <w:tcW w:w="1380" w:type="dxa"/>
            <w:vAlign w:val="bottom"/>
            <w:tcBorders>
              <w:bottom w:val="single" w:sz="8" w:color="CCEEFF"/>
            </w:tcBorders>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1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166,593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90,121</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434,407</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224,717</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of allowances in the condensed consolidated balance sheets was $10.8 million and $7.2 million as of October 31, 2019 and January 31, 2019, respectively.</w:t>
      </w:r>
    </w:p>
    <w:p>
      <w:pPr>
        <w:spacing w:after="0" w:line="1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Contract liabilities consist of deferred revenue. Revenue is deferred when we have the right to invoice in advance of performance under a customer contract. The current portion of deferred revenue balances are recognized over the next 12 months. The amount of revenue recognized during the three months ended October 31, 2019 and 2018 that was included in deferred revenue at the beginning of each period was $75.5 million and $38.4 million, respectively, and $109.2 million and $47.8 million during the nine months ended October 31, 2019 and 2018,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terms of our subscription agreements are monthly, annual, and multiyear and we may bill for the full term in advance or on an annual or monthly basis, depending on the customer preference. As of October 31, 2019, the aggregate amount of the transaction price allocated to our remaining performance obligations was $517.0 million, which consists of both billed consideration in the amount of $201.6 million and unbilled consideration in the amount of $315.4 million that we expect to recognize as revenue. We expect to recognize 64% of our remaining performance obligations as revenue over the next 12 months and the remainder thereafter.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3. Cash Equivalents and Marketable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October 31, 2019 and January 31, 2019, our cash equivalents and marketable securities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10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10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7"/>
        </w:trPr>
        <w:tc>
          <w:tcPr>
            <w:tcW w:w="5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99,494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99,494</w:t>
            </w:r>
          </w:p>
        </w:tc>
        <w:tc>
          <w:tcPr>
            <w:tcW w:w="0" w:type="dxa"/>
            <w:vAlign w:val="bottom"/>
          </w:tcPr>
          <w:p>
            <w:pPr>
              <w:spacing w:after="0"/>
              <w:rPr>
                <w:sz w:val="1"/>
                <w:szCs w:val="1"/>
                <w:color w:val="auto"/>
              </w:rPr>
            </w:pPr>
          </w:p>
        </w:tc>
      </w:tr>
      <w:tr>
        <w:trPr>
          <w:trHeight w:val="237"/>
        </w:trPr>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99,494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99,494</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48,841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48,841</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78,963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78,891</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296,419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296,979</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106,224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106,365</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49,428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49,450</w:t>
            </w:r>
          </w:p>
        </w:tc>
        <w:tc>
          <w:tcPr>
            <w:tcW w:w="0" w:type="dxa"/>
            <w:vAlign w:val="bottom"/>
          </w:tcPr>
          <w:p>
            <w:pPr>
              <w:spacing w:after="0"/>
              <w:rPr>
                <w:sz w:val="1"/>
                <w:szCs w:val="1"/>
                <w:color w:val="auto"/>
              </w:rPr>
            </w:pPr>
          </w:p>
        </w:tc>
      </w:tr>
      <w:tr>
        <w:trPr>
          <w:trHeight w:val="237"/>
        </w:trPr>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579,875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580,526</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9"/>
        </w:trPr>
        <w:tc>
          <w:tcPr>
            <w:tcW w:w="57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January 31, 2019</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10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10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7"/>
        </w:trPr>
        <w:tc>
          <w:tcPr>
            <w:tcW w:w="5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7"/>
        </w:trPr>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53,267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53,214</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32,675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32,604</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24,028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24,017</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1,699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1,699</w:t>
            </w:r>
          </w:p>
        </w:tc>
        <w:tc>
          <w:tcPr>
            <w:tcW w:w="0" w:type="dxa"/>
            <w:vAlign w:val="bottom"/>
          </w:tcPr>
          <w:p>
            <w:pPr>
              <w:spacing w:after="0"/>
              <w:rPr>
                <w:sz w:val="1"/>
                <w:szCs w:val="1"/>
                <w:color w:val="auto"/>
              </w:rPr>
            </w:pPr>
          </w:p>
        </w:tc>
      </w:tr>
      <w:tr>
        <w:trPr>
          <w:trHeight w:val="237"/>
        </w:trPr>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112,912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112,777</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review the individual securities that have unrealized losses on a regular basis to evaluate whether or not any security has experienced an other-than-temporary decline in fair value. We evaluate, among other factors, whether we have the intention to sell any of these marketable securities and whether it is more likely than not that we will be required to sell any of them before recovery of the amortized cost basis. Based on the available evidence, we concluded that the gross unrealized losses on the marketable securities as of October 31, 2019 and January 31, 2019, are temporary in nature. There were no material realized gains or losses from available-for-sale securities that were reclassified out of accumulated other comprehensive income (loss) for the three and nine months ended October 31, 2019 and 2018.</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contractual maturities of our marketable securities as of October 31, 2019 and January 31, 2019:</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6"/>
                <w:szCs w:val="16"/>
                <w:color w:val="auto"/>
              </w:rPr>
            </w:pPr>
          </w:p>
        </w:tc>
      </w:tr>
      <w:tr>
        <w:trPr>
          <w:trHeight w:val="149"/>
        </w:trPr>
        <w:tc>
          <w:tcPr>
            <w:tcW w:w="7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right"/>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tcPr>
          <w:p>
            <w:pPr>
              <w:jc w:val="right"/>
              <w:ind w:right="377"/>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r>
      <w:tr>
        <w:trPr>
          <w:trHeight w:val="195"/>
        </w:trPr>
        <w:tc>
          <w:tcPr>
            <w:tcW w:w="7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7"/>
        </w:trPr>
        <w:tc>
          <w:tcPr>
            <w:tcW w:w="7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20"/>
                <w:szCs w:val="20"/>
                <w:color w:val="auto"/>
              </w:rPr>
            </w:pPr>
          </w:p>
        </w:tc>
      </w:tr>
      <w:tr>
        <w:trPr>
          <w:trHeight w:val="255"/>
        </w:trPr>
        <w:tc>
          <w:tcPr>
            <w:tcW w:w="7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than one year</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370,873</w:t>
            </w:r>
          </w:p>
        </w:tc>
        <w:tc>
          <w:tcPr>
            <w:tcW w:w="660" w:type="dxa"/>
            <w:vAlign w:val="bottom"/>
            <w:tcBorders>
              <w:bottom w:val="single" w:sz="8" w:color="CFF0FC"/>
            </w:tcBorders>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85,077</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to five years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209,653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27,700</w:t>
            </w:r>
          </w:p>
        </w:tc>
      </w:tr>
      <w:tr>
        <w:trPr>
          <w:trHeight w:val="27"/>
        </w:trPr>
        <w:tc>
          <w:tcPr>
            <w:tcW w:w="79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794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580,526</w:t>
            </w:r>
          </w:p>
        </w:tc>
        <w:tc>
          <w:tcPr>
            <w:tcW w:w="660" w:type="dxa"/>
            <w:vAlign w:val="bottom"/>
            <w:tcBorders>
              <w:bottom w:val="single" w:sz="8" w:color="CFF0FC"/>
            </w:tcBorders>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112,777</w:t>
            </w:r>
          </w:p>
        </w:tc>
      </w:tr>
      <w:tr>
        <w:trPr>
          <w:trHeight w:val="20"/>
        </w:trPr>
        <w:tc>
          <w:tcPr>
            <w:tcW w:w="79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4. Fair Value Measurements</w:t>
      </w:r>
    </w:p>
    <w:p>
      <w:pPr>
        <w:spacing w:after="0" w:line="121" w:lineRule="exact"/>
        <w:rPr>
          <w:sz w:val="20"/>
          <w:szCs w:val="20"/>
          <w:color w:val="auto"/>
        </w:rPr>
      </w:pPr>
    </w:p>
    <w:p>
      <w:pPr>
        <w:jc w:val="both"/>
        <w:ind w:right="20" w:firstLine="486"/>
        <w:spacing w:after="0" w:line="278" w:lineRule="auto"/>
        <w:rPr>
          <w:sz w:val="20"/>
          <w:szCs w:val="20"/>
          <w:color w:val="auto"/>
        </w:rPr>
      </w:pPr>
      <w:r>
        <w:rPr>
          <w:rFonts w:ascii="Times New Roman" w:cs="Times New Roman" w:eastAsia="Times New Roman" w:hAnsi="Times New Roman"/>
          <w:sz w:val="18"/>
          <w:szCs w:val="18"/>
          <w:color w:val="auto"/>
        </w:rPr>
        <w:t>The following table presents information about our financial instruments that are measured at fair value on a recurring basis using the input categories further discussed in Note 1. “Summary of Business and Significant Accounting Policies” in the Notes to Consolidated Financial Statements in our Prospectus:</w:t>
      </w:r>
    </w:p>
    <w:tbl>
      <w:tblPr>
        <w:tblLayout w:type="fixed"/>
        <w:tblInd w:w="0" w:type="dxa"/>
        <w:tblCellMar>
          <w:top w:w="0" w:type="dxa"/>
          <w:left w:w="0" w:type="dxa"/>
          <w:bottom w:w="0" w:type="dxa"/>
          <w:right w:w="0" w:type="dxa"/>
        </w:tblCellMar>
      </w:tblPr>
      <w:tr>
        <w:trPr>
          <w:trHeight w:val="195"/>
        </w:trPr>
        <w:tc>
          <w:tcPr>
            <w:tcW w:w="22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2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gridSpan w:val="2"/>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7"/>
        </w:trPr>
        <w:tc>
          <w:tcPr>
            <w:tcW w:w="2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5"/>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99,494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99,494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20" w:type="dxa"/>
            <w:vAlign w:val="bottom"/>
            <w:tcBorders>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99,494</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99,494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48,841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48,841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78,891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78,891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296,979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296,979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106,365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106,365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49,450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49,450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20" w:type="dxa"/>
            <w:vAlign w:val="bottom"/>
            <w:tcBorders>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580,526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580,526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Certificate of deposit included in prepaid expenses and other current assets</w:t>
            </w: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20" w:type="dxa"/>
            <w:vAlign w:val="bottom"/>
            <w:tcBorders>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 included in other assets, noncurrent</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2,309</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2,309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60" w:type="dxa"/>
            <w:vAlign w:val="bottom"/>
            <w:tcBorders>
              <w:top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682,429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99,494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582,935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20" w:type="dxa"/>
            <w:vAlign w:val="bottom"/>
            <w:shd w:val="clear" w:color="auto" w:fill="CCEEFF"/>
          </w:tcPr>
          <w:p>
            <w:pPr>
              <w:spacing w:after="0"/>
              <w:rPr>
                <w:sz w:val="20"/>
                <w:szCs w:val="20"/>
                <w:color w:val="auto"/>
              </w:rPr>
            </w:pPr>
          </w:p>
        </w:tc>
        <w:tc>
          <w:tcPr>
            <w:tcW w:w="5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576"/>
        </w:trPr>
        <w:tc>
          <w:tcPr>
            <w:tcW w:w="2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January 31, 2019</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7"/>
        </w:trPr>
        <w:tc>
          <w:tcPr>
            <w:tcW w:w="2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5"/>
        </w:trPr>
        <w:tc>
          <w:tcPr>
            <w:tcW w:w="220" w:type="dxa"/>
            <w:vAlign w:val="bottom"/>
          </w:tcPr>
          <w:p>
            <w:pPr>
              <w:spacing w:after="0"/>
              <w:rPr>
                <w:sz w:val="22"/>
                <w:szCs w:val="22"/>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220" w:type="dxa"/>
            <w:vAlign w:val="bottom"/>
          </w:tcPr>
          <w:p>
            <w:pPr>
              <w:spacing w:after="0"/>
              <w:rPr>
                <w:sz w:val="21"/>
                <w:szCs w:val="21"/>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2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220" w:type="dxa"/>
            <w:vAlign w:val="bottom"/>
          </w:tcPr>
          <w:p>
            <w:pPr>
              <w:spacing w:after="0"/>
              <w:rPr>
                <w:sz w:val="22"/>
                <w:szCs w:val="22"/>
                <w:color w:val="auto"/>
              </w:rPr>
            </w:pPr>
          </w:p>
        </w:tc>
        <w:tc>
          <w:tcPr>
            <w:tcW w:w="5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1,243</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1,243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53,214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53,214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20" w:type="dxa"/>
            <w:vAlign w:val="bottom"/>
          </w:tcPr>
          <w:p>
            <w:pPr>
              <w:spacing w:after="0"/>
              <w:rPr>
                <w:sz w:val="21"/>
                <w:szCs w:val="21"/>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Agency bonds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32,604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32,604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24,017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24,017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20" w:type="dxa"/>
            <w:vAlign w:val="bottom"/>
          </w:tcPr>
          <w:p>
            <w:pPr>
              <w:spacing w:after="0"/>
              <w:rPr>
                <w:sz w:val="21"/>
                <w:szCs w:val="21"/>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Treasury bills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2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220" w:type="dxa"/>
            <w:vAlign w:val="bottom"/>
          </w:tcPr>
          <w:p>
            <w:pPr>
              <w:spacing w:after="0"/>
              <w:rPr>
                <w:sz w:val="22"/>
                <w:szCs w:val="22"/>
                <w:color w:val="auto"/>
              </w:rPr>
            </w:pPr>
          </w:p>
        </w:tc>
        <w:tc>
          <w:tcPr>
            <w:tcW w:w="5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112,777</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112,777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deposit included in prepaid expenses and other current assets</w:t>
            </w: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200</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2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220" w:type="dxa"/>
            <w:vAlign w:val="bottom"/>
          </w:tcPr>
          <w:p>
            <w:pPr>
              <w:spacing w:after="0"/>
              <w:rPr>
                <w:sz w:val="22"/>
                <w:szCs w:val="22"/>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 included in other assets, noncurrent</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2,144</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2,144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6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115,199</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115,121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2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220" w:type="dxa"/>
            <w:vAlign w:val="bottom"/>
          </w:tcPr>
          <w:p>
            <w:pPr>
              <w:spacing w:after="0"/>
              <w:rPr>
                <w:sz w:val="20"/>
                <w:szCs w:val="20"/>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220" w:type="dxa"/>
            <w:vAlign w:val="bottom"/>
          </w:tcPr>
          <w:p>
            <w:pPr>
              <w:spacing w:after="0"/>
              <w:rPr>
                <w:sz w:val="21"/>
                <w:szCs w:val="21"/>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notes – derivative liabilities</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163</w:t>
            </w:r>
          </w:p>
        </w:tc>
      </w:tr>
      <w:tr>
        <w:trPr>
          <w:trHeight w:val="27"/>
        </w:trPr>
        <w:tc>
          <w:tcPr>
            <w:tcW w:w="22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220" w:type="dxa"/>
            <w:vAlign w:val="bottom"/>
          </w:tcPr>
          <w:p>
            <w:pPr>
              <w:spacing w:after="0"/>
              <w:rPr>
                <w:sz w:val="22"/>
                <w:szCs w:val="22"/>
                <w:color w:val="auto"/>
              </w:rPr>
            </w:pPr>
          </w:p>
        </w:tc>
        <w:tc>
          <w:tcPr>
            <w:tcW w:w="5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163</w:t>
            </w:r>
          </w:p>
        </w:tc>
      </w:tr>
      <w:tr>
        <w:trPr>
          <w:trHeight w:val="237"/>
        </w:trPr>
        <w:tc>
          <w:tcPr>
            <w:tcW w:w="2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6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163</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163</w:t>
            </w:r>
          </w:p>
        </w:tc>
      </w:tr>
      <w:tr>
        <w:trPr>
          <w:trHeight w:val="27"/>
        </w:trPr>
        <w:tc>
          <w:tcPr>
            <w:tcW w:w="2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
        </w:trPr>
        <w:tc>
          <w:tcPr>
            <w:tcW w:w="2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classify our highly liquid money market funds within Level 1 of the fair value hierarchy because they are valued based on quoted market prices in active markets. We classify our commercial paper, agency bonds, corporate bonds, corporate debt securities, U.S. government agency securities, Treasury bills, and certificates of deposit within Level 2 because they are valued using inputs other than quoted prices that are directly or indirectly observable in the market, including readily available pricing sources for the identical underlying security which may not be actively traded. We classify the derivative liabilities as Level 3 due to the lack of relevant observable market data over fair value inputs such as the probability weighting of the various scenarios that can impact settlement of the arrangement.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86"/>
        <w:spacing w:after="0" w:line="278" w:lineRule="auto"/>
        <w:rPr>
          <w:sz w:val="20"/>
          <w:szCs w:val="20"/>
          <w:color w:val="auto"/>
        </w:rPr>
      </w:pPr>
      <w:r>
        <w:rPr>
          <w:rFonts w:ascii="Times New Roman" w:cs="Times New Roman" w:eastAsia="Times New Roman" w:hAnsi="Times New Roman"/>
          <w:sz w:val="18"/>
          <w:szCs w:val="18"/>
          <w:color w:val="auto"/>
        </w:rPr>
        <w:t>As discussed in Note 6 below, in connection with the IPO, the fair value of our derivative liabilities associated with our convertible promissory notes were extinguished. The following table sets forth a summary of the changes in the fair value of our Level 3 financial instruments as follows:</w:t>
      </w: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ind w:right="436"/>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456"/>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4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 January 31, 2019</w:t>
            </w:r>
          </w:p>
        </w:tc>
        <w:tc>
          <w:tcPr>
            <w:tcW w:w="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163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Extinguishment of derivative liabilities from the convertible promissory notes in connection with the IPO</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FF0FC"/>
            </w:tcBorders>
          </w:tcPr>
          <w:p>
            <w:pPr>
              <w:spacing w:after="0"/>
              <w:rPr>
                <w:sz w:val="2"/>
                <w:szCs w:val="2"/>
                <w:color w:val="auto"/>
              </w:rPr>
            </w:pPr>
          </w:p>
        </w:tc>
        <w:tc>
          <w:tcPr>
            <w:tcW w:w="790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12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 October 31, 2019</w:t>
            </w:r>
          </w:p>
        </w:tc>
        <w:tc>
          <w:tcPr>
            <w:tcW w:w="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FF0FC"/>
            </w:tcBorders>
          </w:tcPr>
          <w:p>
            <w:pPr>
              <w:spacing w:after="0" w:line="20" w:lineRule="exact"/>
              <w:rPr>
                <w:sz w:val="1"/>
                <w:szCs w:val="1"/>
                <w:color w:val="auto"/>
              </w:rPr>
            </w:pPr>
          </w:p>
        </w:tc>
        <w:tc>
          <w:tcPr>
            <w:tcW w:w="7900" w:type="dxa"/>
            <w:vAlign w:val="bottom"/>
            <w:tcBorders>
              <w:top w:val="single" w:sz="8" w:color="CFF0FC"/>
              <w:bottom w:val="single" w:sz="8" w:color="CFF0FC"/>
            </w:tcBorders>
            <w:vMerge w:val="restart"/>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5. Balance Sheet Components</w:t>
            </w:r>
          </w:p>
        </w:tc>
        <w:tc>
          <w:tcPr>
            <w:tcW w:w="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40" w:type="dxa"/>
            <w:vAlign w:val="bottom"/>
          </w:tcPr>
          <w:p>
            <w:pPr>
              <w:spacing w:after="0"/>
              <w:rPr>
                <w:sz w:val="24"/>
                <w:szCs w:val="24"/>
                <w:color w:val="auto"/>
              </w:rPr>
            </w:pPr>
          </w:p>
        </w:tc>
        <w:tc>
          <w:tcPr>
            <w:tcW w:w="79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Prepaid Expenses and Other Current Assets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7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20" w:type="dxa"/>
            <w:vAlign w:val="bottom"/>
            <w:gridSpan w:val="8"/>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from international employee stock sales</w:t>
            </w: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48,547</w:t>
            </w:r>
          </w:p>
        </w:tc>
        <w:tc>
          <w:tcPr>
            <w:tcW w:w="38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21,309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9,263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2,764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989</w:t>
            </w:r>
          </w:p>
        </w:tc>
        <w:tc>
          <w:tcPr>
            <w:tcW w:w="4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top w:val="single" w:sz="8" w:color="auto"/>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72,620</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10,252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9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7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20" w:type="dxa"/>
            <w:vAlign w:val="bottom"/>
            <w:gridSpan w:val="8"/>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3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46,031</w:t>
            </w:r>
          </w:p>
        </w:tc>
        <w:tc>
          <w:tcPr>
            <w:tcW w:w="380" w:type="dxa"/>
            <w:vAlign w:val="bottom"/>
            <w:tcBorders>
              <w:bottom w:val="single" w:sz="8" w:color="CFF0FC"/>
            </w:tcBorders>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32,515</w:t>
            </w:r>
          </w:p>
        </w:tc>
        <w:tc>
          <w:tcPr>
            <w:tcW w:w="40" w:type="dxa"/>
            <w:vAlign w:val="bottom"/>
            <w:tcBorders>
              <w:left w:val="single" w:sz="8" w:color="CFF0FC"/>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7,660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9,371</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6,575</w:t>
            </w:r>
          </w:p>
        </w:tc>
        <w:tc>
          <w:tcPr>
            <w:tcW w:w="40" w:type="dxa"/>
            <w:vAlign w:val="bottom"/>
            <w:tcBorders>
              <w:left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3,426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1,993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90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790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76,672</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48,743</w:t>
            </w:r>
          </w:p>
        </w:tc>
        <w:tc>
          <w:tcPr>
            <w:tcW w:w="40" w:type="dxa"/>
            <w:vAlign w:val="bottom"/>
            <w:tcBorders>
              <w:left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3"/>
          </w:tcPr>
          <w:p>
            <w:pPr>
              <w:jc w:val="right"/>
              <w:ind w:right="17"/>
              <w:spacing w:after="0"/>
              <w:rPr>
                <w:sz w:val="20"/>
                <w:szCs w:val="20"/>
                <w:color w:val="auto"/>
              </w:rPr>
            </w:pPr>
            <w:r>
              <w:rPr>
                <w:rFonts w:ascii="Times New Roman" w:cs="Times New Roman" w:eastAsia="Times New Roman" w:hAnsi="Times New Roman"/>
                <w:sz w:val="18"/>
                <w:szCs w:val="18"/>
                <w:color w:val="auto"/>
              </w:rPr>
              <w:t>(22,824)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90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FF0FC"/>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7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53,848</w:t>
            </w:r>
          </w:p>
        </w:tc>
        <w:tc>
          <w:tcPr>
            <w:tcW w:w="380" w:type="dxa"/>
            <w:vAlign w:val="bottom"/>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37,275</w:t>
            </w:r>
          </w:p>
        </w:tc>
        <w:tc>
          <w:tcPr>
            <w:tcW w:w="40" w:type="dxa"/>
            <w:vAlign w:val="bottom"/>
            <w:tcBorders>
              <w:left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$4.4 million and $1.9 million for the three months ended October 31, 2019 and 2018, respectively, and $11.6 million and $4.5 million for the nine months ended October 31, 2019 and 2018,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Assets, Noncurrent</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assets, noncurrent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6"/>
                <w:szCs w:val="16"/>
                <w:color w:val="auto"/>
              </w:rPr>
            </w:pPr>
          </w:p>
        </w:tc>
      </w:tr>
      <w:tr>
        <w:trPr>
          <w:trHeight w:val="149"/>
        </w:trPr>
        <w:tc>
          <w:tcPr>
            <w:tcW w:w="7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right"/>
              <w:ind w:right="258"/>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tcPr>
          <w:p>
            <w:pPr>
              <w:jc w:val="right"/>
              <w:ind w:right="376"/>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r>
      <w:tr>
        <w:trPr>
          <w:trHeight w:val="195"/>
        </w:trPr>
        <w:tc>
          <w:tcPr>
            <w:tcW w:w="7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7"/>
        </w:trPr>
        <w:tc>
          <w:tcPr>
            <w:tcW w:w="7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20"/>
                <w:szCs w:val="20"/>
                <w:color w:val="auto"/>
              </w:rPr>
            </w:pPr>
          </w:p>
        </w:tc>
      </w:tr>
      <w:tr>
        <w:trPr>
          <w:trHeight w:val="25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noncurrent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66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3,264</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investment</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8,244</w:t>
            </w:r>
          </w:p>
        </w:tc>
      </w:tr>
      <w:tr>
        <w:trPr>
          <w:trHeight w:val="264"/>
        </w:trPr>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 noncurrent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20,710</w:t>
            </w:r>
          </w:p>
        </w:tc>
        <w:tc>
          <w:tcPr>
            <w:tcW w:w="1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11,508</w:t>
            </w:r>
          </w:p>
        </w:tc>
      </w:tr>
      <w:tr>
        <w:trPr>
          <w:trHeight w:val="21"/>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Expenses and Other Current Liabilities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tcPr>
          <w:p>
            <w:pPr>
              <w:jc w:val="center"/>
              <w:ind w:right="335"/>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95"/>
        </w:trPr>
        <w:tc>
          <w:tcPr>
            <w:tcW w:w="7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7"/>
        </w:trPr>
        <w:tc>
          <w:tcPr>
            <w:tcW w:w="7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to employees and tax authorities from international employee stock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48,547</w:t>
            </w:r>
          </w:p>
        </w:tc>
        <w:tc>
          <w:tcPr>
            <w:tcW w:w="66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12,004</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13,596</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13,388</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6,656</w:t>
            </w:r>
          </w:p>
        </w:tc>
        <w:tc>
          <w:tcPr>
            <w:tcW w:w="0" w:type="dxa"/>
            <w:vAlign w:val="bottom"/>
          </w:tcPr>
          <w:p>
            <w:pPr>
              <w:spacing w:after="0"/>
              <w:rPr>
                <w:sz w:val="1"/>
                <w:szCs w:val="1"/>
                <w:color w:val="auto"/>
              </w:rPr>
            </w:pPr>
          </w:p>
        </w:tc>
      </w:tr>
      <w:tr>
        <w:trPr>
          <w:trHeight w:val="264"/>
        </w:trPr>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128,064</w:t>
            </w:r>
          </w:p>
        </w:tc>
        <w:tc>
          <w:tcPr>
            <w:tcW w:w="1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32,256</w:t>
            </w:r>
          </w:p>
        </w:tc>
        <w:tc>
          <w:tcPr>
            <w:tcW w:w="0" w:type="dxa"/>
            <w:vAlign w:val="bottom"/>
          </w:tcPr>
          <w:p>
            <w:pPr>
              <w:spacing w:after="0"/>
              <w:rPr>
                <w:sz w:val="1"/>
                <w:szCs w:val="1"/>
                <w:color w:val="auto"/>
              </w:rPr>
            </w:pPr>
          </w:p>
        </w:tc>
      </w:tr>
      <w:tr>
        <w:trPr>
          <w:trHeight w:val="21"/>
        </w:trPr>
        <w:tc>
          <w:tcPr>
            <w:tcW w:w="79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Other Liabilities, Noncurrent</w:t>
            </w: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liabilities, noncurrent consisted of the following:</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9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7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tcPr>
          <w:p>
            <w:pPr>
              <w:jc w:val="center"/>
              <w:ind w:right="335"/>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95"/>
        </w:trPr>
        <w:tc>
          <w:tcPr>
            <w:tcW w:w="7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7"/>
        </w:trPr>
        <w:tc>
          <w:tcPr>
            <w:tcW w:w="7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other tax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31,262</w:t>
            </w:r>
          </w:p>
        </w:tc>
        <w:tc>
          <w:tcPr>
            <w:tcW w:w="66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20,817</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promissory notes, net of debt discount</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14,858</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3,785</w:t>
            </w:r>
          </w:p>
        </w:tc>
        <w:tc>
          <w:tcPr>
            <w:tcW w:w="0" w:type="dxa"/>
            <w:vAlign w:val="bottom"/>
          </w:tcPr>
          <w:p>
            <w:pPr>
              <w:spacing w:after="0"/>
              <w:rPr>
                <w:sz w:val="1"/>
                <w:szCs w:val="1"/>
                <w:color w:val="auto"/>
              </w:rPr>
            </w:pPr>
          </w:p>
        </w:tc>
      </w:tr>
      <w:tr>
        <w:trPr>
          <w:trHeight w:val="264"/>
        </w:trPr>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32,543</w:t>
            </w:r>
          </w:p>
        </w:tc>
        <w:tc>
          <w:tcPr>
            <w:tcW w:w="1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39,460</w:t>
            </w:r>
          </w:p>
        </w:tc>
        <w:tc>
          <w:tcPr>
            <w:tcW w:w="0" w:type="dxa"/>
            <w:vAlign w:val="bottom"/>
          </w:tcPr>
          <w:p>
            <w:pPr>
              <w:spacing w:after="0"/>
              <w:rPr>
                <w:sz w:val="1"/>
                <w:szCs w:val="1"/>
                <w:color w:val="auto"/>
              </w:rPr>
            </w:pPr>
          </w:p>
        </w:tc>
      </w:tr>
      <w:tr>
        <w:trPr>
          <w:trHeight w:val="21"/>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6. Convertible Promissory Notes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October 2018, we entered into a strategic partnership with Dropbox, Inc. (“Dropbox”), a global collaboration platform company, which involves the development of technology enabling integrated workflows for users between our platform and the Dropbox platform, as well as a strategic partnership with Atlassian, Inc. (“Atlassian”), a collaboration software company, which involves the development of technology enabling integrated workflows for users between our platform and Atlassian’s Jira Ops and Jira Service Desk products. As part of the strategic partnerships, we issued unsecured three-year convertible promissory notes in the principal amounts of $5.0 million and $10.0 million to Dropbox and Atlassian, respectively, which accrue simple interest at 2.75% and 5.0% per annum, respectively. Both convertible promissory notes are collectively referred to as “the convertible notes” throughout the notes to the condensed consolidated financial statements, unless otherwise stated. The terms of the convertible notes provided that they would automatically convert into shares of Class A common stock upon an IPO at a conversion price equal to the IPO price.</w:t>
      </w:r>
    </w:p>
    <w:p>
      <w:pPr>
        <w:spacing w:after="0" w:line="18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IPO, the convertible notes and accrued interest automatically converted into 426,223 shares of Class A common stock based on the IPO price of $36.00 per share. As a result of the conversion, the related $0.2 million derivative liabilities and the $0.1 million unamortized debt discount of the convertible notes were recognized in other income, net and interest income, net, respectively, in the condensed consolidated statements of operations during the nine months ended October 31, 2019.</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7. Operating Leases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entered into various operating lease agreements for office space, with remaining contractual periods of up to 10 years. Many of our leases contain one or more options to extend. As leases approach maturity, we consider various factors such as market conditions and the terms of any renewal options that may exist to determine whether we will renew the lease. Operating lease expense for the three and nine months ended October 31, 2019 was $2.4 million and $6.8 million, respectively, excluding short-term lease costs, variable lease costs, and sublease income, each of which was immaterial for the three and nine months ended October 31, 2019.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balance sheet information as of October 31, 2019, related to operating leases was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As of October 31, 2019</w:t>
            </w:r>
          </w:p>
        </w:tc>
        <w:tc>
          <w:tcPr>
            <w:tcW w:w="0" w:type="dxa"/>
            <w:vAlign w:val="bottom"/>
          </w:tcPr>
          <w:p>
            <w:pPr>
              <w:spacing w:after="0"/>
              <w:rPr>
                <w:sz w:val="1"/>
                <w:szCs w:val="1"/>
                <w:color w:val="auto"/>
              </w:rPr>
            </w:pPr>
          </w:p>
        </w:tc>
      </w:tr>
      <w:tr>
        <w:trPr>
          <w:trHeight w:val="196"/>
        </w:trPr>
        <w:tc>
          <w:tcPr>
            <w:tcW w:w="9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as:</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9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53,308</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9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5,725</w:t>
            </w:r>
          </w:p>
        </w:tc>
        <w:tc>
          <w:tcPr>
            <w:tcW w:w="0" w:type="dxa"/>
            <w:vAlign w:val="bottom"/>
          </w:tcPr>
          <w:p>
            <w:pPr>
              <w:spacing w:after="0"/>
              <w:rPr>
                <w:sz w:val="1"/>
                <w:szCs w:val="1"/>
                <w:color w:val="auto"/>
              </w:rPr>
            </w:pPr>
          </w:p>
        </w:tc>
      </w:tr>
      <w:tr>
        <w:trPr>
          <w:trHeight w:val="243"/>
        </w:trPr>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tcPr>
          <w:p>
            <w:pPr>
              <w:spacing w:after="0"/>
              <w:rPr>
                <w:sz w:val="21"/>
                <w:szCs w:val="21"/>
                <w:color w:val="auto"/>
              </w:rPr>
            </w:pPr>
          </w:p>
        </w:tc>
        <w:tc>
          <w:tcPr>
            <w:tcW w:w="154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50,132</w:t>
            </w:r>
          </w:p>
        </w:tc>
        <w:tc>
          <w:tcPr>
            <w:tcW w:w="0" w:type="dxa"/>
            <w:vAlign w:val="bottom"/>
          </w:tcPr>
          <w:p>
            <w:pPr>
              <w:spacing w:after="0"/>
              <w:rPr>
                <w:sz w:val="1"/>
                <w:szCs w:val="1"/>
                <w:color w:val="auto"/>
              </w:rPr>
            </w:pPr>
          </w:p>
        </w:tc>
      </w:tr>
      <w:tr>
        <w:trPr>
          <w:trHeight w:val="27"/>
        </w:trPr>
        <w:tc>
          <w:tcPr>
            <w:tcW w:w="9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97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55,857</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October 31, 2019, the weighted-average remaining lease term is 7.0 years and the weighted-average discount rate is 5.1%.</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cash flow and other information for the nine months ended October 31, 2019, related to operating leases was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9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October 31, 2019</w:t>
            </w:r>
          </w:p>
        </w:tc>
      </w:tr>
      <w:tr>
        <w:trPr>
          <w:trHeight w:val="196"/>
        </w:trPr>
        <w:tc>
          <w:tcPr>
            <w:tcW w:w="9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5"/>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within operating cash flows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6,419</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recognized in exchange for new operating lease obligations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17,644</w:t>
            </w:r>
          </w:p>
        </w:tc>
      </w:tr>
    </w:tbl>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October 31, 2019, the future minimum lease payments included in the measurement of our operating lease liabilities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As of October 31,</w:t>
            </w:r>
          </w:p>
        </w:tc>
      </w:tr>
      <w:tr>
        <w:trPr>
          <w:trHeight w:val="195"/>
        </w:trPr>
        <w:tc>
          <w:tcPr>
            <w:tcW w:w="9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196"/>
        </w:trPr>
        <w:tc>
          <w:tcPr>
            <w:tcW w:w="9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5"/>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January 31,</w:t>
            </w: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243"/>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1,806</w:t>
            </w:r>
          </w:p>
        </w:tc>
      </w:tr>
      <w:tr>
        <w:trPr>
          <w:trHeight w:val="27"/>
        </w:trPr>
        <w:tc>
          <w:tcPr>
            <w:tcW w:w="9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8,874</w:t>
            </w:r>
          </w:p>
        </w:tc>
      </w:tr>
      <w:tr>
        <w:trPr>
          <w:trHeight w:val="243"/>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1"/>
                <w:szCs w:val="21"/>
                <w:color w:val="auto"/>
              </w:rPr>
            </w:pPr>
          </w:p>
        </w:tc>
        <w:tc>
          <w:tcPr>
            <w:tcW w:w="14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8,608</w:t>
            </w:r>
          </w:p>
        </w:tc>
      </w:tr>
      <w:tr>
        <w:trPr>
          <w:trHeight w:val="27"/>
        </w:trPr>
        <w:tc>
          <w:tcPr>
            <w:tcW w:w="9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8,595</w:t>
            </w:r>
          </w:p>
        </w:tc>
      </w:tr>
      <w:tr>
        <w:trPr>
          <w:trHeight w:val="243"/>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1"/>
                <w:szCs w:val="21"/>
                <w:color w:val="auto"/>
              </w:rPr>
            </w:pPr>
          </w:p>
        </w:tc>
        <w:tc>
          <w:tcPr>
            <w:tcW w:w="14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8,139</w:t>
            </w:r>
          </w:p>
        </w:tc>
      </w:tr>
      <w:tr>
        <w:trPr>
          <w:trHeight w:val="27"/>
        </w:trPr>
        <w:tc>
          <w:tcPr>
            <w:tcW w:w="9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32,474</w:t>
            </w:r>
          </w:p>
        </w:tc>
      </w:tr>
      <w:tr>
        <w:trPr>
          <w:trHeight w:val="237"/>
        </w:trPr>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68,496</w:t>
            </w:r>
          </w:p>
        </w:tc>
      </w:tr>
      <w:tr>
        <w:trPr>
          <w:trHeight w:val="27"/>
        </w:trPr>
        <w:tc>
          <w:tcPr>
            <w:tcW w:w="9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(12,639)</w:t>
            </w:r>
          </w:p>
        </w:tc>
      </w:tr>
      <w:tr>
        <w:trPr>
          <w:trHeight w:val="264"/>
        </w:trPr>
        <w:tc>
          <w:tcPr>
            <w:tcW w:w="9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55,857</w:t>
            </w:r>
          </w:p>
        </w:tc>
      </w:tr>
      <w:tr>
        <w:trPr>
          <w:trHeight w:val="21"/>
        </w:trPr>
        <w:tc>
          <w:tcPr>
            <w:tcW w:w="9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October 31, 2019, we have additional operating leases for office space that have not yet commenced with undiscounted cash flows of $21.0 million. These operating leases will commence in the fourth quarter of fiscal year 2020.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78" w:lineRule="auto"/>
        <w:rPr>
          <w:sz w:val="20"/>
          <w:szCs w:val="20"/>
          <w:color w:val="auto"/>
        </w:rPr>
      </w:pPr>
      <w:r>
        <w:rPr>
          <w:rFonts w:ascii="Times New Roman" w:cs="Times New Roman" w:eastAsia="Times New Roman" w:hAnsi="Times New Roman"/>
          <w:sz w:val="18"/>
          <w:szCs w:val="18"/>
          <w:color w:val="auto"/>
        </w:rPr>
        <w:t>As previously disclosed in Note 6. “Commitments and Contingencies” to Notes to Consolidated Financial Statements in our Prospectus and under the previous lease accounting standard, future minimum payments related to operating leases as of January 31, 2019 are as follows:</w:t>
      </w:r>
    </w:p>
    <w:tbl>
      <w:tblPr>
        <w:tblLayout w:type="fixed"/>
        <w:tblInd w:w="0" w:type="dxa"/>
        <w:tblCellMar>
          <w:top w:w="0" w:type="dxa"/>
          <w:left w:w="0" w:type="dxa"/>
          <w:bottom w:w="0" w:type="dxa"/>
          <w:right w:w="0" w:type="dxa"/>
        </w:tblCellMar>
      </w:tblPr>
      <w:tr>
        <w:trPr>
          <w:trHeight w:val="149"/>
        </w:trPr>
        <w:tc>
          <w:tcPr>
            <w:tcW w:w="9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As of January 31,</w:t>
            </w:r>
          </w:p>
        </w:tc>
      </w:tr>
      <w:tr>
        <w:trPr>
          <w:trHeight w:val="195"/>
        </w:trPr>
        <w:tc>
          <w:tcPr>
            <w:tcW w:w="9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196"/>
        </w:trPr>
        <w:tc>
          <w:tcPr>
            <w:tcW w:w="9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5"/>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January 31,</w:t>
            </w: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243"/>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7,609</w:t>
            </w:r>
          </w:p>
        </w:tc>
      </w:tr>
      <w:tr>
        <w:trPr>
          <w:trHeight w:val="27"/>
        </w:trPr>
        <w:tc>
          <w:tcPr>
            <w:tcW w:w="9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7,837</w:t>
            </w:r>
          </w:p>
        </w:tc>
      </w:tr>
      <w:tr>
        <w:trPr>
          <w:trHeight w:val="243"/>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1"/>
                <w:szCs w:val="21"/>
                <w:color w:val="auto"/>
              </w:rPr>
            </w:pPr>
          </w:p>
        </w:tc>
        <w:tc>
          <w:tcPr>
            <w:tcW w:w="14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7,888</w:t>
            </w:r>
          </w:p>
        </w:tc>
      </w:tr>
      <w:tr>
        <w:trPr>
          <w:trHeight w:val="27"/>
        </w:trPr>
        <w:tc>
          <w:tcPr>
            <w:tcW w:w="9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7,514</w:t>
            </w:r>
          </w:p>
        </w:tc>
      </w:tr>
      <w:tr>
        <w:trPr>
          <w:trHeight w:val="243"/>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1"/>
                <w:szCs w:val="21"/>
                <w:color w:val="auto"/>
              </w:rPr>
            </w:pPr>
          </w:p>
        </w:tc>
        <w:tc>
          <w:tcPr>
            <w:tcW w:w="14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7,174</w:t>
            </w:r>
          </w:p>
        </w:tc>
      </w:tr>
      <w:tr>
        <w:trPr>
          <w:trHeight w:val="27"/>
        </w:trPr>
        <w:tc>
          <w:tcPr>
            <w:tcW w:w="9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18,635</w:t>
            </w:r>
          </w:p>
        </w:tc>
      </w:tr>
      <w:tr>
        <w:trPr>
          <w:trHeight w:val="264"/>
        </w:trPr>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future minimum payments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56,657</w:t>
            </w:r>
          </w:p>
        </w:tc>
      </w:tr>
      <w:tr>
        <w:trPr>
          <w:trHeight w:val="21"/>
        </w:trPr>
        <w:tc>
          <w:tcPr>
            <w:tcW w:w="9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Rent expense during the three and nine months ended October 31, 2018 was $2.1 million and $5.1 million, respectively.</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8. Commitments and Contingencies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Treasury Department’s Office of Foreign Assets Controls (“OFAC”). The U.S. export control laws and U.S. economic sanctions laws include restrictions or prohibitions on the sale or supply of certain products and services to U.S. embargoed or 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Although we take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have submitted initial and final voluntary self-disclosures concerning potential violations of U.S. sanctions and export control laws and regulations to the OFAC and the U.S. Department of Commerce’s Bureau of Industry and Security (“BIS”). In June 2019, OFAC and BIS issued us warning letters as their final enforcement responses to these potential violations, but no fines or penalties were assessed. If we are found to be in violation of U.S. economic sanctions or export control laws in the future, it could result in fines and penalties.</w:t>
      </w:r>
    </w:p>
    <w:p>
      <w:pPr>
        <w:spacing w:after="0" w:line="388" w:lineRule="exact"/>
        <w:rPr>
          <w:sz w:val="20"/>
          <w:szCs w:val="20"/>
          <w:color w:val="auto"/>
        </w:rPr>
      </w:pPr>
    </w:p>
    <w:p>
      <w:pPr>
        <w:ind w:right="4380" w:firstLine="486"/>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9. Convertible Preferred Stock, Stockholders’ Equity (Deficit) and Equity Incentive Plan </w:t>
      </w:r>
      <w:r>
        <w:rPr>
          <w:rFonts w:ascii="Times New Roman" w:cs="Times New Roman" w:eastAsia="Times New Roman" w:hAnsi="Times New Roman"/>
          <w:sz w:val="18"/>
          <w:szCs w:val="18"/>
          <w:i w:val="1"/>
          <w:iCs w:val="1"/>
          <w:color w:val="auto"/>
        </w:rPr>
        <w:t>Convertible Preferred Stock</w:t>
      </w: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Upon completion of the IPO, all shares of convertible preferred stock outstanding, totaling 152,665,804 shares, were automatically converted into an equivalent number of shares of Class B common stock on a one-to-one basis and their carrying value of $159.6 million was reclassified into stockholders’ equity (deficit). As of October 31, 2019, there were no shares of convertible preferred stock issued and outstanding.</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IPO, our Amended and Restated Certificate of Incorporation (“COI”) became effective, which authorized the issuance of 200,000,000 shares of undesignated preferred stock with a par value of $0.001 with rights and preferences, including voting rights, designated from time to time by our board of directors.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Amended and Restated COI also authorized the issuance of 2,000,000,000 shares of Class A common stock, $0.001 par value per share and 300,000,000 shares of Class B common stock, $0.001 par value per share. Class A and Class B common stock are referred to as common stock throughout the notes to the condensed consolidated financial statements,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2011, we adopted the 2011 Global Share Plan (“2011 Plan”), under which officers, employees, and consultants may be granted various forms of equity incentive compensation at the discretion of the board of directors, including stock options and restricted stock awards. The awards have varying terms, but generally vest over four years, and are issued at the Fair Market Value (as defined in the 2011 Plan) of the shares of common stock on the date of grant. Certain awards provide for accelerated vesting if there is a Change in Control (as defined in the 2011 Plan). As of January 31, 2019, our board of directors had authorized 71,240,000 shares of common stock to be reserved for grants of awards under the 2011 Plan. As of January 31, 2019, stock options covering 35,064,465 shares of our Class B common stock were outstanding and the remaining number of shares available for future issuance was 1,848,100 under the 2011 Plan. In connection with the IPO, the shares of Class B common stock remaining available for issuance under the 2011 Plan became available for issuance for a corresponding number of shares of our Class A common stock under the 2019 Equity Incentive Plan (“2019 Plan”).</w:t>
      </w:r>
    </w:p>
    <w:p>
      <w:pPr>
        <w:spacing w:after="0" w:line="7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April 2019, we adopted the 2019 Plan, which is a successor to and continuation of our 2011 Plan. Our 2019 Plan provides for the grant of stock options, stock appreciation rights, restricted stock awards, restricted stock unit (“RSU”) awards, performance awards, and other forms of awards. The maximum number of shares of our Class A common stock that may be issued under our 2019 Plan will not exceed 58,300,889 shares of our Class A common stock, which is the sum of (1) 34,000,000 new shares, plus (2) an additional number of shares not to exceed 24,300,889, consisting of (A) shares that remain available for the issuance of awards under our 2011 Plan as of immediately prior to the time our 2019 Plan becomes effective and (B) shares of Class B common stock subject to outstanding stock options or other stock awards granted under our 2011 Plan that, on or after the 2019 Plan becomes effective, terminate, or expire prior to exercise or settlement; are not issued because the award is settled in cash; are forfeited because of the failure to vest; or are reacquired or withheld (or not issued) to satisfy a tax withholding obligation or the purchase or exercise price, if any, as such shares become available from time to time. In addition, the number of shares of our Class A common stock reserved for issuance under our 2019 Plan will automatically increase on February 1 of each calendar year, starting on February 1, 2020 through February 1, 2029, in an amount equal to (i) 5% of the total number of shares of our common stock (both Class A and Class B) outstanding on January 31 of the fiscal year before the date of each automatic increase, or (ii) a lesser number of shares determined by our board of directors prior to the applicable February 1.</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3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stock option activity under our equity incentive plan and related information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5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532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life, and per share data)</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31, 2019</w:t>
            </w:r>
          </w:p>
        </w:tc>
        <w:tc>
          <w:tcPr>
            <w:tcW w:w="14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35,064,465</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534,572</w:t>
            </w:r>
          </w:p>
        </w:tc>
        <w:tc>
          <w:tcPr>
            <w:tcW w:w="0" w:type="dxa"/>
            <w:vAlign w:val="bottom"/>
          </w:tcPr>
          <w:p>
            <w:pPr>
              <w:spacing w:after="0"/>
              <w:rPr>
                <w:sz w:val="1"/>
                <w:szCs w:val="1"/>
                <w:color w:val="auto"/>
              </w:rPr>
            </w:pPr>
          </w:p>
        </w:tc>
      </w:tr>
      <w:tr>
        <w:trPr>
          <w:trHeight w:val="243"/>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1,576,150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36.86</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(17,012,350)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Canceled/forfeited/expired</w:t>
            </w:r>
          </w:p>
        </w:tc>
        <w:tc>
          <w:tcPr>
            <w:tcW w:w="14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(401,440)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October 31, 2019</w:t>
            </w:r>
          </w:p>
        </w:tc>
        <w:tc>
          <w:tcPr>
            <w:tcW w:w="14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19,226,825</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1,249,643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as of October 31, 2019</w:t>
            </w:r>
          </w:p>
        </w:tc>
        <w:tc>
          <w:tcPr>
            <w:tcW w:w="14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7,722,322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530,701</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October 31, 2019, unrecognized stock-based compensation expense related to outstanding unvested stock options was $86.6 million, which is expected to be recognized over a weighted-average period of 3.0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activity under our equity incentive plan and related information is as follows: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RSUs</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9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jc w:val="center"/>
              <w:ind w:right="238"/>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9"/>
        </w:trPr>
        <w:tc>
          <w:tcPr>
            <w:tcW w:w="7980" w:type="dxa"/>
            <w:vAlign w:val="bottom"/>
          </w:tcPr>
          <w:p>
            <w:pPr>
              <w:spacing w:after="0"/>
              <w:rPr>
                <w:sz w:val="12"/>
                <w:szCs w:val="12"/>
                <w:color w:val="auto"/>
              </w:rPr>
            </w:pPr>
          </w:p>
        </w:tc>
        <w:tc>
          <w:tcPr>
            <w:tcW w:w="17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320" w:type="dxa"/>
            <w:vAlign w:val="bottom"/>
          </w:tcPr>
          <w:p>
            <w:pPr>
              <w:spacing w:after="0"/>
              <w:rPr>
                <w:sz w:val="12"/>
                <w:szCs w:val="12"/>
                <w:color w:val="auto"/>
              </w:rPr>
            </w:pPr>
          </w:p>
        </w:tc>
        <w:tc>
          <w:tcPr>
            <w:tcW w:w="1340" w:type="dxa"/>
            <w:vAlign w:val="bottom"/>
          </w:tcPr>
          <w:p>
            <w:pPr>
              <w:jc w:val="center"/>
              <w:ind w:right="23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98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 Per</w:t>
            </w:r>
          </w:p>
        </w:tc>
        <w:tc>
          <w:tcPr>
            <w:tcW w:w="0" w:type="dxa"/>
            <w:vAlign w:val="bottom"/>
          </w:tcPr>
          <w:p>
            <w:pPr>
              <w:spacing w:after="0"/>
              <w:rPr>
                <w:sz w:val="1"/>
                <w:szCs w:val="1"/>
                <w:color w:val="auto"/>
              </w:rPr>
            </w:pPr>
          </w:p>
        </w:tc>
      </w:tr>
      <w:tr>
        <w:trPr>
          <w:trHeight w:val="195"/>
        </w:trPr>
        <w:tc>
          <w:tcPr>
            <w:tcW w:w="79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January 31, 2019</w:t>
            </w:r>
          </w:p>
        </w:tc>
        <w:tc>
          <w:tcPr>
            <w:tcW w:w="1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1,699,579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81.45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Canceled/forfeited</w:t>
            </w:r>
          </w:p>
        </w:tc>
        <w:tc>
          <w:tcPr>
            <w:tcW w:w="16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(16,019)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88.40</w:t>
            </w:r>
          </w:p>
        </w:tc>
        <w:tc>
          <w:tcPr>
            <w:tcW w:w="0" w:type="dxa"/>
            <w:vAlign w:val="bottom"/>
          </w:tcPr>
          <w:p>
            <w:pPr>
              <w:spacing w:after="0"/>
              <w:rPr>
                <w:sz w:val="1"/>
                <w:szCs w:val="1"/>
                <w:color w:val="auto"/>
              </w:rPr>
            </w:pPr>
          </w:p>
        </w:tc>
      </w:tr>
      <w:tr>
        <w:trPr>
          <w:trHeight w:val="26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as of October 31, 2019</w:t>
            </w:r>
          </w:p>
        </w:tc>
        <w:tc>
          <w:tcPr>
            <w:tcW w:w="166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8"/>
                <w:szCs w:val="18"/>
                <w:color w:val="auto"/>
              </w:rPr>
              <w:t>1,683,560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8"/>
                <w:szCs w:val="18"/>
                <w:color w:val="auto"/>
              </w:rPr>
              <w:t>81.38</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October 31, 2019, unrecognized stock-based compensation expense related to outstanding unvested RSUs was $130.9 million, which is expected to be recognized over a weighted-average period of 3.8 years.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Employee Stock Purchase Plan</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April 2019, we adopted the 2019 Employee Stock Purchase Plan (“ESPP”), which became effective in connection with the IPO. A total of 9,000,000 shares of our Class A common stock were initially reserved for issuance under the ESPP. The number of shares of our Class A common stock reserved for issuance will automatically increase on February 1 of each calendar year, beginning on February 1, 2020 through February 1, 2029, by the lesser of (1) 1% of the total number of shares of our common stock (both Class A and Class B) outstanding on the last day of the fiscal year before the date of the automatic increase, and (2) 7,500,000 shares; provided that before the date of any such increase, our board of directors may determine that such increase will be less than the amount set forth in clauses (1) and (2).</w:t>
      </w:r>
    </w:p>
    <w:p>
      <w:pPr>
        <w:spacing w:after="0" w:line="215" w:lineRule="exact"/>
        <w:rPr>
          <w:sz w:val="20"/>
          <w:szCs w:val="20"/>
          <w:color w:val="auto"/>
        </w:rPr>
      </w:pPr>
    </w:p>
    <w:p>
      <w:pPr>
        <w:jc w:val="both"/>
        <w:ind w:firstLine="486"/>
        <w:spacing w:after="0" w:line="238" w:lineRule="auto"/>
        <w:rPr>
          <w:sz w:val="20"/>
          <w:szCs w:val="20"/>
          <w:color w:val="auto"/>
        </w:rPr>
      </w:pPr>
      <w:r>
        <w:rPr>
          <w:rFonts w:ascii="Times New Roman" w:cs="Times New Roman" w:eastAsia="Times New Roman" w:hAnsi="Times New Roman"/>
          <w:sz w:val="18"/>
          <w:szCs w:val="18"/>
          <w:color w:val="auto"/>
        </w:rPr>
        <w:t>Generally, all regular employees, including executive officers, employed by us or by any of our designated affiliates, except for those holding 5% or more of the total combined voting power or value of all classes of our stock, may participate in the ESPP and may contribute, normally through payroll deductions, up to 20% of their earnings (as defined in the ESPP) for the purchase of our Class A common stock under the ESPP. Unless otherwise determined by our board of directors, Class A common stock will be purchased for the accounts of employees participating in the ESPP at a price per share equal to the lesser of (1) 85% of the fair market value of a share of our Class A common stock on the first date of an offering, or (2) 85% of the fair market value of a share of our Class A common stock on the date of purchase. No employee may purchase shares under the ESPP at a rate in excess of $25,000 worth of our Class A common stock based on the fair market value per share of our Class A common stock at the beginning of an offering for each calendar year such purchase right is outstanding or 3,000 shares. The 2019 ESPP provides for, at maximum, 27 months offering periods with four offering dates, generally in June and December of each year. The first offering period began on April 18, 2019. As of October 31, 2019, no shares of our Class A common stock have been purchased under the ESPP.</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October 31, 2019, unrecognized stock-based compensation expense related to the ESPP was $62.4 million, which is expected to be recognized over a weighted-average period of 1.6 years.</w:t>
      </w:r>
    </w:p>
    <w:p>
      <w:pPr>
        <w:spacing w:after="0" w:line="189"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No stock-based compensation expense related to the ESPP was recognized during the three months ended April 30, 2019 as the grant dates of the ESPP offerings were in May, June, and August 2019. We estimated the fair value of ESPP purchase rights using a Black-Scholes option-pricing model with the following assumptions: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3"/>
                <w:szCs w:val="13"/>
                <w:color w:val="auto"/>
              </w:rPr>
            </w:pP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920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31, 2019</w:t>
            </w:r>
          </w:p>
        </w:tc>
      </w:tr>
      <w:tr>
        <w:trPr>
          <w:trHeight w:val="25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- 56.2%</w:t>
            </w:r>
          </w:p>
        </w:tc>
      </w:tr>
      <w:tr>
        <w:trPr>
          <w:trHeight w:val="270"/>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- 2.1</w:t>
            </w:r>
          </w:p>
        </w:tc>
      </w:tr>
      <w:tr>
        <w:trPr>
          <w:trHeight w:val="27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- 2.5%</w:t>
            </w:r>
          </w:p>
        </w:tc>
      </w:tr>
      <w:tr>
        <w:trPr>
          <w:trHeight w:val="243"/>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Early Exercise of Common Stock Options</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board of directors authorized certain stock option holders to exercise unvested options to purchase shares of common stock. Shares received from such early exercises are subject to repurchase in the event of the optionee’s termination of service, at the original issuance price, until the options are fully vested. As of October 31, 2019 and January 31, 2019, 527,848 and 1,261,230 shares of Class B common stock, respectively, were subject to repurchase at a weighted-average price of $2.60 and $1.41 per share, respectively. The cash proceeds received for unvested shares of common stock recorded within accrued expenses and other current liabilities in the condensed consolidated balance sheets were $1.4 million and $1.8 million as of October 31, 2019 and January 31, 2019, respectively.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October 2015, we issued 1,202,720 shares of common stock to a member of our board of directors under a restricted stock agreement at a grant date fair value of $0.14 per share, totaling $0.2 million. Of the total shares issued, 481,088 shares vested on the grant date and the remaining shares vest over four years from the grant date. The unvested shares are subject to a repurchase right held by us at the original purchase price. As of October 31, 2019, all shares of common stock have vested and no shares are subject to repurchase.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Reserved for Charitable Donations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nine months ended October 31, 2019, our board of directors approved the issuance of 500,000 shares of Class A common stock for the sole purpose of being transferred to a nonprofit organization to be formed or identified by us at a future time. As of October 31, 2019, no shares have been transferred to a nonprofit organization. As a result, no expense has been recognized to date.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stock-based compensation expense by line item in the accompanying condensed consolidated statements of operations is summarized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16"/>
                <w:szCs w:val="16"/>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96"/>
        </w:trPr>
        <w:tc>
          <w:tcPr>
            <w:tcW w:w="446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7"/>
        </w:trPr>
        <w:tc>
          <w:tcPr>
            <w:tcW w:w="4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5"/>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2,369</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5,101</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542</w:t>
            </w: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3,642</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7,316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705</w:t>
            </w:r>
          </w:p>
        </w:tc>
      </w:tr>
      <w:tr>
        <w:trPr>
          <w:trHeight w:val="27"/>
        </w:trPr>
        <w:tc>
          <w:tcPr>
            <w:tcW w:w="4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12,488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1,154</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25,554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2,042</w:t>
            </w: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3,296</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8,561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1,338</w:t>
            </w:r>
          </w:p>
        </w:tc>
      </w:tr>
      <w:tr>
        <w:trPr>
          <w:trHeight w:val="27"/>
        </w:trPr>
        <w:tc>
          <w:tcPr>
            <w:tcW w:w="44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4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21,795</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2,652</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46,532</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4,627</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10. Income Taxes</w:t>
      </w:r>
    </w:p>
    <w:p>
      <w:pPr>
        <w:spacing w:after="0" w:line="20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Income tax expense was $0.3 million and $0.1 million for the three months ended October 31, 2019 and 2018, respectively, and $1.9 million and $0.4 million for the nine months ended October 31, 2019 and 2018, respectively. Income tax expense for the three and nine months ended October 31, 2019 is related to foreign income taxes and state taxes. Based on the available objective evidence during the three and nine months ended October 31, 2019, we believe it is more likely than not that the tax benefits of the U.S. losses incurred may not be realized. Accordingly, we recorded a full valuation allowance against the tax benefits of the U.S. losses incurred.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11. Net Income (Loss) Per Share Attributable to Common Stockholders</w:t>
      </w:r>
    </w:p>
    <w:p>
      <w:pPr>
        <w:spacing w:after="0" w:line="121" w:lineRule="exact"/>
        <w:rPr>
          <w:sz w:val="20"/>
          <w:szCs w:val="20"/>
          <w:color w:val="auto"/>
        </w:rPr>
      </w:pPr>
    </w:p>
    <w:p>
      <w:pPr>
        <w:ind w:firstLine="486"/>
        <w:spacing w:after="0" w:line="278"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attributable to common stockholders for the periods presented:</w:t>
      </w:r>
    </w:p>
    <w:tbl>
      <w:tblPr>
        <w:tblLayout w:type="fixed"/>
        <w:tblInd w:w="0" w:type="dxa"/>
        <w:tblCellMar>
          <w:top w:w="0" w:type="dxa"/>
          <w:left w:w="0" w:type="dxa"/>
          <w:bottom w:w="0" w:type="dxa"/>
          <w:right w:w="0" w:type="dxa"/>
        </w:tblCellMar>
      </w:tblPr>
      <w:tr>
        <w:trPr>
          <w:trHeight w:val="195"/>
        </w:trPr>
        <w:tc>
          <w:tcPr>
            <w:tcW w:w="1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292"/>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40" w:type="dxa"/>
            <w:vAlign w:val="bottom"/>
            <w:gridSpan w:val="13"/>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320" w:type="dxa"/>
            <w:vAlign w:val="bottom"/>
            <w:tcBorders>
              <w:bottom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FF0FC"/>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1,631</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340" w:type="dxa"/>
            <w:vAlign w:val="bottom"/>
            <w:tcBorders>
              <w:bottom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FF0FC"/>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8,629</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1,887</w:t>
            </w:r>
          </w:p>
        </w:tc>
        <w:tc>
          <w:tcPr>
            <w:tcW w:w="0" w:type="dxa"/>
            <w:vAlign w:val="bottom"/>
          </w:tcPr>
          <w:p>
            <w:pPr>
              <w:spacing w:after="0"/>
              <w:rPr>
                <w:sz w:val="1"/>
                <w:szCs w:val="1"/>
                <w:color w:val="auto"/>
              </w:rPr>
            </w:pPr>
          </w:p>
        </w:tc>
      </w:tr>
      <w:tr>
        <w:trPr>
          <w:trHeight w:val="216"/>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undistributed earnings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attributable to participating</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(2,493)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(1,887)</w:t>
            </w:r>
          </w:p>
        </w:tc>
        <w:tc>
          <w:tcPr>
            <w:tcW w:w="0" w:type="dxa"/>
            <w:vAlign w:val="bottom"/>
          </w:tcPr>
          <w:p>
            <w:pPr>
              <w:spacing w:after="0"/>
              <w:rPr>
                <w:sz w:val="1"/>
                <w:szCs w:val="1"/>
                <w:color w:val="auto"/>
              </w:rPr>
            </w:pPr>
          </w:p>
        </w:tc>
      </w:tr>
      <w:tr>
        <w:trPr>
          <w:trHeight w:val="33"/>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attributable to common</w:t>
            </w: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3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rPr>
              <w:t>1,627</w:t>
            </w:r>
          </w:p>
        </w:tc>
        <w:tc>
          <w:tcPr>
            <w:tcW w:w="100" w:type="dxa"/>
            <w:vAlign w:val="bottom"/>
          </w:tcPr>
          <w:p>
            <w:pPr>
              <w:spacing w:after="0"/>
              <w:rPr>
                <w:sz w:val="17"/>
                <w:szCs w:val="17"/>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Pr>
          <w:p>
            <w:pPr>
              <w:spacing w:after="0"/>
              <w:rPr>
                <w:sz w:val="17"/>
                <w:szCs w:val="17"/>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3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rPr>
              <w:t>6,136</w:t>
            </w:r>
          </w:p>
        </w:tc>
        <w:tc>
          <w:tcPr>
            <w:tcW w:w="120" w:type="dxa"/>
            <w:vAlign w:val="bottom"/>
          </w:tcPr>
          <w:p>
            <w:pPr>
              <w:spacing w:after="0"/>
              <w:rPr>
                <w:sz w:val="17"/>
                <w:szCs w:val="17"/>
                <w:color w:val="auto"/>
              </w:rPr>
            </w:pP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basic</w:t>
            </w:r>
          </w:p>
        </w:tc>
        <w:tc>
          <w:tcPr>
            <w:tcW w:w="20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340" w:type="dxa"/>
            <w:vAlign w:val="bottom"/>
            <w:gridSpan w:val="3"/>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420" w:type="dxa"/>
            <w:vAlign w:val="bottom"/>
            <w:gridSpan w:val="3"/>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Borders>
              <w:bottom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Reallocation of net income</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attributable to</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stockholders</w:t>
            </w:r>
          </w:p>
        </w:tc>
        <w:tc>
          <w:tcPr>
            <w:tcW w:w="2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gridSpan w:val="2"/>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attributable to common</w:t>
            </w: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3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rPr>
              <w:t>1,663</w:t>
            </w:r>
          </w:p>
        </w:tc>
        <w:tc>
          <w:tcPr>
            <w:tcW w:w="100" w:type="dxa"/>
            <w:vAlign w:val="bottom"/>
          </w:tcPr>
          <w:p>
            <w:pPr>
              <w:spacing w:after="0"/>
              <w:rPr>
                <w:sz w:val="17"/>
                <w:szCs w:val="17"/>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Pr>
          <w:p>
            <w:pPr>
              <w:spacing w:after="0"/>
              <w:rPr>
                <w:sz w:val="17"/>
                <w:szCs w:val="17"/>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3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rPr>
              <w:t>6,257</w:t>
            </w:r>
          </w:p>
        </w:tc>
        <w:tc>
          <w:tcPr>
            <w:tcW w:w="120" w:type="dxa"/>
            <w:vAlign w:val="bottom"/>
          </w:tcPr>
          <w:p>
            <w:pPr>
              <w:spacing w:after="0"/>
              <w:rPr>
                <w:sz w:val="17"/>
                <w:szCs w:val="17"/>
                <w:color w:val="auto"/>
              </w:rPr>
            </w:pP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diluted</w:t>
            </w:r>
          </w:p>
        </w:tc>
        <w:tc>
          <w:tcPr>
            <w:tcW w:w="20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340" w:type="dxa"/>
            <w:vAlign w:val="bottom"/>
            <w:gridSpan w:val="3"/>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420" w:type="dxa"/>
            <w:vAlign w:val="bottom"/>
            <w:gridSpan w:val="3"/>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8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3773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p>
      <w:pPr>
        <w:sectPr>
          <w:pgSz w:w="11900" w:h="16838" w:orient="portrait"/>
          <w:cols w:equalWidth="0" w:num="1">
            <w:col w:w="11420"/>
          </w:cols>
          <w:pgMar w:left="240" w:top="121" w:right="239" w:bottom="1440" w:gutter="0" w:footer="0" w:header="0"/>
        </w:sectPr>
      </w:pPr>
    </w:p>
    <w:p>
      <w:pPr>
        <w:spacing w:after="0" w:line="61" w:lineRule="exact"/>
        <w:rPr>
          <w:sz w:val="20"/>
          <w:szCs w:val="20"/>
          <w:color w:val="auto"/>
        </w:rPr>
      </w:pPr>
    </w:p>
    <w:p>
      <w:pPr>
        <w:ind w:left="20" w:right="160"/>
        <w:spacing w:after="0" w:line="224" w:lineRule="auto"/>
        <w:rPr>
          <w:sz w:val="20"/>
          <w:szCs w:val="20"/>
          <w:color w:val="auto"/>
        </w:rPr>
      </w:pPr>
      <w:r>
        <w:rPr>
          <w:rFonts w:ascii="Times New Roman" w:cs="Times New Roman" w:eastAsia="Times New Roman" w:hAnsi="Times New Roman"/>
          <w:sz w:val="16"/>
          <w:szCs w:val="16"/>
          <w:color w:val="auto"/>
        </w:rPr>
        <w:t>Weighted-average shares used in computing net income (loss) per share attributable to common stockholders, basic</w:t>
      </w:r>
    </w:p>
    <w:p>
      <w:pPr>
        <w:spacing w:after="0" w:line="6" w:lineRule="exact"/>
        <w:rPr>
          <w:sz w:val="20"/>
          <w:szCs w:val="20"/>
          <w:color w:val="auto"/>
        </w:rPr>
      </w:pPr>
    </w:p>
    <w:p>
      <w:pPr>
        <w:ind w:left="20" w:right="160"/>
        <w:spacing w:after="0" w:line="224" w:lineRule="auto"/>
        <w:rPr>
          <w:sz w:val="20"/>
          <w:szCs w:val="20"/>
          <w:color w:val="auto"/>
        </w:rPr>
      </w:pPr>
      <w:r>
        <w:rPr>
          <w:rFonts w:ascii="Times New Roman" w:cs="Times New Roman" w:eastAsia="Times New Roman" w:hAnsi="Times New Roman"/>
          <w:sz w:val="16"/>
          <w:szCs w:val="16"/>
          <w:color w:val="auto"/>
        </w:rPr>
        <w:t>Weighted-average shares used in computing net income (loss) per share attributable to common stockholders, diluted</w:t>
      </w:r>
    </w:p>
    <w:p>
      <w:pPr>
        <w:spacing w:after="0" w:line="6" w:lineRule="exact"/>
        <w:rPr>
          <w:sz w:val="20"/>
          <w:szCs w:val="20"/>
          <w:color w:val="auto"/>
        </w:rPr>
      </w:pPr>
    </w:p>
    <w:p>
      <w:pPr>
        <w:ind w:left="20"/>
        <w:spacing w:after="0" w:line="232" w:lineRule="auto"/>
        <w:rPr>
          <w:sz w:val="20"/>
          <w:szCs w:val="20"/>
          <w:color w:val="auto"/>
        </w:rPr>
      </w:pPr>
      <w:r>
        <w:rPr>
          <w:rFonts w:ascii="Times New Roman" w:cs="Times New Roman" w:eastAsia="Times New Roman" w:hAnsi="Times New Roman"/>
          <w:sz w:val="16"/>
          <w:szCs w:val="16"/>
          <w:color w:val="auto"/>
        </w:rPr>
        <w:t>Net income (loss) per share attributable to common stockholders, basic</w:t>
      </w:r>
    </w:p>
    <w:p>
      <w:pPr>
        <w:spacing w:after="0" w:line="7" w:lineRule="exact"/>
        <w:rPr>
          <w:sz w:val="20"/>
          <w:szCs w:val="20"/>
          <w:color w:val="auto"/>
        </w:rPr>
      </w:pPr>
    </w:p>
    <w:p>
      <w:pPr>
        <w:ind w:left="20"/>
        <w:spacing w:after="0" w:line="232" w:lineRule="auto"/>
        <w:rPr>
          <w:sz w:val="20"/>
          <w:szCs w:val="20"/>
          <w:color w:val="auto"/>
        </w:rPr>
      </w:pPr>
      <w:r>
        <w:rPr>
          <w:rFonts w:ascii="Times New Roman" w:cs="Times New Roman" w:eastAsia="Times New Roman" w:hAnsi="Times New Roman"/>
          <w:sz w:val="16"/>
          <w:szCs w:val="16"/>
          <w:color w:val="auto"/>
        </w:rPr>
        <w:t>Net income (loss) per share attributable to common stockholders,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4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71,833,141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201,483,709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85,645,323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39,227,409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180,068,036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83,198,339</w:t>
            </w:r>
          </w:p>
        </w:tc>
      </w:tr>
      <w:tr>
        <w:trPr>
          <w:trHeight w:val="864"/>
        </w:trPr>
        <w:tc>
          <w:tcPr>
            <w:tcW w:w="140" w:type="dxa"/>
            <w:vAlign w:val="bottom"/>
          </w:tcPr>
          <w:p>
            <w:pPr>
              <w:spacing w:after="0"/>
              <w:rPr>
                <w:sz w:val="24"/>
                <w:szCs w:val="24"/>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72,117,530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220,653,592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111,000,300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39,294,822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202,217,747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109,303,996</w:t>
            </w:r>
          </w:p>
        </w:tc>
      </w:tr>
      <w:tr>
        <w:trPr>
          <w:trHeight w:val="33"/>
        </w:trPr>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460"/>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Pr>
          <w:p>
            <w:pPr>
              <w:spacing w:after="0"/>
              <w:rPr>
                <w:sz w:val="24"/>
                <w:szCs w:val="24"/>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0.00</w:t>
            </w:r>
          </w:p>
        </w:tc>
      </w:tr>
      <w:tr>
        <w:trPr>
          <w:trHeight w:val="33"/>
        </w:trPr>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47"/>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Pr>
          <w:p>
            <w:pPr>
              <w:spacing w:after="0"/>
              <w:rPr>
                <w:sz w:val="24"/>
                <w:szCs w:val="24"/>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0.00</w:t>
            </w:r>
          </w:p>
        </w:tc>
      </w:tr>
      <w:tr>
        <w:trPr>
          <w:trHeight w:val="33"/>
        </w:trPr>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-1251585</wp:posOffset>
            </wp:positionV>
            <wp:extent cx="7237730" cy="548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7730" cy="548640"/>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-359410</wp:posOffset>
            </wp:positionV>
            <wp:extent cx="7237730" cy="342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7730" cy="342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80"/>
            <w:col w:w="954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income (loss) per share attributable to common stockholders for the periods presented because including them would have been antidilutive are as follows:</w:t>
      </w:r>
    </w:p>
    <w:tbl>
      <w:tblPr>
        <w:tblLayout w:type="fixed"/>
        <w:tblInd w:w="0" w:type="dxa"/>
        <w:tblCellMar>
          <w:top w:w="0" w:type="dxa"/>
          <w:left w:w="0" w:type="dxa"/>
          <w:bottom w:w="0" w:type="dxa"/>
          <w:right w:w="0" w:type="dxa"/>
        </w:tblCellMar>
      </w:tblPr>
      <w:tr>
        <w:trPr>
          <w:trHeight w:val="195"/>
        </w:trPr>
        <w:tc>
          <w:tcPr>
            <w:tcW w:w="18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0" w:type="dxa"/>
            <w:vAlign w:val="bottom"/>
          </w:tcPr>
          <w:p>
            <w:pPr>
              <w:spacing w:after="0"/>
              <w:rPr>
                <w:sz w:val="17"/>
                <w:szCs w:val="17"/>
                <w:color w:val="auto"/>
              </w:rPr>
            </w:pPr>
          </w:p>
        </w:tc>
        <w:tc>
          <w:tcPr>
            <w:tcW w:w="13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941"/>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17"/>
                <w:szCs w:val="17"/>
                <w:color w:val="auto"/>
              </w:rPr>
            </w:pPr>
          </w:p>
        </w:tc>
        <w:tc>
          <w:tcPr>
            <w:tcW w:w="13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92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6"/>
        </w:trPr>
        <w:tc>
          <w:tcPr>
            <w:tcW w:w="1800" w:type="dxa"/>
            <w:vAlign w:val="bottom"/>
          </w:tcPr>
          <w:p>
            <w:pPr>
              <w:spacing w:after="0"/>
              <w:rPr>
                <w:sz w:val="17"/>
                <w:szCs w:val="17"/>
                <w:color w:val="auto"/>
              </w:rPr>
            </w:pPr>
          </w:p>
        </w:tc>
        <w:tc>
          <w:tcPr>
            <w:tcW w:w="132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32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9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201"/>
        </w:trPr>
        <w:tc>
          <w:tcPr>
            <w:tcW w:w="1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preferred</w:t>
            </w: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w:t>
            </w:r>
          </w:p>
        </w:tc>
        <w:tc>
          <w:tcPr>
            <w:tcW w:w="13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152,665,804</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152,665,804</w:t>
            </w:r>
          </w:p>
        </w:tc>
        <w:tc>
          <w:tcPr>
            <w:tcW w:w="0" w:type="dxa"/>
            <w:vAlign w:val="bottom"/>
          </w:tcPr>
          <w:p>
            <w:pPr>
              <w:spacing w:after="0"/>
              <w:rPr>
                <w:sz w:val="1"/>
                <w:szCs w:val="1"/>
                <w:color w:val="auto"/>
              </w:rPr>
            </w:pPr>
          </w:p>
        </w:tc>
      </w:tr>
      <w:tr>
        <w:trPr>
          <w:trHeight w:val="224"/>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stock options</w:t>
            </w:r>
          </w:p>
        </w:tc>
        <w:tc>
          <w:tcPr>
            <w:tcW w:w="10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219,660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3"/>
          </w:tcPr>
          <w:p>
            <w:pPr>
              <w:jc w:val="right"/>
              <w:ind w:right="81"/>
              <w:spacing w:after="0"/>
              <w:rPr>
                <w:sz w:val="20"/>
                <w:szCs w:val="20"/>
                <w:color w:val="auto"/>
              </w:rPr>
            </w:pPr>
            <w:r>
              <w:rPr>
                <w:rFonts w:ascii="Times New Roman" w:cs="Times New Roman" w:eastAsia="Times New Roman" w:hAnsi="Times New Roman"/>
                <w:sz w:val="16"/>
                <w:szCs w:val="16"/>
                <w:color w:val="auto"/>
              </w:rPr>
              <w:t>34,222,303</w:t>
            </w:r>
          </w:p>
        </w:tc>
        <w:tc>
          <w:tcPr>
            <w:tcW w:w="10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113,335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color w:val="auto"/>
              </w:rPr>
              <w:t>3,250,410</w:t>
            </w:r>
          </w:p>
        </w:tc>
        <w:tc>
          <w:tcPr>
            <w:tcW w:w="0" w:type="dxa"/>
            <w:vAlign w:val="bottom"/>
          </w:tcPr>
          <w:p>
            <w:pPr>
              <w:spacing w:after="0"/>
              <w:rPr>
                <w:sz w:val="1"/>
                <w:szCs w:val="1"/>
                <w:color w:val="auto"/>
              </w:rPr>
            </w:pPr>
          </w:p>
        </w:tc>
      </w:tr>
      <w:tr>
        <w:trPr>
          <w:trHeight w:val="33"/>
        </w:trPr>
        <w:tc>
          <w:tcPr>
            <w:tcW w:w="1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RSUs</w:t>
            </w:r>
          </w:p>
        </w:tc>
        <w:tc>
          <w:tcPr>
            <w:tcW w:w="10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369,894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361,923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18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Purchase rights committed</w:t>
            </w:r>
          </w:p>
        </w:tc>
        <w:tc>
          <w:tcPr>
            <w:tcW w:w="108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63,384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rPr>
              <w:t>29,225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under the ESPP</w:t>
            </w: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subject to</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from early</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 stock options</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restricted stock</w:t>
            </w:r>
          </w:p>
        </w:tc>
        <w:tc>
          <w:tcPr>
            <w:tcW w:w="13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1,177,757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7"/>
        </w:trPr>
        <w:tc>
          <w:tcPr>
            <w:tcW w:w="1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652,938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188,065,864</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504,483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98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155,916,214</w:t>
            </w:r>
          </w:p>
        </w:tc>
        <w:tc>
          <w:tcPr>
            <w:tcW w:w="0" w:type="dxa"/>
            <w:vAlign w:val="bottom"/>
          </w:tcPr>
          <w:p>
            <w:pPr>
              <w:spacing w:after="0"/>
              <w:rPr>
                <w:sz w:val="1"/>
                <w:szCs w:val="1"/>
                <w:color w:val="auto"/>
              </w:rPr>
            </w:pPr>
          </w:p>
        </w:tc>
      </w:tr>
      <w:tr>
        <w:trPr>
          <w:trHeight w:val="24"/>
        </w:trPr>
        <w:tc>
          <w:tcPr>
            <w:tcW w:w="18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above does not include 500,000 shares of issued Class A common stock held by us and reserved for the sole purpose of being transferred to a nonprofit organization to be formed or identified by us at a future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unaudited condensed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mission is to make video communications frictionless.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provide a video-first communications platform that delivers happiness and fundamentally changes how people interact. We connect people through frictionless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“just works.” Our goal is to make Zoom meetings better than in-person meetings.</w:t>
      </w:r>
    </w:p>
    <w:p>
      <w:pPr>
        <w:spacing w:after="0" w:line="18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generate revenue from the sale of subscriptions to our video-first communications platform. Subscription revenue is driven primarily by the number of paid hosts, as well as purchases of additional products, including Zoom Rooms, Zoom Video Webinars, and Zoom Phone. A host is any user of our video-first communications platform who initiates a Zoom Meeting and invites one or more participants to join that meeting. We refer to hosts who subscribe to a paid Zoom Meeting plan as “paid hosts.” We define a customer as a separate and distinct buying entity, which can be a single paid host or an organization of any size (including a distinct unit of an organization) that has multiple paid hosts. Our Basic offering is free and gives hosts access to Zoom Meetings with core features but with limitations on the number of attendees and time. Our paid offerings include our Pro, Business, and Enterprise plans, which provide incremental features and functionality, such as different participant limits, administrative controls, and reporting.</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revenue was $166.6 million and $90.1 million for the three months ended October 31, 2019 and 2018, respectively, representing period-over-period growth rate of 85%. We had net income of $2.2 million and net loss of $0.6 million for the three months ended October 31, 2019 and 2018, respectively. Our revenue was $434.4 million and $224.7 million for the nine months ended October 31, 2019 and 2018, respectively, representing period-over-period growth rate of 93%. We had net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of $10.0 million and $1.9 million for the nine months ended October 31, 2019 and 2018, respectively. Net cash provided by operating activities was $115.3 million and $35.3 million for the nine months ended October 31, 2019 and 2018,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focused on continuing to grow the number of customers that use our platform. Our operating results and growth prospects will depend, in part, on our ability to attract new customers. While we believe we have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Expansion of Zoom Across Existing Customers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believe that there is a large opportunity for growth with many of our existing customers. Many customers have increased the size of their subscriptions as they have expanded their use of our platform across their operations. Some of our larger enterprise customers start with a single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Zoom Rooms at each office location and enablement of Zoom Video Webinars. In order for us to address this opportunity to expand the use of our products with our existing customers, we will need to maintain the reliability of our platform and produce new features and functionality that are responsive to our customers’ requirements for enterprise-grade solutions.</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quantify our expansion across existing customers through our net dollar expansion rate. Our net dollar expansion rate includes the increase in user adoption within our customers, as our subscription revenue is primarily driven by the number of paid hosts within a customer and the purchase of additional products, and compares our subscription revenue from the same set of customers across comparable periods. We calculate net dollar expansion rate as of a period end by starting with the annual recurring revenue (“ARR”) from all customers with more than 10 employees as of 12 months prior (“Prior Period ARR”). We define ARR as the annualized revenue run rate of subscription agreements from all customers at a point in time. We then calculate the ARR from these customers as of the current period end (“Current Period ARR”), which includes any upsells, contraction, and attrition. We divide the Current Period ARR by the Prior Period ARR to arrive at the net dollar expansion rate. For the trailing 12-months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 ability to retain our customers. Our trailing 12-month net dollar expansion rate was greater than 130% as of October 31, 2019 and 2018.</w:t>
      </w:r>
    </w:p>
    <w:p>
      <w:pPr>
        <w:spacing w:after="0" w:line="2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Innovation and Expansion of Our Platform</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continue to invest resources to enhance the capabilities of our platform. For example, we have recently introduced a number of product enhancements, including new features for Zoom Phone, Zoom Meetings, and Zoom Video Webinars. Third-party developers are also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We will need to expend additional resources to continue introducing new products, features, and functionality, and supporting the efforts of third parties to enhance the value of our platform with their own applications.</w:t>
      </w:r>
    </w:p>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International Expansion</w:t>
      </w:r>
    </w:p>
    <w:p>
      <w:pPr>
        <w:spacing w:after="0" w:line="20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platform addresses the communications needs of users worldwide, and we see international expansion as a major opportunity. Our revenue from the rest of world (APAC and EMEA) represented 19% and 18% of our revenue for the three months ended October 31, 2019 and 2018, respectively, and 19% and 18% of our revenue for the nine months ended October 31, 2019 and 2018, respectively. We plan to add local sales support in further select international markets over time. We use strategic partners and resellers to sell in international markets, such as China, where we have limited or no sales presence. While we believe global demand for our platform will continue to increase as international market awareness of Zoom grows, our ability to conduct our operations internationally will require considerable management attention and resources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is subject to the particular challenges of supporting a rapidly growing business in an environment of multiple languages, cultures, customs, legal and regulatory systems, alternative dispute systems, and commercial markets.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review the following key business metrics to measure our performance, identify trends, formulate financial projections, and make strategic decisions.</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Customers with More Than 10 Employees</w:t>
      </w:r>
    </w:p>
    <w:p>
      <w:pPr>
        <w:spacing w:after="0" w:line="20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Increasing awareness of our platform and its broad range of capabilities has enabled us to substantially expand our customer base, which includes organizations of all sizes across industries. We define a customer as a separate and distinct buying entity, which can be a single paid host or an organization of any size (including a distinct unit of an organization) that has multiple paid hosts. To better distinguish business customers from our broader customer base, we review the number of customers with more than 10 employees. As of October 31, 2019 and 2018, we had approximately 74,100 and 44,400 customers with more than 10 employees, respectively. When disclosing the number of customers, we round down to the nearest hundred.</w:t>
      </w:r>
    </w:p>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Customers Contributing More Than $100,000 of Trailing 12 Months Revenue</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focus on growing the number of customers that contribute more than $100,000 of trailing 12 months revenue as a measure of our ability to scale with our customers and attract larger organizations to Zoom. Revenue from these customers represented 31% and 27% of revenue for the three months ended October 31, 2019 and 2018, respectively, and 32% and 27% of revenue for the nine months ended October 31, 2019 and 2018, respectively. As of October 31, 2019 and 2018, we had 546 and 277 customers, respectively, that contributed more than $100,000 of trailing 12 months revenue, demonstrating our rapid penetration of larger organizations, including enterprises. These customers are a subset of the customers with more than 10 employees.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that free cash flow (“FCF”), a non-GAAP financial measure, is useful in evaluating our liquidity.</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0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define FCF as GAAP net cash provided by operating activities less purchases of property and equipment. We believe that FCF is a liquidity measure that provides useful information regarding cash provided by operating activities and cash used for investments in property and equipment required to maintain and grow our business. FCF is presented for supplemental informational purposes only, has limitations as an analytical tool, and it should not be considered in isolation or as a substitute for analysis of other GAAP financial measures, such as net cash provided by operating activities. It is important to note that other companies, including companies in our industry, may not use this metric, may calculate this metric differently, or may use other financial measures to evaluate their liquidity, all of which could reduce the usefulness of this non-GAAP metric as a comparative measure.</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reconciliation of FCF to the most comparable GAAP measure, net cash provided by operating activities:</w:t>
      </w:r>
    </w:p>
    <w:p>
      <w:pPr>
        <w:spacing w:after="0" w:line="57"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4"/>
          <w:szCs w:val="14"/>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13335</wp:posOffset>
            </wp:positionV>
            <wp:extent cx="21869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7"/>
        </w:trPr>
        <w:tc>
          <w:tcPr>
            <w:tcW w:w="7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Borders>
              <w:bottom w:val="single" w:sz="8" w:color="CFF0FC"/>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115,338</w:t>
            </w:r>
          </w:p>
        </w:tc>
        <w:tc>
          <w:tcPr>
            <w:tcW w:w="12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center"/>
              <w:ind w:left="233"/>
              <w:spacing w:after="0"/>
              <w:rPr>
                <w:sz w:val="20"/>
                <w:szCs w:val="20"/>
                <w:color w:val="auto"/>
              </w:rPr>
            </w:pPr>
            <w:r>
              <w:rPr>
                <w:rFonts w:ascii="Times New Roman" w:cs="Times New Roman" w:eastAsia="Times New Roman" w:hAnsi="Times New Roman"/>
                <w:sz w:val="18"/>
                <w:szCs w:val="18"/>
                <w:color w:val="auto"/>
                <w:w w:val="96"/>
              </w:rPr>
              <w:t>35,341</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40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(28,132)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rPr>
              <w:t>(18,121)</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 (non-GAAP)</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87,206</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w w:val="96"/>
              </w:rPr>
              <w:t>17,220</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40" w:type="dxa"/>
            <w:vAlign w:val="bottom"/>
            <w:vMerge w:val="continue"/>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(496,099)</w:t>
            </w:r>
          </w:p>
        </w:tc>
        <w:tc>
          <w:tcPr>
            <w:tcW w:w="12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rPr>
              <w:t>(23,733)</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596,623</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w w:val="96"/>
              </w:rPr>
              <w:t>17,622</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derive our revenue from subscription agreements with customers for access to our video-first communications platform. Our customers do not have the ability to take possession of our software. We also provide services, which include professional services, consulting services, and online event hosting, which are generally considered distinct from the access to our video-first communications platform.</w:t>
      </w:r>
    </w:p>
    <w:p>
      <w:pPr>
        <w:spacing w:after="0" w:line="2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 of revenue primarily consists of costs related to hosting our video-first communications platform and providing general operating support services to our customers. These costs are related to our co-located data centers, third-party cloud hosting, integrated third-party public switched telephone network (“PSTN”) services, personnel-related expenses, amortization of capitalized software development, and allocated overhead. We expect our cost of revenue to increase in absolute dollars as our revenue increases.</w:t>
      </w:r>
    </w:p>
    <w:p>
      <w:pPr>
        <w:spacing w:after="0" w:line="2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 We plan to increase our investment in research and development for the foreseeable future as we focus on further developing our platform and enhancing its use cases.</w:t>
      </w:r>
    </w:p>
    <w:p>
      <w:pPr>
        <w:spacing w:after="0" w:line="2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and marketing expenses primarily consist of personnel-related expenses directly associated with our sales and marketing organization. Other sales and marketing expenses include promotional events to promote our brand, such as awareness programs, digital programs, tradeshows and our user conference, Zoomtopia, and allocated overhead. Sales and marketing expenses also include amortization of deferred contract acquisition costs. We plan to increase our investment in sales and marketing over the foreseeable future, primarily from increased headcount in our sales force and investment in brand and product marketing efforts.</w:t>
      </w:r>
    </w:p>
    <w:p>
      <w:pPr>
        <w:spacing w:after="0" w:line="2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primarily consist of personnel-related expenses associated with our finance, legal, and human resources organizations; professional fees for external legal, accounting, and other consulting services; bad debt expense; insurance; and allocated overhead. We expect to increase the size of our general and administrative function to support the growth of our business. We also expect to incur additional expenses as a result of operating as a public company. We expect the dollar amount of our general and administrative expenses to increase for the foreseeable future.</w:t>
      </w:r>
    </w:p>
    <w:p>
      <w:pPr>
        <w:spacing w:after="0" w:line="2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net consists primarily of interest income earned on our cash equivalents and marketable securities.</w:t>
      </w:r>
    </w:p>
    <w:p>
      <w:pPr>
        <w:spacing w:after="0" w:line="3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Other income, net consists primarily of the </w:t>
      </w:r>
      <w:r>
        <w:rPr>
          <w:rFonts w:ascii="Times New Roman" w:cs="Times New Roman" w:eastAsia="Times New Roman" w:hAnsi="Times New Roman"/>
          <w:sz w:val="18"/>
          <w:szCs w:val="18"/>
          <w:color w:val="231F20"/>
        </w:rPr>
        <w:t>net accretion on our investments in marketable securities and</w:t>
      </w:r>
      <w:r>
        <w:rPr>
          <w:rFonts w:ascii="Times New Roman" w:cs="Times New Roman" w:eastAsia="Times New Roman" w:hAnsi="Times New Roman"/>
          <w:sz w:val="18"/>
          <w:szCs w:val="18"/>
          <w:color w:val="auto"/>
        </w:rPr>
        <w:t xml:space="preserve"> miscellaneous nonoperational income and expenses.</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Provision for income taxes consists primarily of income taxes related to foreign and state jurisdictions where we conduct business.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firstLine="486"/>
        <w:spacing w:after="0" w:line="278" w:lineRule="auto"/>
        <w:rPr>
          <w:sz w:val="20"/>
          <w:szCs w:val="20"/>
          <w:color w:val="auto"/>
        </w:rPr>
      </w:pPr>
      <w:r>
        <w:rPr>
          <w:rFonts w:ascii="Times New Roman" w:cs="Times New Roman" w:eastAsia="Times New Roman" w:hAnsi="Times New Roman"/>
          <w:sz w:val="18"/>
          <w:szCs w:val="18"/>
          <w:color w:val="auto"/>
        </w:rPr>
        <w:t>The following tables set forth selected condensed consolidated statements of operations data and such data as a percentage of total revenue for each of the periods indicated:</w:t>
      </w:r>
    </w:p>
    <w:tbl>
      <w:tblPr>
        <w:tblLayout w:type="fixed"/>
        <w:tblInd w:w="0" w:type="dxa"/>
        <w:tblCellMar>
          <w:top w:w="0" w:type="dxa"/>
          <w:left w:w="0" w:type="dxa"/>
          <w:bottom w:w="0" w:type="dxa"/>
          <w:right w:w="0" w:type="dxa"/>
        </w:tblCellMar>
      </w:tblPr>
      <w:tr>
        <w:trPr>
          <w:trHeight w:val="149"/>
        </w:trPr>
        <w:tc>
          <w:tcPr>
            <w:tcW w:w="4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2"/>
                <w:szCs w:val="12"/>
                <w:color w:val="auto"/>
              </w:rPr>
            </w:pPr>
          </w:p>
        </w:tc>
      </w:tr>
      <w:tr>
        <w:trPr>
          <w:trHeight w:val="195"/>
        </w:trPr>
        <w:tc>
          <w:tcPr>
            <w:tcW w:w="44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20" w:type="dxa"/>
            <w:vAlign w:val="bottom"/>
            <w:tcBorders>
              <w:bottom w:val="single" w:sz="8" w:color="auto"/>
            </w:tcBorders>
          </w:tcPr>
          <w:p>
            <w:pPr>
              <w:spacing w:after="0"/>
              <w:rPr>
                <w:sz w:val="16"/>
                <w:szCs w:val="16"/>
                <w:color w:val="auto"/>
              </w:rPr>
            </w:pPr>
          </w:p>
        </w:tc>
      </w:tr>
      <w:tr>
        <w:trPr>
          <w:trHeight w:val="196"/>
        </w:trPr>
        <w:tc>
          <w:tcPr>
            <w:tcW w:w="44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7"/>
        </w:trPr>
        <w:tc>
          <w:tcPr>
            <w:tcW w:w="4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5"/>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166,593</w:t>
            </w:r>
          </w:p>
        </w:tc>
        <w:tc>
          <w:tcPr>
            <w:tcW w:w="12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90,121</w:t>
            </w:r>
          </w:p>
        </w:tc>
        <w:tc>
          <w:tcPr>
            <w:tcW w:w="8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434,407</w:t>
            </w:r>
          </w:p>
        </w:tc>
        <w:tc>
          <w:tcPr>
            <w:tcW w:w="8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224,717</w:t>
            </w:r>
          </w:p>
        </w:tc>
      </w:tr>
      <w:tr>
        <w:trPr>
          <w:trHeight w:val="270"/>
        </w:trPr>
        <w:tc>
          <w:tcPr>
            <w:tcW w:w="44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30,845</w:t>
            </w:r>
          </w:p>
        </w:tc>
        <w:tc>
          <w:tcPr>
            <w:tcW w:w="120" w:type="dxa"/>
            <w:vAlign w:val="bottom"/>
            <w:tcBorders>
              <w:bottom w:val="single" w:sz="8" w:color="CFF0FC"/>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16,843</w:t>
            </w:r>
          </w:p>
        </w:tc>
        <w:tc>
          <w:tcPr>
            <w:tcW w:w="80" w:type="dxa"/>
            <w:vAlign w:val="bottom"/>
            <w:tcBorders>
              <w:bottom w:val="single" w:sz="8" w:color="CFF0FC"/>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82,849</w:t>
            </w:r>
          </w:p>
        </w:tc>
        <w:tc>
          <w:tcPr>
            <w:tcW w:w="80" w:type="dxa"/>
            <w:vAlign w:val="bottom"/>
            <w:tcBorders>
              <w:bottom w:val="single" w:sz="8" w:color="CFF0FC"/>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41,476</w:t>
            </w:r>
          </w:p>
        </w:tc>
      </w:tr>
      <w:tr>
        <w:trPr>
          <w:trHeight w:val="264"/>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135,748</w:t>
            </w:r>
          </w:p>
        </w:tc>
        <w:tc>
          <w:tcPr>
            <w:tcW w:w="12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73,278</w:t>
            </w:r>
          </w:p>
        </w:tc>
        <w:tc>
          <w:tcPr>
            <w:tcW w:w="8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351,558</w:t>
            </w:r>
          </w:p>
        </w:tc>
        <w:tc>
          <w:tcPr>
            <w:tcW w:w="8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183,241</w:t>
            </w: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4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(1)</w:t>
            </w:r>
          </w:p>
        </w:tc>
        <w:tc>
          <w:tcPr>
            <w:tcW w:w="400" w:type="dxa"/>
            <w:vAlign w:val="bottom"/>
            <w:shd w:val="clear" w:color="auto" w:fill="CFF0FC"/>
          </w:tcPr>
          <w:p>
            <w:pPr>
              <w:spacing w:after="0"/>
              <w:rPr>
                <w:sz w:val="23"/>
                <w:szCs w:val="23"/>
                <w:color w:val="auto"/>
              </w:rPr>
            </w:pPr>
          </w:p>
        </w:tc>
        <w:tc>
          <w:tcPr>
            <w:tcW w:w="12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17,573</w:t>
            </w:r>
          </w:p>
        </w:tc>
        <w:tc>
          <w:tcPr>
            <w:tcW w:w="120" w:type="dxa"/>
            <w:vAlign w:val="bottom"/>
            <w:shd w:val="clear" w:color="auto" w:fill="CFF0FC"/>
          </w:tcPr>
          <w:p>
            <w:pPr>
              <w:spacing w:after="0"/>
              <w:rPr>
                <w:sz w:val="23"/>
                <w:szCs w:val="23"/>
                <w:color w:val="auto"/>
              </w:rPr>
            </w:pPr>
          </w:p>
        </w:tc>
        <w:tc>
          <w:tcPr>
            <w:tcW w:w="640" w:type="dxa"/>
            <w:vAlign w:val="bottom"/>
            <w:shd w:val="clear" w:color="auto" w:fill="CFF0FC"/>
          </w:tcPr>
          <w:p>
            <w:pPr>
              <w:spacing w:after="0"/>
              <w:rPr>
                <w:sz w:val="23"/>
                <w:szCs w:val="23"/>
                <w:color w:val="auto"/>
              </w:rPr>
            </w:pPr>
          </w:p>
        </w:tc>
        <w:tc>
          <w:tcPr>
            <w:tcW w:w="10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8,893</w:t>
            </w:r>
          </w:p>
        </w:tc>
        <w:tc>
          <w:tcPr>
            <w:tcW w:w="80" w:type="dxa"/>
            <w:vAlign w:val="bottom"/>
            <w:shd w:val="clear" w:color="auto" w:fill="CFF0FC"/>
          </w:tcPr>
          <w:p>
            <w:pPr>
              <w:spacing w:after="0"/>
              <w:rPr>
                <w:sz w:val="23"/>
                <w:szCs w:val="23"/>
                <w:color w:val="auto"/>
              </w:rPr>
            </w:pPr>
          </w:p>
        </w:tc>
        <w:tc>
          <w:tcPr>
            <w:tcW w:w="540" w:type="dxa"/>
            <w:vAlign w:val="bottom"/>
            <w:shd w:val="clear" w:color="auto" w:fill="CFF0FC"/>
          </w:tcPr>
          <w:p>
            <w:pPr>
              <w:spacing w:after="0"/>
              <w:rPr>
                <w:sz w:val="23"/>
                <w:szCs w:val="23"/>
                <w:color w:val="auto"/>
              </w:rPr>
            </w:pPr>
          </w:p>
        </w:tc>
        <w:tc>
          <w:tcPr>
            <w:tcW w:w="114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46,410</w:t>
            </w:r>
          </w:p>
        </w:tc>
        <w:tc>
          <w:tcPr>
            <w:tcW w:w="80" w:type="dxa"/>
            <w:vAlign w:val="bottom"/>
            <w:shd w:val="clear" w:color="auto" w:fill="CFF0FC"/>
          </w:tcPr>
          <w:p>
            <w:pPr>
              <w:spacing w:after="0"/>
              <w:rPr>
                <w:sz w:val="23"/>
                <w:szCs w:val="23"/>
                <w:color w:val="auto"/>
              </w:rPr>
            </w:pPr>
          </w:p>
        </w:tc>
        <w:tc>
          <w:tcPr>
            <w:tcW w:w="640" w:type="dxa"/>
            <w:vAlign w:val="bottom"/>
            <w:shd w:val="clear" w:color="auto" w:fill="CFF0FC"/>
          </w:tcPr>
          <w:p>
            <w:pPr>
              <w:spacing w:after="0"/>
              <w:rPr>
                <w:sz w:val="23"/>
                <w:szCs w:val="23"/>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22,206</w:t>
            </w:r>
          </w:p>
        </w:tc>
      </w:tr>
      <w:tr>
        <w:trPr>
          <w:trHeight w:val="27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23"/>
                <w:szCs w:val="23"/>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96,048</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53,454</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239,741</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130,769</w:t>
            </w:r>
          </w:p>
        </w:tc>
      </w:tr>
      <w:tr>
        <w:trPr>
          <w:trHeight w:val="270"/>
        </w:trPr>
        <w:tc>
          <w:tcPr>
            <w:tcW w:w="44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shd w:val="clear" w:color="auto" w:fill="CFF0FC"/>
          </w:tcPr>
          <w:p>
            <w:pPr>
              <w:spacing w:after="0"/>
              <w:rPr>
                <w:sz w:val="23"/>
                <w:szCs w:val="23"/>
                <w:color w:val="auto"/>
              </w:rPr>
            </w:pPr>
          </w:p>
        </w:tc>
        <w:tc>
          <w:tcPr>
            <w:tcW w:w="12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23,806</w:t>
            </w:r>
          </w:p>
        </w:tc>
        <w:tc>
          <w:tcPr>
            <w:tcW w:w="120" w:type="dxa"/>
            <w:vAlign w:val="bottom"/>
            <w:shd w:val="clear" w:color="auto" w:fill="CFF0FC"/>
          </w:tcPr>
          <w:p>
            <w:pPr>
              <w:spacing w:after="0"/>
              <w:rPr>
                <w:sz w:val="23"/>
                <w:szCs w:val="23"/>
                <w:color w:val="auto"/>
              </w:rPr>
            </w:pPr>
          </w:p>
        </w:tc>
        <w:tc>
          <w:tcPr>
            <w:tcW w:w="640" w:type="dxa"/>
            <w:vAlign w:val="bottom"/>
            <w:tcBorders>
              <w:bottom w:val="single" w:sz="8" w:color="auto"/>
            </w:tcBorders>
            <w:shd w:val="clear" w:color="auto" w:fill="CFF0FC"/>
          </w:tcPr>
          <w:p>
            <w:pPr>
              <w:spacing w:after="0"/>
              <w:rPr>
                <w:sz w:val="23"/>
                <w:szCs w:val="23"/>
                <w:color w:val="auto"/>
              </w:rPr>
            </w:pPr>
          </w:p>
        </w:tc>
        <w:tc>
          <w:tcPr>
            <w:tcW w:w="102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11,994</w:t>
            </w:r>
          </w:p>
        </w:tc>
        <w:tc>
          <w:tcPr>
            <w:tcW w:w="80" w:type="dxa"/>
            <w:vAlign w:val="bottom"/>
            <w:shd w:val="clear" w:color="auto" w:fill="CFF0FC"/>
          </w:tcPr>
          <w:p>
            <w:pPr>
              <w:spacing w:after="0"/>
              <w:rPr>
                <w:sz w:val="23"/>
                <w:szCs w:val="23"/>
                <w:color w:val="auto"/>
              </w:rPr>
            </w:pPr>
          </w:p>
        </w:tc>
        <w:tc>
          <w:tcPr>
            <w:tcW w:w="540" w:type="dxa"/>
            <w:vAlign w:val="bottom"/>
            <w:tcBorders>
              <w:bottom w:val="single" w:sz="8" w:color="auto"/>
            </w:tcBorders>
            <w:shd w:val="clear" w:color="auto" w:fill="CFF0FC"/>
          </w:tcPr>
          <w:p>
            <w:pPr>
              <w:spacing w:after="0"/>
              <w:rPr>
                <w:sz w:val="23"/>
                <w:szCs w:val="23"/>
                <w:color w:val="auto"/>
              </w:rPr>
            </w:pPr>
          </w:p>
        </w:tc>
        <w:tc>
          <w:tcPr>
            <w:tcW w:w="114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63,264</w:t>
            </w:r>
          </w:p>
        </w:tc>
        <w:tc>
          <w:tcPr>
            <w:tcW w:w="80" w:type="dxa"/>
            <w:vAlign w:val="bottom"/>
            <w:shd w:val="clear" w:color="auto" w:fill="CFF0FC"/>
          </w:tcPr>
          <w:p>
            <w:pPr>
              <w:spacing w:after="0"/>
              <w:rPr>
                <w:sz w:val="23"/>
                <w:szCs w:val="23"/>
                <w:color w:val="auto"/>
              </w:rPr>
            </w:pPr>
          </w:p>
        </w:tc>
        <w:tc>
          <w:tcPr>
            <w:tcW w:w="640" w:type="dxa"/>
            <w:vAlign w:val="bottom"/>
            <w:tcBorders>
              <w:bottom w:val="single" w:sz="8" w:color="auto"/>
            </w:tcBorders>
            <w:shd w:val="clear" w:color="auto" w:fill="CFF0FC"/>
          </w:tcPr>
          <w:p>
            <w:pPr>
              <w:spacing w:after="0"/>
              <w:rPr>
                <w:sz w:val="23"/>
                <w:szCs w:val="23"/>
                <w:color w:val="auto"/>
              </w:rPr>
            </w:pP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29,591</w:t>
            </w:r>
          </w:p>
        </w:tc>
      </w:tr>
      <w:tr>
        <w:trPr>
          <w:trHeight w:val="237"/>
        </w:trPr>
        <w:tc>
          <w:tcPr>
            <w:tcW w:w="4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Pr>
          <w:p>
            <w:pPr>
              <w:spacing w:after="0"/>
              <w:rPr>
                <w:sz w:val="20"/>
                <w:szCs w:val="20"/>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137,427</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74,341</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349,415</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182,566</w:t>
            </w:r>
          </w:p>
        </w:tc>
      </w:tr>
      <w:tr>
        <w:trPr>
          <w:trHeight w:val="27"/>
        </w:trPr>
        <w:tc>
          <w:tcPr>
            <w:tcW w:w="446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4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(1,679)</w:t>
            </w:r>
          </w:p>
        </w:tc>
        <w:tc>
          <w:tcPr>
            <w:tcW w:w="1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(1,063)</w:t>
            </w:r>
          </w:p>
        </w:tc>
        <w:tc>
          <w:tcPr>
            <w:tcW w:w="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2,143</w:t>
            </w:r>
          </w:p>
        </w:tc>
        <w:tc>
          <w:tcPr>
            <w:tcW w:w="8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675</w:t>
            </w: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4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3,231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6,753</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1,376</w:t>
            </w: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0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2,921</w:t>
            </w:r>
          </w:p>
        </w:tc>
        <w:tc>
          <w:tcPr>
            <w:tcW w:w="8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214</w:t>
            </w:r>
          </w:p>
        </w:tc>
      </w:tr>
      <w:tr>
        <w:trPr>
          <w:trHeight w:val="23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before provision for income taxes</w:t>
            </w: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2,530</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11,817</w:t>
            </w:r>
          </w:p>
        </w:tc>
        <w:tc>
          <w:tcPr>
            <w:tcW w:w="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2,265</w:t>
            </w: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1,851</w:t>
            </w:r>
          </w:p>
        </w:tc>
        <w:tc>
          <w:tcPr>
            <w:tcW w:w="8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378</w:t>
            </w:r>
          </w:p>
        </w:tc>
      </w:tr>
      <w:tr>
        <w:trPr>
          <w:trHeight w:val="26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2,211</w:t>
            </w:r>
          </w:p>
        </w:tc>
        <w:tc>
          <w:tcPr>
            <w:tcW w:w="12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9,966</w:t>
            </w:r>
          </w:p>
        </w:tc>
        <w:tc>
          <w:tcPr>
            <w:tcW w:w="8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1,887</w:t>
            </w:r>
          </w:p>
        </w:tc>
      </w:tr>
      <w:tr>
        <w:trPr>
          <w:trHeight w:val="21"/>
        </w:trPr>
        <w:tc>
          <w:tcPr>
            <w:tcW w:w="4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200" w:hanging="174"/>
        <w:spacing w:after="0"/>
        <w:tabs>
          <w:tab w:leader="none" w:pos="20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stock-based compensation expense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56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2,369</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5,101</w:t>
            </w:r>
          </w:p>
        </w:tc>
        <w:tc>
          <w:tcPr>
            <w:tcW w:w="8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542</w:t>
            </w: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3,642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7,316</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705</w:t>
            </w:r>
          </w:p>
        </w:tc>
      </w:tr>
      <w:tr>
        <w:trPr>
          <w:trHeight w:val="27"/>
        </w:trPr>
        <w:tc>
          <w:tcPr>
            <w:tcW w:w="4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5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12,488</w:t>
            </w: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1,154</w:t>
            </w:r>
          </w:p>
        </w:tc>
        <w:tc>
          <w:tcPr>
            <w:tcW w:w="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25,554</w:t>
            </w:r>
          </w:p>
        </w:tc>
        <w:tc>
          <w:tcPr>
            <w:tcW w:w="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2,042</w:t>
            </w: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3,296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8,561</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1,338</w:t>
            </w:r>
          </w:p>
        </w:tc>
      </w:tr>
      <w:tr>
        <w:trPr>
          <w:trHeight w:val="27"/>
        </w:trPr>
        <w:tc>
          <w:tcPr>
            <w:tcW w:w="446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44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56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21,795</w:t>
            </w:r>
          </w:p>
        </w:tc>
        <w:tc>
          <w:tcPr>
            <w:tcW w:w="12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2,652</w:t>
            </w:r>
          </w:p>
        </w:tc>
        <w:tc>
          <w:tcPr>
            <w:tcW w:w="8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46,532</w:t>
            </w:r>
          </w:p>
        </w:tc>
        <w:tc>
          <w:tcPr>
            <w:tcW w:w="8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4,627</w:t>
            </w:r>
          </w:p>
        </w:tc>
      </w:tr>
      <w:tr>
        <w:trPr>
          <w:trHeight w:val="20"/>
        </w:trPr>
        <w:tc>
          <w:tcPr>
            <w:tcW w:w="446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5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gridSpan w:val="5"/>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00" w:type="dxa"/>
            <w:vAlign w:val="bottom"/>
          </w:tcPr>
          <w:p>
            <w:pPr>
              <w:spacing w:after="0"/>
              <w:rPr>
                <w:sz w:val="13"/>
                <w:szCs w:val="13"/>
                <w:color w:val="auto"/>
              </w:rPr>
            </w:pPr>
          </w:p>
        </w:tc>
      </w:tr>
      <w:tr>
        <w:trPr>
          <w:trHeight w:val="195"/>
        </w:trPr>
        <w:tc>
          <w:tcPr>
            <w:tcW w:w="43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100" w:type="dxa"/>
            <w:vAlign w:val="bottom"/>
            <w:tcBorders>
              <w:bottom w:val="single" w:sz="8" w:color="auto"/>
            </w:tcBorders>
          </w:tcPr>
          <w:p>
            <w:pPr>
              <w:spacing w:after="0"/>
              <w:rPr>
                <w:sz w:val="16"/>
                <w:szCs w:val="16"/>
                <w:color w:val="auto"/>
              </w:rPr>
            </w:pPr>
          </w:p>
        </w:tc>
      </w:tr>
      <w:tr>
        <w:trPr>
          <w:trHeight w:val="196"/>
        </w:trPr>
        <w:tc>
          <w:tcPr>
            <w:tcW w:w="436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auto"/>
            </w:tcBorders>
            <w:gridSpan w:val="3"/>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7"/>
        </w:trPr>
        <w:tc>
          <w:tcPr>
            <w:tcW w:w="4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a percentage of revenue)</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5"/>
        </w:trPr>
        <w:tc>
          <w:tcPr>
            <w:tcW w:w="54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436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54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4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4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0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4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3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CFF0FC"/>
            </w:tcBorders>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23"/>
                <w:szCs w:val="23"/>
                <w:color w:val="auto"/>
              </w:rPr>
            </w:pPr>
          </w:p>
        </w:tc>
        <w:tc>
          <w:tcPr>
            <w:tcW w:w="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4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436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640" w:type="dxa"/>
            <w:vAlign w:val="bottom"/>
            <w:tcBorders>
              <w:bottom w:val="single" w:sz="8" w:color="CFF0FC"/>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gridSpan w:val="5"/>
            <w:shd w:val="clear" w:color="auto" w:fill="CFF0FC"/>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8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40" w:type="dxa"/>
            <w:vAlign w:val="bottom"/>
            <w:tcBorders>
              <w:bottom w:val="single" w:sz="8" w:color="CFF0FC"/>
            </w:tcBorders>
            <w:shd w:val="clear" w:color="auto" w:fill="CFF0FC"/>
          </w:tcPr>
          <w:p>
            <w:pPr>
              <w:spacing w:after="0"/>
              <w:rPr>
                <w:sz w:val="23"/>
                <w:szCs w:val="23"/>
                <w:color w:val="auto"/>
              </w:rPr>
            </w:pPr>
          </w:p>
        </w:tc>
        <w:tc>
          <w:tcPr>
            <w:tcW w:w="1560" w:type="dxa"/>
            <w:vAlign w:val="bottom"/>
            <w:tcBorders>
              <w:bottom w:val="single" w:sz="8" w:color="CFF0FC"/>
            </w:tcBorders>
            <w:gridSpan w:val="4"/>
            <w:shd w:val="clear" w:color="auto" w:fill="CFF0FC"/>
          </w:tcPr>
          <w:p>
            <w:pPr>
              <w:jc w:val="right"/>
              <w:ind w:right="1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FF0FC"/>
            </w:tcBorders>
            <w:gridSpan w:val="4"/>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CFF0FC"/>
            </w:tcBorders>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3"/>
                <w:szCs w:val="23"/>
                <w:color w:val="auto"/>
              </w:rPr>
            </w:pPr>
          </w:p>
        </w:tc>
        <w:tc>
          <w:tcPr>
            <w:tcW w:w="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before provision for income taxes</w:t>
            </w:r>
          </w:p>
        </w:tc>
        <w:tc>
          <w:tcPr>
            <w:tcW w:w="10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Borders>
              <w:bottom w:val="single" w:sz="8" w:color="CFF0FC"/>
            </w:tcBorders>
            <w:shd w:val="clear" w:color="auto" w:fill="CFF0FC"/>
          </w:tcPr>
          <w:p>
            <w:pPr>
              <w:spacing w:after="0"/>
              <w:rPr>
                <w:sz w:val="23"/>
                <w:szCs w:val="23"/>
                <w:color w:val="auto"/>
              </w:rPr>
            </w:pPr>
          </w:p>
        </w:tc>
        <w:tc>
          <w:tcPr>
            <w:tcW w:w="1560" w:type="dxa"/>
            <w:vAlign w:val="bottom"/>
            <w:tcBorders>
              <w:bottom w:val="single" w:sz="8" w:color="CFF0FC"/>
            </w:tcBorders>
            <w:gridSpan w:val="4"/>
            <w:shd w:val="clear" w:color="auto" w:fill="CFF0FC"/>
          </w:tcPr>
          <w:p>
            <w:pPr>
              <w:jc w:val="right"/>
              <w:ind w:right="1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FF0FC"/>
            </w:tcBorders>
            <w:gridSpan w:val="4"/>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CFF0FC"/>
            </w:tcBorders>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3"/>
                <w:szCs w:val="23"/>
                <w:color w:val="auto"/>
              </w:rPr>
            </w:pPr>
          </w:p>
        </w:tc>
        <w:tc>
          <w:tcPr>
            <w:tcW w:w="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
        </w:trPr>
        <w:tc>
          <w:tcPr>
            <w:tcW w:w="4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17"/>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October 31, 2019 and 2018</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5"/>
        </w:trPr>
        <w:tc>
          <w:tcPr>
            <w:tcW w:w="4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100" w:type="dxa"/>
            <w:vAlign w:val="bottom"/>
            <w:tcBorders>
              <w:bottom w:val="single" w:sz="8" w:color="auto"/>
            </w:tcBorders>
          </w:tcPr>
          <w:p>
            <w:pPr>
              <w:spacing w:after="0"/>
              <w:rPr>
                <w:sz w:val="19"/>
                <w:szCs w:val="19"/>
                <w:color w:val="auto"/>
              </w:rPr>
            </w:pPr>
          </w:p>
        </w:tc>
      </w:tr>
      <w:tr>
        <w:trPr>
          <w:trHeight w:val="196"/>
        </w:trPr>
        <w:tc>
          <w:tcPr>
            <w:tcW w:w="4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7"/>
        </w:trPr>
        <w:tc>
          <w:tcPr>
            <w:tcW w:w="4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5"/>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8"/>
        </w:trPr>
        <w:tc>
          <w:tcPr>
            <w:tcW w:w="5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56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166,593</w:t>
            </w: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90,121</w:t>
            </w: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7"/>
        </w:trPr>
        <w:tc>
          <w:tcPr>
            <w:tcW w:w="436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r>
    </w:tbl>
    <w:p>
      <w:pPr>
        <w:spacing w:after="0" w:line="15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Revenue for the three months ended October 31, 2019 increased by $76.5 million, or 85%, compared to the three months ended October 31, 2018.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increase was primarily due to subscription services provided to new customers, which accounted for approximately 61% of the increase, and to subscription services provided to existing customers, which accounted for approximately 39% of the increase.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66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37"/>
        </w:trPr>
        <w:tc>
          <w:tcPr>
            <w:tcW w:w="6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5"/>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30,845</w:t>
            </w:r>
          </w:p>
        </w:tc>
        <w:tc>
          <w:tcPr>
            <w:tcW w:w="820" w:type="dxa"/>
            <w:vAlign w:val="bottom"/>
            <w:tcBorders>
              <w:bottom w:val="single" w:sz="8" w:color="CFF0FC"/>
            </w:tcBorders>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16,843</w:t>
            </w:r>
          </w:p>
        </w:tc>
        <w:tc>
          <w:tcPr>
            <w:tcW w:w="1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135,748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73,278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r>
      <w:tr>
        <w:trPr>
          <w:trHeight w:val="27"/>
        </w:trPr>
        <w:tc>
          <w:tcPr>
            <w:tcW w:w="666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r>
    </w:tbl>
    <w:p>
      <w:pPr>
        <w:spacing w:after="0" w:line="15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 xml:space="preserve">Cost of revenue for the three months ended October 31, 2019 increased by $14.0 million, or 83%, compared to the three months ended October 31, 2018. The increase in cost of revenue was primarily due to an increase of $7.9 million in costs related to our co-located data centers, third-party cloud hosting, and integrated third-party PSTN services to support the increase in customers and expanded use of our video-first communications platform by existing customers, and an increase of $4.7 million in personnel-related expenses mainly driven by increased headcount, which includes a $2.1 million </w:t>
      </w:r>
      <w:r>
        <w:rPr>
          <w:rFonts w:ascii="Times New Roman" w:cs="Times New Roman" w:eastAsia="Times New Roman" w:hAnsi="Times New Roman"/>
          <w:sz w:val="18"/>
          <w:szCs w:val="18"/>
          <w:color w:val="000000"/>
        </w:rPr>
        <w:t>increase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stock-based compensation expense</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180" w:type="dxa"/>
            <w:vAlign w:val="bottom"/>
            <w:tcBorders>
              <w:bottom w:val="single" w:sz="8" w:color="auto"/>
            </w:tcBorders>
          </w:tcPr>
          <w:p>
            <w:pPr>
              <w:spacing w:after="0"/>
              <w:rPr>
                <w:sz w:val="16"/>
                <w:szCs w:val="16"/>
                <w:color w:val="auto"/>
              </w:rPr>
            </w:pPr>
          </w:p>
        </w:tc>
      </w:tr>
      <w:tr>
        <w:trPr>
          <w:trHeight w:val="196"/>
        </w:trPr>
        <w:tc>
          <w:tcPr>
            <w:tcW w:w="6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7"/>
        </w:trPr>
        <w:tc>
          <w:tcPr>
            <w:tcW w:w="6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8"/>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8"/>
                <w:szCs w:val="18"/>
                <w:color w:val="auto"/>
              </w:rPr>
              <w:t>17,573</w:t>
            </w: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8,893</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7"/>
        </w:trPr>
        <w:tc>
          <w:tcPr>
            <w:tcW w:w="67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r>
    </w:tbl>
    <w:p>
      <w:pPr>
        <w:spacing w:after="0" w:line="15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 xml:space="preserve">Research and development expense for the three months ended October 31, 2019 increased by $8.7 million, or 98%, compared to the three months ended October 31, 2018, as we continued to add new features and functionalities to our video-first communications platform. </w:t>
      </w:r>
      <w:r>
        <w:rPr>
          <w:rFonts w:ascii="Times New Roman" w:cs="Times New Roman" w:eastAsia="Times New Roman" w:hAnsi="Times New Roman"/>
          <w:sz w:val="18"/>
          <w:szCs w:val="18"/>
          <w:color w:val="000000"/>
        </w:rPr>
        <w:t>The increase was primarily due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to an increase in personnel-related expenses of </w:t>
      </w:r>
      <w:r>
        <w:rPr>
          <w:rFonts w:ascii="Times New Roman" w:cs="Times New Roman" w:eastAsia="Times New Roman" w:hAnsi="Times New Roman"/>
          <w:sz w:val="18"/>
          <w:szCs w:val="18"/>
          <w:color w:val="231F20"/>
        </w:rPr>
        <w:t>$9.1 million</w:t>
      </w:r>
      <w:r>
        <w:rPr>
          <w:rFonts w:ascii="Times New Roman" w:cs="Times New Roman" w:eastAsia="Times New Roman" w:hAnsi="Times New Roman"/>
          <w:sz w:val="18"/>
          <w:szCs w:val="18"/>
          <w:color w:val="000000"/>
        </w:rPr>
        <w:t xml:space="preserve"> mainly driven by increased headcount, which includes a </w:t>
      </w:r>
      <w:r>
        <w:rPr>
          <w:rFonts w:ascii="Times New Roman" w:cs="Times New Roman" w:eastAsia="Times New Roman" w:hAnsi="Times New Roman"/>
          <w:sz w:val="18"/>
          <w:szCs w:val="18"/>
          <w:color w:val="231F20"/>
        </w:rPr>
        <w:t>$3.3 million</w:t>
      </w:r>
      <w:r>
        <w:rPr>
          <w:rFonts w:ascii="Times New Roman" w:cs="Times New Roman" w:eastAsia="Times New Roman" w:hAnsi="Times New Roman"/>
          <w:sz w:val="18"/>
          <w:szCs w:val="18"/>
          <w:color w:val="000000"/>
        </w:rPr>
        <w:t xml:space="preserve"> increase in stock-based compensation expense</w:t>
      </w:r>
      <w:r>
        <w:rPr>
          <w:rFonts w:ascii="Times New Roman" w:cs="Times New Roman" w:eastAsia="Times New Roman" w:hAnsi="Times New Roman"/>
          <w:sz w:val="18"/>
          <w:szCs w:val="18"/>
          <w:color w:val="231F20"/>
        </w:rPr>
        <w: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180" w:type="dxa"/>
            <w:vAlign w:val="bottom"/>
            <w:tcBorders>
              <w:bottom w:val="single" w:sz="8" w:color="auto"/>
            </w:tcBorders>
          </w:tcPr>
          <w:p>
            <w:pPr>
              <w:spacing w:after="0"/>
              <w:rPr>
                <w:sz w:val="16"/>
                <w:szCs w:val="16"/>
                <w:color w:val="auto"/>
              </w:rPr>
            </w:pPr>
          </w:p>
        </w:tc>
      </w:tr>
      <w:tr>
        <w:trPr>
          <w:trHeight w:val="196"/>
        </w:trPr>
        <w:tc>
          <w:tcPr>
            <w:tcW w:w="6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7"/>
        </w:trPr>
        <w:tc>
          <w:tcPr>
            <w:tcW w:w="6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8"/>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8"/>
                <w:szCs w:val="18"/>
                <w:color w:val="auto"/>
              </w:rPr>
              <w:t>96,048</w:t>
            </w: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53,454</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7"/>
        </w:trPr>
        <w:tc>
          <w:tcPr>
            <w:tcW w:w="67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r>
    </w:tbl>
    <w:p>
      <w:pPr>
        <w:spacing w:after="0" w:line="1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 xml:space="preserve">Sales and marketing expense for the three months ended October 31, 2019 increased by $42.6 million, or 80%, compared to the three months ended October 31, 2018. The increase in sales and marketing expense was primarily due to an increase in personnel-related expenses of $28.8 million mainly driven by increased headcount to support the growth in our sales force, which includes a $11.3 million </w:t>
      </w:r>
      <w:r>
        <w:rPr>
          <w:rFonts w:ascii="Times New Roman" w:cs="Times New Roman" w:eastAsia="Times New Roman" w:hAnsi="Times New Roman"/>
          <w:sz w:val="18"/>
          <w:szCs w:val="18"/>
          <w:color w:val="000000"/>
        </w:rPr>
        <w:t>increase in stock-based compensation expense, of which</w:t>
      </w:r>
      <w:r>
        <w:rPr>
          <w:rFonts w:ascii="Times New Roman" w:cs="Times New Roman" w:eastAsia="Times New Roman" w:hAnsi="Times New Roman"/>
          <w:sz w:val="18"/>
          <w:szCs w:val="18"/>
          <w:color w:val="231F20"/>
        </w:rPr>
        <w:t xml:space="preserve"> $6.2 million </w:t>
      </w:r>
      <w:r>
        <w:rPr>
          <w:rFonts w:ascii="Times New Roman" w:cs="Times New Roman" w:eastAsia="Times New Roman" w:hAnsi="Times New Roman"/>
          <w:sz w:val="18"/>
          <w:szCs w:val="18"/>
          <w:color w:val="000000"/>
        </w:rPr>
        <w:t>is related to the ESPP,</w:t>
      </w:r>
      <w:r>
        <w:rPr>
          <w:rFonts w:ascii="Times New Roman" w:cs="Times New Roman" w:eastAsia="Times New Roman" w:hAnsi="Times New Roman"/>
          <w:sz w:val="18"/>
          <w:szCs w:val="18"/>
          <w:color w:val="231F20"/>
        </w:rPr>
        <w:t xml:space="preserve"> and a $4.5 million increase in sales commissions driven by our increase in revenue</w:t>
      </w:r>
      <w:r>
        <w:rPr>
          <w:rFonts w:ascii="Times New Roman" w:cs="Times New Roman" w:eastAsia="Times New Roman" w:hAnsi="Times New Roman"/>
          <w:sz w:val="18"/>
          <w:szCs w:val="18"/>
          <w:color w:val="000000"/>
        </w:rPr>
        <w:t>. The remaining increase was primarily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due to </w:t>
      </w:r>
      <w:r>
        <w:rPr>
          <w:rFonts w:ascii="Times New Roman" w:cs="Times New Roman" w:eastAsia="Times New Roman" w:hAnsi="Times New Roman"/>
          <w:sz w:val="18"/>
          <w:szCs w:val="18"/>
          <w:color w:val="231F20"/>
        </w:rPr>
        <w:t>an increase in marketing and sales event-related costs of $7.3 million as a result of increased costs related to digital and awareness programs, and an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increase in allocated overhead of $4.5 million.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180" w:type="dxa"/>
            <w:vAlign w:val="bottom"/>
            <w:tcBorders>
              <w:bottom w:val="single" w:sz="8" w:color="auto"/>
            </w:tcBorders>
          </w:tcPr>
          <w:p>
            <w:pPr>
              <w:spacing w:after="0"/>
              <w:rPr>
                <w:sz w:val="16"/>
                <w:szCs w:val="16"/>
                <w:color w:val="auto"/>
              </w:rPr>
            </w:pPr>
          </w:p>
        </w:tc>
      </w:tr>
      <w:tr>
        <w:trPr>
          <w:trHeight w:val="196"/>
        </w:trPr>
        <w:tc>
          <w:tcPr>
            <w:tcW w:w="6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7"/>
        </w:trPr>
        <w:tc>
          <w:tcPr>
            <w:tcW w:w="6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8"/>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8"/>
                <w:szCs w:val="18"/>
                <w:color w:val="auto"/>
              </w:rPr>
              <w:t>23,806</w:t>
            </w: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11,994</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7"/>
        </w:trPr>
        <w:tc>
          <w:tcPr>
            <w:tcW w:w="67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r>
    </w:tbl>
    <w:p>
      <w:pPr>
        <w:spacing w:after="0" w:line="15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 xml:space="preserve">General and administrative expense for the three months ended October 31, 2019 increased by $11.8 million, or 98%, compared to the three months ended October 31, 2018. The increase in general and administrative expense was primarily </w:t>
      </w:r>
      <w:r>
        <w:rPr>
          <w:rFonts w:ascii="Times New Roman" w:cs="Times New Roman" w:eastAsia="Times New Roman" w:hAnsi="Times New Roman"/>
          <w:sz w:val="18"/>
          <w:szCs w:val="18"/>
          <w:color w:val="000000"/>
        </w:rPr>
        <w:t>due to an increase in personnel-related expenses of</w:t>
      </w:r>
      <w:r>
        <w:rPr>
          <w:rFonts w:ascii="Times New Roman" w:cs="Times New Roman" w:eastAsia="Times New Roman" w:hAnsi="Times New Roman"/>
          <w:sz w:val="18"/>
          <w:szCs w:val="18"/>
          <w:color w:val="231F20"/>
        </w:rPr>
        <w:t xml:space="preserve"> $6.6 million </w:t>
      </w:r>
      <w:r>
        <w:rPr>
          <w:rFonts w:ascii="Times New Roman" w:cs="Times New Roman" w:eastAsia="Times New Roman" w:hAnsi="Times New Roman"/>
          <w:sz w:val="18"/>
          <w:szCs w:val="18"/>
          <w:color w:val="000000"/>
        </w:rPr>
        <w:t xml:space="preserve">mainly driven by increased headcount, which includes a </w:t>
      </w:r>
      <w:r>
        <w:rPr>
          <w:rFonts w:ascii="Times New Roman" w:cs="Times New Roman" w:eastAsia="Times New Roman" w:hAnsi="Times New Roman"/>
          <w:sz w:val="18"/>
          <w:szCs w:val="18"/>
          <w:color w:val="231F20"/>
        </w:rPr>
        <w:t>$2.5 million</w:t>
      </w:r>
      <w:r>
        <w:rPr>
          <w:rFonts w:ascii="Times New Roman" w:cs="Times New Roman" w:eastAsia="Times New Roman" w:hAnsi="Times New Roman"/>
          <w:sz w:val="18"/>
          <w:szCs w:val="18"/>
          <w:color w:val="000000"/>
        </w:rPr>
        <w:t xml:space="preserve"> increase in stock-based compensation expense. </w:t>
      </w:r>
      <w:r>
        <w:rPr>
          <w:rFonts w:ascii="Times New Roman" w:cs="Times New Roman" w:eastAsia="Times New Roman" w:hAnsi="Times New Roman"/>
          <w:sz w:val="18"/>
          <w:szCs w:val="18"/>
          <w:color w:val="231F20"/>
        </w:rPr>
        <w:t>The remaining increase was primarily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due to an increase in costs from professional services of $3.3 million, comprised primarily of legal and accounting fees.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180" w:type="dxa"/>
            <w:vAlign w:val="bottom"/>
            <w:tcBorders>
              <w:bottom w:val="single" w:sz="8" w:color="auto"/>
            </w:tcBorders>
          </w:tcPr>
          <w:p>
            <w:pPr>
              <w:spacing w:after="0"/>
              <w:rPr>
                <w:sz w:val="16"/>
                <w:szCs w:val="16"/>
                <w:color w:val="auto"/>
              </w:rPr>
            </w:pPr>
          </w:p>
        </w:tc>
      </w:tr>
      <w:tr>
        <w:trPr>
          <w:trHeight w:val="196"/>
        </w:trPr>
        <w:tc>
          <w:tcPr>
            <w:tcW w:w="678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7"/>
        </w:trPr>
        <w:tc>
          <w:tcPr>
            <w:tcW w:w="6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8"/>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w w:val="93"/>
              </w:rPr>
              <w:t>3,231</w:t>
            </w: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577 %</w:t>
            </w:r>
          </w:p>
        </w:tc>
      </w:tr>
      <w:tr>
        <w:trPr>
          <w:trHeight w:val="27"/>
        </w:trPr>
        <w:tc>
          <w:tcPr>
            <w:tcW w:w="678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r>
    </w:tbl>
    <w:p>
      <w:pPr>
        <w:spacing w:after="0" w:line="15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231F20"/>
        </w:rPr>
        <w:t>Interest income, net for the three months ended October 31, 2019 increased by $2.8 million, or 577%, compared to the three months ended October 31, 2018. The increase was primarily attributable to an increase in interest income earned from our investments in marketable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180" w:type="dxa"/>
            <w:vAlign w:val="bottom"/>
            <w:tcBorders>
              <w:bottom w:val="single" w:sz="8" w:color="auto"/>
            </w:tcBorders>
          </w:tcPr>
          <w:p>
            <w:pPr>
              <w:spacing w:after="0"/>
              <w:rPr>
                <w:sz w:val="16"/>
                <w:szCs w:val="16"/>
                <w:color w:val="auto"/>
              </w:rPr>
            </w:pPr>
          </w:p>
        </w:tc>
      </w:tr>
      <w:tr>
        <w:trPr>
          <w:trHeight w:val="196"/>
        </w:trPr>
        <w:tc>
          <w:tcPr>
            <w:tcW w:w="67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7"/>
        </w:trPr>
        <w:tc>
          <w:tcPr>
            <w:tcW w:w="6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8"/>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664 %</w:t>
            </w:r>
          </w:p>
        </w:tc>
      </w:tr>
      <w:tr>
        <w:trPr>
          <w:trHeight w:val="27"/>
        </w:trPr>
        <w:tc>
          <w:tcPr>
            <w:tcW w:w="678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31F20"/>
        </w:rPr>
        <w:t>Other income, net for the three months ended October 31, 2019 increased by $0.9 million, or 664%, compared to the three months ended October 31, 2018. The increase was primarily due to net accretion on our investments in marketable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180" w:type="dxa"/>
            <w:vAlign w:val="bottom"/>
            <w:tcBorders>
              <w:bottom w:val="single" w:sz="8" w:color="auto"/>
            </w:tcBorders>
          </w:tcPr>
          <w:p>
            <w:pPr>
              <w:spacing w:after="0"/>
              <w:rPr>
                <w:sz w:val="16"/>
                <w:szCs w:val="16"/>
                <w:color w:val="auto"/>
              </w:rPr>
            </w:pPr>
          </w:p>
        </w:tc>
      </w:tr>
      <w:tr>
        <w:trPr>
          <w:trHeight w:val="196"/>
        </w:trPr>
        <w:tc>
          <w:tcPr>
            <w:tcW w:w="66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7"/>
        </w:trPr>
        <w:tc>
          <w:tcPr>
            <w:tcW w:w="6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8"/>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7"/>
        </w:trPr>
        <w:tc>
          <w:tcPr>
            <w:tcW w:w="66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r>
    </w:tbl>
    <w:p>
      <w:pPr>
        <w:spacing w:after="0" w:line="15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31F20"/>
        </w:rPr>
        <w:t xml:space="preserve">Provision for income taxes for the three months ended October 31, 2019 increased </w:t>
      </w:r>
      <w:r>
        <w:rPr>
          <w:rFonts w:ascii="Times New Roman" w:cs="Times New Roman" w:eastAsia="Times New Roman" w:hAnsi="Times New Roman"/>
          <w:sz w:val="18"/>
          <w:szCs w:val="18"/>
          <w:color w:val="000000"/>
        </w:rPr>
        <w:t>by</w:t>
      </w:r>
      <w:r>
        <w:rPr>
          <w:rFonts w:ascii="Times New Roman" w:cs="Times New Roman" w:eastAsia="Times New Roman" w:hAnsi="Times New Roman"/>
          <w:sz w:val="18"/>
          <w:szCs w:val="18"/>
          <w:color w:val="231F20"/>
        </w:rPr>
        <w:t xml:space="preserve"> $0.2 million</w:t>
      </w:r>
      <w:r>
        <w:rPr>
          <w:rFonts w:ascii="Times New Roman" w:cs="Times New Roman" w:eastAsia="Times New Roman" w:hAnsi="Times New Roman"/>
          <w:sz w:val="18"/>
          <w:szCs w:val="18"/>
          <w:color w:val="000000"/>
        </w:rPr>
        <w:t>, or 128%, compared to the three months ended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October 31, 2018. The change in provision for income taxes was </w:t>
      </w:r>
      <w:r>
        <w:rPr>
          <w:rFonts w:ascii="Times New Roman" w:cs="Times New Roman" w:eastAsia="Times New Roman" w:hAnsi="Times New Roman"/>
          <w:sz w:val="18"/>
          <w:szCs w:val="18"/>
          <w:color w:val="231F20"/>
        </w:rPr>
        <w:t>primarily due to international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October 31, 2019 and 2018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00" w:type="dxa"/>
            <w:vAlign w:val="bottom"/>
            <w:tcBorders>
              <w:bottom w:val="single" w:sz="8" w:color="auto"/>
            </w:tcBorders>
          </w:tcPr>
          <w:p>
            <w:pPr>
              <w:spacing w:after="0"/>
              <w:rPr>
                <w:sz w:val="16"/>
                <w:szCs w:val="16"/>
                <w:color w:val="auto"/>
              </w:rPr>
            </w:pPr>
          </w:p>
        </w:tc>
      </w:tr>
      <w:tr>
        <w:trPr>
          <w:trHeight w:val="196"/>
        </w:trPr>
        <w:tc>
          <w:tcPr>
            <w:tcW w:w="6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7"/>
        </w:trPr>
        <w:tc>
          <w:tcPr>
            <w:tcW w:w="6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8"/>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434,407</w:t>
            </w:r>
          </w:p>
        </w:tc>
        <w:tc>
          <w:tcPr>
            <w:tcW w:w="72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224,717</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7"/>
        </w:trPr>
        <w:tc>
          <w:tcPr>
            <w:tcW w:w="67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r>
    </w:tbl>
    <w:p>
      <w:pPr>
        <w:spacing w:after="0" w:line="15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Revenue for the nine months ended October 31, 2019 increased by $209.7 million, or 93%, compared to the nine months ended October 31, 2018.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increase was primarily due to subscription services provided to new customers, which accounted for approximately 45% of the increase, and to subscription services provided to existing customers, which accounted for approximately 55% of the increase.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66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37"/>
        </w:trPr>
        <w:tc>
          <w:tcPr>
            <w:tcW w:w="6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5"/>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82,849</w:t>
            </w:r>
          </w:p>
        </w:tc>
        <w:tc>
          <w:tcPr>
            <w:tcW w:w="800" w:type="dxa"/>
            <w:vAlign w:val="bottom"/>
            <w:tcBorders>
              <w:bottom w:val="single" w:sz="8" w:color="CFF0FC"/>
            </w:tcBorders>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41,476</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351,558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183,241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r>
      <w:tr>
        <w:trPr>
          <w:trHeight w:val="27"/>
        </w:trPr>
        <w:tc>
          <w:tcPr>
            <w:tcW w:w="666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r>
    </w:tbl>
    <w:p>
      <w:pPr>
        <w:spacing w:after="0" w:line="15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Cost of revenue for the nine months ended October 31, 2019 increased by $41.4 million, or 100%, compared to the nine months ended October 31, 2018. The increase in cost of revenue was primarily due to an increase of $24.2 million in costs related to our co-located data centers, third-party cloud hosting, and integrated third-party PSTN services to support the increase in customers and expanded use of our video-first communications platform by existing customers, an increase of $12.9 million in personnel-related expenses mainly driven by increased headcount, which includes a $4.6 million increase in stock-based compensation expense, and an increase in allocated overhead of $3.0 million.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00" w:type="dxa"/>
            <w:vAlign w:val="bottom"/>
            <w:tcBorders>
              <w:bottom w:val="single" w:sz="8" w:color="auto"/>
            </w:tcBorders>
          </w:tcPr>
          <w:p>
            <w:pPr>
              <w:spacing w:after="0"/>
              <w:rPr>
                <w:sz w:val="16"/>
                <w:szCs w:val="16"/>
                <w:color w:val="auto"/>
              </w:rPr>
            </w:pPr>
          </w:p>
        </w:tc>
      </w:tr>
      <w:tr>
        <w:trPr>
          <w:trHeight w:val="196"/>
        </w:trPr>
        <w:tc>
          <w:tcPr>
            <w:tcW w:w="6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7"/>
        </w:trPr>
        <w:tc>
          <w:tcPr>
            <w:tcW w:w="6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8"/>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46,410</w:t>
            </w:r>
          </w:p>
        </w:tc>
        <w:tc>
          <w:tcPr>
            <w:tcW w:w="72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22,206</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7"/>
        </w:trPr>
        <w:tc>
          <w:tcPr>
            <w:tcW w:w="67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r>
    </w:tbl>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Research and development expense for the nine months ended October 31, 2019 increased by $24.2 million, or 109%, compared to the nine months ended October 31, 2018, as we continued to add new features and functionalities to our video-first communications platform. </w:t>
      </w:r>
      <w:r>
        <w:rPr>
          <w:rFonts w:ascii="Times New Roman" w:cs="Times New Roman" w:eastAsia="Times New Roman" w:hAnsi="Times New Roman"/>
          <w:sz w:val="18"/>
          <w:szCs w:val="18"/>
          <w:color w:val="000000"/>
        </w:rPr>
        <w:t>The increase was primarily due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to an increase in personnel-related expenses of </w:t>
      </w:r>
      <w:r>
        <w:rPr>
          <w:rFonts w:ascii="Times New Roman" w:cs="Times New Roman" w:eastAsia="Times New Roman" w:hAnsi="Times New Roman"/>
          <w:sz w:val="18"/>
          <w:szCs w:val="18"/>
          <w:color w:val="231F20"/>
        </w:rPr>
        <w:t>$24.5 million</w:t>
      </w:r>
      <w:r>
        <w:rPr>
          <w:rFonts w:ascii="Times New Roman" w:cs="Times New Roman" w:eastAsia="Times New Roman" w:hAnsi="Times New Roman"/>
          <w:sz w:val="18"/>
          <w:szCs w:val="18"/>
          <w:color w:val="000000"/>
        </w:rPr>
        <w:t xml:space="preserve"> mainly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driven by increased headcount, which includes a </w:t>
      </w:r>
      <w:r>
        <w:rPr>
          <w:rFonts w:ascii="Times New Roman" w:cs="Times New Roman" w:eastAsia="Times New Roman" w:hAnsi="Times New Roman"/>
          <w:sz w:val="18"/>
          <w:szCs w:val="18"/>
          <w:color w:val="231F20"/>
        </w:rPr>
        <w:t>$6.6 million</w:t>
      </w:r>
      <w:r>
        <w:rPr>
          <w:rFonts w:ascii="Times New Roman" w:cs="Times New Roman" w:eastAsia="Times New Roman" w:hAnsi="Times New Roman"/>
          <w:sz w:val="18"/>
          <w:szCs w:val="18"/>
          <w:color w:val="auto"/>
        </w:rPr>
        <w:t xml:space="preserve"> increase in stock-based compensation expense</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partially offset by an increase in capitalized software development costs of </w:t>
      </w:r>
      <w:r>
        <w:rPr>
          <w:rFonts w:ascii="Times New Roman" w:cs="Times New Roman" w:eastAsia="Times New Roman" w:hAnsi="Times New Roman"/>
          <w:sz w:val="18"/>
          <w:szCs w:val="18"/>
          <w:color w:val="231F20"/>
        </w:rPr>
        <w:t>$2.1 million.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00" w:type="dxa"/>
            <w:vAlign w:val="bottom"/>
            <w:tcBorders>
              <w:bottom w:val="single" w:sz="8" w:color="auto"/>
            </w:tcBorders>
          </w:tcPr>
          <w:p>
            <w:pPr>
              <w:spacing w:after="0"/>
              <w:rPr>
                <w:sz w:val="16"/>
                <w:szCs w:val="16"/>
                <w:color w:val="auto"/>
              </w:rPr>
            </w:pPr>
          </w:p>
        </w:tc>
      </w:tr>
      <w:tr>
        <w:trPr>
          <w:trHeight w:val="196"/>
        </w:trPr>
        <w:tc>
          <w:tcPr>
            <w:tcW w:w="6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7"/>
        </w:trPr>
        <w:tc>
          <w:tcPr>
            <w:tcW w:w="6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8"/>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239,741</w:t>
            </w:r>
          </w:p>
        </w:tc>
        <w:tc>
          <w:tcPr>
            <w:tcW w:w="72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130,769</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7"/>
        </w:trPr>
        <w:tc>
          <w:tcPr>
            <w:tcW w:w="67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r>
    </w:tbl>
    <w:p>
      <w:pPr>
        <w:spacing w:after="0" w:line="1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 xml:space="preserve">Sales and marketing expense for the nine months ended October 31, 2019 increased by $109.0 million, or 83%, compared to the nine months ended October 31, 2018. The increase in sales and marketing expense was primarily due to an increase in personnel-related expenses of $69.6 million mainly driven by increased headcount to support the growth in our sales force, which includes </w:t>
      </w:r>
      <w:r>
        <w:rPr>
          <w:rFonts w:ascii="Times New Roman" w:cs="Times New Roman" w:eastAsia="Times New Roman" w:hAnsi="Times New Roman"/>
          <w:sz w:val="18"/>
          <w:szCs w:val="18"/>
          <w:color w:val="000000"/>
        </w:rPr>
        <w:t>a</w:t>
      </w:r>
      <w:r>
        <w:rPr>
          <w:rFonts w:ascii="Times New Roman" w:cs="Times New Roman" w:eastAsia="Times New Roman" w:hAnsi="Times New Roman"/>
          <w:sz w:val="18"/>
          <w:szCs w:val="18"/>
          <w:color w:val="231F20"/>
        </w:rPr>
        <w:t xml:space="preserve"> $23.5 million </w:t>
      </w:r>
      <w:r>
        <w:rPr>
          <w:rFonts w:ascii="Times New Roman" w:cs="Times New Roman" w:eastAsia="Times New Roman" w:hAnsi="Times New Roman"/>
          <w:sz w:val="18"/>
          <w:szCs w:val="18"/>
          <w:color w:val="000000"/>
        </w:rPr>
        <w:t>increase in stock-based compensation expense, of which</w:t>
      </w:r>
      <w:r>
        <w:rPr>
          <w:rFonts w:ascii="Times New Roman" w:cs="Times New Roman" w:eastAsia="Times New Roman" w:hAnsi="Times New Roman"/>
          <w:sz w:val="18"/>
          <w:szCs w:val="18"/>
          <w:color w:val="231F20"/>
        </w:rPr>
        <w:t xml:space="preserve"> $12.9 million </w:t>
      </w:r>
      <w:r>
        <w:rPr>
          <w:rFonts w:ascii="Times New Roman" w:cs="Times New Roman" w:eastAsia="Times New Roman" w:hAnsi="Times New Roman"/>
          <w:sz w:val="18"/>
          <w:szCs w:val="18"/>
          <w:color w:val="000000"/>
        </w:rPr>
        <w:t>is related to the ESPP,</w:t>
      </w:r>
      <w:r>
        <w:rPr>
          <w:rFonts w:ascii="Times New Roman" w:cs="Times New Roman" w:eastAsia="Times New Roman" w:hAnsi="Times New Roman"/>
          <w:sz w:val="18"/>
          <w:szCs w:val="18"/>
          <w:color w:val="231F20"/>
        </w:rPr>
        <w:t xml:space="preserve"> and a $11.6 million increase in sales commissions driven by our increase in revenue</w:t>
      </w:r>
      <w:r>
        <w:rPr>
          <w:rFonts w:ascii="Times New Roman" w:cs="Times New Roman" w:eastAsia="Times New Roman" w:hAnsi="Times New Roman"/>
          <w:sz w:val="18"/>
          <w:szCs w:val="18"/>
          <w:color w:val="000000"/>
        </w:rPr>
        <w:t>. The remaining increase was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primarily due to </w:t>
      </w:r>
      <w:r>
        <w:rPr>
          <w:rFonts w:ascii="Times New Roman" w:cs="Times New Roman" w:eastAsia="Times New Roman" w:hAnsi="Times New Roman"/>
          <w:sz w:val="18"/>
          <w:szCs w:val="18"/>
          <w:color w:val="231F20"/>
        </w:rPr>
        <w:t>an increase in marketing and sales event-related costs of $21.7 million as a result of increased costs related to digital and awareness programs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and tradeshows, an increase in allocated overhead of $12.6 million, and an increase in expensed equipment and software of $2.7 million.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00" w:type="dxa"/>
            <w:vAlign w:val="bottom"/>
            <w:tcBorders>
              <w:bottom w:val="single" w:sz="8" w:color="auto"/>
            </w:tcBorders>
          </w:tcPr>
          <w:p>
            <w:pPr>
              <w:spacing w:after="0"/>
              <w:rPr>
                <w:sz w:val="16"/>
                <w:szCs w:val="16"/>
                <w:color w:val="auto"/>
              </w:rPr>
            </w:pPr>
          </w:p>
        </w:tc>
      </w:tr>
      <w:tr>
        <w:trPr>
          <w:trHeight w:val="196"/>
        </w:trPr>
        <w:tc>
          <w:tcPr>
            <w:tcW w:w="6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7"/>
        </w:trPr>
        <w:tc>
          <w:tcPr>
            <w:tcW w:w="6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8"/>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63,264</w:t>
            </w:r>
          </w:p>
        </w:tc>
        <w:tc>
          <w:tcPr>
            <w:tcW w:w="72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29,591</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7"/>
        </w:trPr>
        <w:tc>
          <w:tcPr>
            <w:tcW w:w="67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r>
    </w:tbl>
    <w:p>
      <w:pPr>
        <w:spacing w:after="0" w:line="15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 xml:space="preserve">General and administrative expense for the nine months ended October 31, 2019 increased by $33.7 million, or 114%, compared to the nine months ended October 31, 2018. The increase in general and administrative expense was primarily </w:t>
      </w:r>
      <w:r>
        <w:rPr>
          <w:rFonts w:ascii="Times New Roman" w:cs="Times New Roman" w:eastAsia="Times New Roman" w:hAnsi="Times New Roman"/>
          <w:sz w:val="18"/>
          <w:szCs w:val="18"/>
          <w:color w:val="000000"/>
        </w:rPr>
        <w:t>due to an increase in personnel-related expenses of</w:t>
      </w:r>
      <w:r>
        <w:rPr>
          <w:rFonts w:ascii="Times New Roman" w:cs="Times New Roman" w:eastAsia="Times New Roman" w:hAnsi="Times New Roman"/>
          <w:sz w:val="18"/>
          <w:szCs w:val="18"/>
          <w:color w:val="231F20"/>
        </w:rPr>
        <w:t xml:space="preserve"> $18.4 million </w:t>
      </w:r>
      <w:r>
        <w:rPr>
          <w:rFonts w:ascii="Times New Roman" w:cs="Times New Roman" w:eastAsia="Times New Roman" w:hAnsi="Times New Roman"/>
          <w:sz w:val="18"/>
          <w:szCs w:val="18"/>
          <w:color w:val="000000"/>
        </w:rPr>
        <w:t xml:space="preserve">mainly driven by increased headcount, which includes a </w:t>
      </w:r>
      <w:r>
        <w:rPr>
          <w:rFonts w:ascii="Times New Roman" w:cs="Times New Roman" w:eastAsia="Times New Roman" w:hAnsi="Times New Roman"/>
          <w:sz w:val="18"/>
          <w:szCs w:val="18"/>
          <w:color w:val="231F20"/>
        </w:rPr>
        <w:t>$7.2 million</w:t>
      </w:r>
      <w:r>
        <w:rPr>
          <w:rFonts w:ascii="Times New Roman" w:cs="Times New Roman" w:eastAsia="Times New Roman" w:hAnsi="Times New Roman"/>
          <w:sz w:val="18"/>
          <w:szCs w:val="18"/>
          <w:color w:val="000000"/>
        </w:rPr>
        <w:t xml:space="preserve"> increase in stock-based compensation expense, of which </w:t>
      </w:r>
      <w:r>
        <w:rPr>
          <w:rFonts w:ascii="Times New Roman" w:cs="Times New Roman" w:eastAsia="Times New Roman" w:hAnsi="Times New Roman"/>
          <w:sz w:val="18"/>
          <w:szCs w:val="18"/>
          <w:color w:val="231F20"/>
        </w:rPr>
        <w:t>$2.1 million</w:t>
      </w:r>
      <w:r>
        <w:rPr>
          <w:rFonts w:ascii="Times New Roman" w:cs="Times New Roman" w:eastAsia="Times New Roman" w:hAnsi="Times New Roman"/>
          <w:sz w:val="18"/>
          <w:szCs w:val="18"/>
          <w:color w:val="000000"/>
        </w:rPr>
        <w:t xml:space="preserve"> is related to the ESPP. </w:t>
      </w:r>
      <w:r>
        <w:rPr>
          <w:rFonts w:ascii="Times New Roman" w:cs="Times New Roman" w:eastAsia="Times New Roman" w:hAnsi="Times New Roman"/>
          <w:sz w:val="18"/>
          <w:szCs w:val="18"/>
          <w:color w:val="231F20"/>
        </w:rPr>
        <w:t>The remaining increase was primarily due to an increase in costs from professional services of $6.9 million, comprised primarily of legal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accounting fees, </w:t>
      </w:r>
      <w:r>
        <w:rPr>
          <w:rFonts w:ascii="Times New Roman" w:cs="Times New Roman" w:eastAsia="Times New Roman" w:hAnsi="Times New Roman"/>
          <w:sz w:val="18"/>
          <w:szCs w:val="18"/>
          <w:color w:val="000000"/>
        </w:rPr>
        <w:t>an increase in insurance expenses of</w:t>
      </w:r>
      <w:r>
        <w:rPr>
          <w:rFonts w:ascii="Times New Roman" w:cs="Times New Roman" w:eastAsia="Times New Roman" w:hAnsi="Times New Roman"/>
          <w:sz w:val="18"/>
          <w:szCs w:val="18"/>
          <w:color w:val="231F20"/>
        </w:rPr>
        <w:t xml:space="preserve"> $4.1 million, increased expenses of $3.3 million related to a contingent liability for sales and other indirect taxes, and an increase in allocated overhead of $2.0 million.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00" w:type="dxa"/>
            <w:vAlign w:val="bottom"/>
            <w:tcBorders>
              <w:bottom w:val="single" w:sz="8" w:color="auto"/>
            </w:tcBorders>
          </w:tcPr>
          <w:p>
            <w:pPr>
              <w:spacing w:after="0"/>
              <w:rPr>
                <w:sz w:val="16"/>
                <w:szCs w:val="16"/>
                <w:color w:val="auto"/>
              </w:rPr>
            </w:pPr>
          </w:p>
        </w:tc>
      </w:tr>
      <w:tr>
        <w:trPr>
          <w:trHeight w:val="196"/>
        </w:trPr>
        <w:tc>
          <w:tcPr>
            <w:tcW w:w="678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7"/>
        </w:trPr>
        <w:tc>
          <w:tcPr>
            <w:tcW w:w="6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8"/>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6,753</w:t>
            </w:r>
          </w:p>
        </w:tc>
        <w:tc>
          <w:tcPr>
            <w:tcW w:w="72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391 %</w:t>
            </w:r>
          </w:p>
        </w:tc>
      </w:tr>
      <w:tr>
        <w:trPr>
          <w:trHeight w:val="27"/>
        </w:trPr>
        <w:tc>
          <w:tcPr>
            <w:tcW w:w="678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r>
    </w:tbl>
    <w:p>
      <w:pPr>
        <w:spacing w:after="0" w:line="15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231F20"/>
        </w:rPr>
        <w:t>Interest income, net for the nine months ended October 31, 2019 increased by $5.4 million, or 391%, compared to the nine months ended October 31, 2018. The increase was primarily attributable to an increase in interest income earned from our investments in marketable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00" w:type="dxa"/>
            <w:vAlign w:val="bottom"/>
            <w:tcBorders>
              <w:bottom w:val="single" w:sz="8" w:color="auto"/>
            </w:tcBorders>
          </w:tcPr>
          <w:p>
            <w:pPr>
              <w:spacing w:after="0"/>
              <w:rPr>
                <w:sz w:val="16"/>
                <w:szCs w:val="16"/>
                <w:color w:val="auto"/>
              </w:rPr>
            </w:pPr>
          </w:p>
        </w:tc>
      </w:tr>
      <w:tr>
        <w:trPr>
          <w:trHeight w:val="196"/>
        </w:trPr>
        <w:tc>
          <w:tcPr>
            <w:tcW w:w="678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7"/>
        </w:trPr>
        <w:tc>
          <w:tcPr>
            <w:tcW w:w="6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8"/>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2,921</w:t>
            </w:r>
          </w:p>
        </w:tc>
        <w:tc>
          <w:tcPr>
            <w:tcW w:w="72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1,265 %</w:t>
            </w:r>
          </w:p>
        </w:tc>
      </w:tr>
      <w:tr>
        <w:trPr>
          <w:trHeight w:val="27"/>
        </w:trPr>
        <w:tc>
          <w:tcPr>
            <w:tcW w:w="678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231F20"/>
        </w:rPr>
        <w:t>Other income, net for the nine months ended October 31, 2019 increased by $2.7 million, or 1265%, compared to the nine months ended October 31, 2018. The increase was primarily due to net accretion on our investments in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00" w:type="dxa"/>
            <w:vAlign w:val="bottom"/>
            <w:tcBorders>
              <w:bottom w:val="single" w:sz="8" w:color="auto"/>
            </w:tcBorders>
          </w:tcPr>
          <w:p>
            <w:pPr>
              <w:spacing w:after="0"/>
              <w:rPr>
                <w:sz w:val="16"/>
                <w:szCs w:val="16"/>
                <w:color w:val="auto"/>
              </w:rPr>
            </w:pPr>
          </w:p>
        </w:tc>
      </w:tr>
      <w:tr>
        <w:trPr>
          <w:trHeight w:val="196"/>
        </w:trPr>
        <w:tc>
          <w:tcPr>
            <w:tcW w:w="66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7"/>
        </w:trPr>
        <w:tc>
          <w:tcPr>
            <w:tcW w:w="6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8"/>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8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1,851</w:t>
            </w:r>
          </w:p>
        </w:tc>
        <w:tc>
          <w:tcPr>
            <w:tcW w:w="72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390 %</w:t>
            </w:r>
          </w:p>
        </w:tc>
      </w:tr>
      <w:tr>
        <w:trPr>
          <w:trHeight w:val="27"/>
        </w:trPr>
        <w:tc>
          <w:tcPr>
            <w:tcW w:w="666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r>
    </w:tbl>
    <w:p>
      <w:pPr>
        <w:spacing w:after="0" w:line="15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31F20"/>
        </w:rPr>
        <w:t xml:space="preserve">Provision for income taxes for the nine months ended October 31, 2019 increased </w:t>
      </w:r>
      <w:r>
        <w:rPr>
          <w:rFonts w:ascii="Times New Roman" w:cs="Times New Roman" w:eastAsia="Times New Roman" w:hAnsi="Times New Roman"/>
          <w:sz w:val="18"/>
          <w:szCs w:val="18"/>
          <w:color w:val="000000"/>
        </w:rPr>
        <w:t>by</w:t>
      </w:r>
      <w:r>
        <w:rPr>
          <w:rFonts w:ascii="Times New Roman" w:cs="Times New Roman" w:eastAsia="Times New Roman" w:hAnsi="Times New Roman"/>
          <w:sz w:val="18"/>
          <w:szCs w:val="18"/>
          <w:color w:val="231F20"/>
        </w:rPr>
        <w:t xml:space="preserve"> $1.5 million</w:t>
      </w:r>
      <w:r>
        <w:rPr>
          <w:rFonts w:ascii="Times New Roman" w:cs="Times New Roman" w:eastAsia="Times New Roman" w:hAnsi="Times New Roman"/>
          <w:sz w:val="18"/>
          <w:szCs w:val="18"/>
          <w:color w:val="000000"/>
        </w:rPr>
        <w:t>, or 390%, compared to the nine months ended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October 31, 2018. The change in provision for income taxes was </w:t>
      </w:r>
      <w:r>
        <w:rPr>
          <w:rFonts w:ascii="Times New Roman" w:cs="Times New Roman" w:eastAsia="Times New Roman" w:hAnsi="Times New Roman"/>
          <w:sz w:val="18"/>
          <w:szCs w:val="18"/>
          <w:color w:val="231F20"/>
        </w:rPr>
        <w:t>primarily due to international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As of October 31, 2019, our principal sources of liquidity were cash, cash equivalents, and marketable securities of </w:t>
      </w:r>
      <w:r>
        <w:rPr>
          <w:rFonts w:ascii="Times New Roman" w:cs="Times New Roman" w:eastAsia="Times New Roman" w:hAnsi="Times New Roman"/>
          <w:sz w:val="18"/>
          <w:szCs w:val="18"/>
          <w:color w:val="231F20"/>
        </w:rPr>
        <w:t>$811.4 million</w:t>
      </w:r>
      <w:r>
        <w:rPr>
          <w:rFonts w:ascii="Times New Roman" w:cs="Times New Roman" w:eastAsia="Times New Roman" w:hAnsi="Times New Roman"/>
          <w:sz w:val="18"/>
          <w:szCs w:val="18"/>
          <w:color w:val="auto"/>
        </w:rPr>
        <w:t>, which were held for working capital purposes. Our marketable securities generally consist of high-grade commercial paper, agency bonds, corporate debt securities, and U.S. government agency securities.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We have financed our operations primarily through customer payments and sales of equity securities. In April 2019, we completed our IPO, which resulted in aggregate net proceeds of </w:t>
      </w:r>
      <w:r>
        <w:rPr>
          <w:rFonts w:ascii="Times New Roman" w:cs="Times New Roman" w:eastAsia="Times New Roman" w:hAnsi="Times New Roman"/>
          <w:sz w:val="18"/>
          <w:szCs w:val="18"/>
          <w:color w:val="231F20"/>
        </w:rPr>
        <w:t>$447.9 million</w:t>
      </w:r>
      <w:r>
        <w:rPr>
          <w:rFonts w:ascii="Times New Roman" w:cs="Times New Roman" w:eastAsia="Times New Roman" w:hAnsi="Times New Roman"/>
          <w:sz w:val="18"/>
          <w:szCs w:val="18"/>
          <w:color w:val="auto"/>
        </w:rPr>
        <w:t xml:space="preserve">, after underwriting discounts and commissions, and before deducting offering costs of </w:t>
      </w:r>
      <w:r>
        <w:rPr>
          <w:rFonts w:ascii="Times New Roman" w:cs="Times New Roman" w:eastAsia="Times New Roman" w:hAnsi="Times New Roman"/>
          <w:sz w:val="18"/>
          <w:szCs w:val="18"/>
          <w:color w:val="231F20"/>
        </w:rPr>
        <w:t>$6.4 million</w:t>
      </w:r>
      <w:r>
        <w:rPr>
          <w:rFonts w:ascii="Times New Roman" w:cs="Times New Roman" w:eastAsia="Times New Roman" w:hAnsi="Times New Roman"/>
          <w:sz w:val="18"/>
          <w:szCs w:val="18"/>
          <w:color w:val="auto"/>
        </w:rPr>
        <w:t>. We also received aggregate proceeds of $100.0 million related to our concurrent private placement and did not pay any underwriting discounts or commissions with respect to the shares that were sold in this private placement.</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believe our existing cash, cash equivalents, and marketable securities, together with net cash provided by operations, will be sufficient to meet our needs for at least the next 12 months.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the timing and extent of additional capital expenditures to invest in existing and new office spaces.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57"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4"/>
          <w:szCs w:val="14"/>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13335</wp:posOffset>
            </wp:positionV>
            <wp:extent cx="21780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7"/>
        </w:trPr>
        <w:tc>
          <w:tcPr>
            <w:tcW w:w="7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20"/>
                <w:szCs w:val="20"/>
                <w:color w:val="auto"/>
              </w:rPr>
            </w:pPr>
          </w:p>
        </w:tc>
      </w:tr>
      <w:tr>
        <w:trPr>
          <w:trHeight w:val="25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center"/>
              <w:ind w:left="297"/>
              <w:spacing w:after="0"/>
              <w:rPr>
                <w:sz w:val="20"/>
                <w:szCs w:val="20"/>
                <w:color w:val="auto"/>
              </w:rPr>
            </w:pPr>
            <w:r>
              <w:rPr>
                <w:rFonts w:ascii="Times New Roman" w:cs="Times New Roman" w:eastAsia="Times New Roman" w:hAnsi="Times New Roman"/>
                <w:sz w:val="18"/>
                <w:szCs w:val="18"/>
                <w:color w:val="auto"/>
                <w:w w:val="99"/>
              </w:rPr>
              <w:t>115,338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96"/>
              </w:rPr>
              <w:t>35,341</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257"/>
              <w:spacing w:after="0"/>
              <w:rPr>
                <w:sz w:val="20"/>
                <w:szCs w:val="20"/>
                <w:color w:val="auto"/>
              </w:rPr>
            </w:pPr>
            <w:r>
              <w:rPr>
                <w:rFonts w:ascii="Times New Roman" w:cs="Times New Roman" w:eastAsia="Times New Roman" w:hAnsi="Times New Roman"/>
                <w:sz w:val="18"/>
                <w:szCs w:val="18"/>
                <w:color w:val="auto"/>
                <w:w w:val="99"/>
              </w:rPr>
              <w:t>(496,099)</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rPr>
              <w:t>(23,733)</w:t>
            </w:r>
          </w:p>
        </w:tc>
      </w:tr>
      <w:tr>
        <w:trPr>
          <w:trHeight w:val="27"/>
        </w:trPr>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center"/>
              <w:ind w:left="297"/>
              <w:spacing w:after="0"/>
              <w:rPr>
                <w:sz w:val="20"/>
                <w:szCs w:val="20"/>
                <w:color w:val="auto"/>
              </w:rPr>
            </w:pPr>
            <w:r>
              <w:rPr>
                <w:rFonts w:ascii="Times New Roman" w:cs="Times New Roman" w:eastAsia="Times New Roman" w:hAnsi="Times New Roman"/>
                <w:sz w:val="18"/>
                <w:szCs w:val="18"/>
                <w:color w:val="auto"/>
                <w:w w:val="99"/>
              </w:rPr>
              <w:t>596,623</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96"/>
              </w:rPr>
              <w:t>17,622</w:t>
            </w:r>
          </w:p>
        </w:tc>
      </w:tr>
      <w:tr>
        <w:trPr>
          <w:trHeight w:val="27"/>
        </w:trPr>
        <w:tc>
          <w:tcPr>
            <w:tcW w:w="79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of $115.3 million for the nine months ended October 31, 2019 was primarily due to net income of $10.0 million, adjusted for non-cash charges for stock-based compensation expense of $46.5 million</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amortization of deferred contract acquisition costs, primarily commissions, of $25.9 million, depreciation and amortization of </w:t>
      </w:r>
      <w:r>
        <w:rPr>
          <w:rFonts w:ascii="Times New Roman" w:cs="Times New Roman" w:eastAsia="Times New Roman" w:hAnsi="Times New Roman"/>
          <w:sz w:val="18"/>
          <w:szCs w:val="18"/>
          <w:color w:val="231F20"/>
        </w:rPr>
        <w:t>$11.6 million</w:t>
      </w:r>
      <w:r>
        <w:rPr>
          <w:rFonts w:ascii="Times New Roman" w:cs="Times New Roman" w:eastAsia="Times New Roman" w:hAnsi="Times New Roman"/>
          <w:sz w:val="18"/>
          <w:szCs w:val="18"/>
          <w:color w:val="auto"/>
        </w:rPr>
        <w:t>, amortization of operating lease ROU assets of $4.8 million</w:t>
      </w:r>
      <w:r>
        <w:rPr>
          <w:rFonts w:ascii="Times New Roman" w:cs="Times New Roman" w:eastAsia="Times New Roman" w:hAnsi="Times New Roman"/>
          <w:sz w:val="18"/>
          <w:szCs w:val="18"/>
          <w:color w:val="231F20"/>
        </w:rPr>
        <w:t>, and provision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accounts receivable allowances of </w:t>
      </w:r>
      <w:r>
        <w:rPr>
          <w:rFonts w:ascii="Times New Roman" w:cs="Times New Roman" w:eastAsia="Times New Roman" w:hAnsi="Times New Roman"/>
          <w:sz w:val="18"/>
          <w:szCs w:val="18"/>
          <w:color w:val="000000"/>
        </w:rPr>
        <w:t>$4.0 million. Changes in operating assets and liabilities were favorable to cash flows from operations by $14.1 million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primarily due to an increase in deferred revenue of </w:t>
      </w:r>
      <w:r>
        <w:rPr>
          <w:rFonts w:ascii="Times New Roman" w:cs="Times New Roman" w:eastAsia="Times New Roman" w:hAnsi="Times New Roman"/>
          <w:sz w:val="18"/>
          <w:szCs w:val="18"/>
          <w:color w:val="231F20"/>
        </w:rPr>
        <w:t>$76.6 million</w:t>
      </w:r>
      <w:r>
        <w:rPr>
          <w:rFonts w:ascii="Times New Roman" w:cs="Times New Roman" w:eastAsia="Times New Roman" w:hAnsi="Times New Roman"/>
          <w:sz w:val="18"/>
          <w:szCs w:val="18"/>
          <w:color w:val="000000"/>
        </w:rPr>
        <w:t xml:space="preserve"> driven by increases in sales, and an increase in accounts payable and accrued expenses and other liabilities of $52.4 million, partially offset by an increase in deferred contract acquisition costs of $50.8 million driven by increases in sales, an increase in accounts receivable of $36.9 million, an increase in prepaid expenses and other assets of $22.4 million, and a decrease in operating lease liability, net of $4.7 million.</w:t>
      </w:r>
    </w:p>
    <w:p>
      <w:pPr>
        <w:spacing w:after="0" w:line="7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Net cash provided by operating activities of $35.3 million for the nine months ended October 31, 2018 was primarily due to net income of </w:t>
      </w:r>
      <w:r>
        <w:rPr>
          <w:rFonts w:ascii="Times New Roman" w:cs="Times New Roman" w:eastAsia="Times New Roman" w:hAnsi="Times New Roman"/>
          <w:sz w:val="18"/>
          <w:szCs w:val="18"/>
          <w:color w:val="231F20"/>
        </w:rPr>
        <w:t>$1.9 million</w:t>
      </w:r>
      <w:r>
        <w:rPr>
          <w:rFonts w:ascii="Times New Roman" w:cs="Times New Roman" w:eastAsia="Times New Roman" w:hAnsi="Times New Roman"/>
          <w:sz w:val="18"/>
          <w:szCs w:val="18"/>
          <w:color w:val="auto"/>
        </w:rPr>
        <w:t xml:space="preserve">, adjusted for non-cash charges for amortization of deferred contract acquisition costs, primarily commissions, of </w:t>
      </w:r>
      <w:r>
        <w:rPr>
          <w:rFonts w:ascii="Times New Roman" w:cs="Times New Roman" w:eastAsia="Times New Roman" w:hAnsi="Times New Roman"/>
          <w:sz w:val="18"/>
          <w:szCs w:val="18"/>
          <w:color w:val="231F20"/>
        </w:rPr>
        <w:t>$14.4 million</w:t>
      </w:r>
      <w:r>
        <w:rPr>
          <w:rFonts w:ascii="Times New Roman" w:cs="Times New Roman" w:eastAsia="Times New Roman" w:hAnsi="Times New Roman"/>
          <w:sz w:val="18"/>
          <w:szCs w:val="18"/>
          <w:color w:val="auto"/>
        </w:rPr>
        <w:t>, stock-based compensation expense of $4.6 million</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depreciation and amortization of $4.5</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million, </w:t>
      </w:r>
      <w:r>
        <w:rPr>
          <w:rFonts w:ascii="Times New Roman" w:cs="Times New Roman" w:eastAsia="Times New Roman" w:hAnsi="Times New Roman"/>
          <w:sz w:val="18"/>
          <w:szCs w:val="18"/>
          <w:color w:val="231F20"/>
        </w:rPr>
        <w:t>and provision for accounts receivable allowances of $1.5 million</w:t>
      </w:r>
      <w:r>
        <w:rPr>
          <w:rFonts w:ascii="Times New Roman" w:cs="Times New Roman" w:eastAsia="Times New Roman" w:hAnsi="Times New Roman"/>
          <w:sz w:val="18"/>
          <w:szCs w:val="18"/>
          <w:color w:val="auto"/>
        </w:rPr>
        <w:t xml:space="preserve">. Changes in operating assets and liabilities were favorable to cash flows from operations by $8.5 million primarily due to an increase in deferred revenue of </w:t>
      </w:r>
      <w:r>
        <w:rPr>
          <w:rFonts w:ascii="Times New Roman" w:cs="Times New Roman" w:eastAsia="Times New Roman" w:hAnsi="Times New Roman"/>
          <w:sz w:val="18"/>
          <w:szCs w:val="18"/>
          <w:color w:val="231F20"/>
        </w:rPr>
        <w:t>$52.6 million</w:t>
      </w:r>
      <w:r>
        <w:rPr>
          <w:rFonts w:ascii="Times New Roman" w:cs="Times New Roman" w:eastAsia="Times New Roman" w:hAnsi="Times New Roman"/>
          <w:sz w:val="18"/>
          <w:szCs w:val="18"/>
          <w:color w:val="auto"/>
        </w:rPr>
        <w:t xml:space="preserve"> driven by increases in sales, and an increase in accounts payable and accrued expenses and other liabilities of </w:t>
      </w:r>
      <w:r>
        <w:rPr>
          <w:rFonts w:ascii="Times New Roman" w:cs="Times New Roman" w:eastAsia="Times New Roman" w:hAnsi="Times New Roman"/>
          <w:sz w:val="18"/>
          <w:szCs w:val="18"/>
          <w:color w:val="231F20"/>
        </w:rPr>
        <w:t>$23.0 million,</w:t>
      </w:r>
      <w:r>
        <w:rPr>
          <w:rFonts w:ascii="Times New Roman" w:cs="Times New Roman" w:eastAsia="Times New Roman" w:hAnsi="Times New Roman"/>
          <w:sz w:val="18"/>
          <w:szCs w:val="18"/>
          <w:color w:val="auto"/>
        </w:rPr>
        <w:t xml:space="preserve"> partially offset by an increase in deferred contract acquisition costs of </w:t>
      </w:r>
      <w:r>
        <w:rPr>
          <w:rFonts w:ascii="Times New Roman" w:cs="Times New Roman" w:eastAsia="Times New Roman" w:hAnsi="Times New Roman"/>
          <w:sz w:val="18"/>
          <w:szCs w:val="18"/>
          <w:color w:val="231F20"/>
        </w:rPr>
        <w:t>$32.9 million,</w:t>
      </w:r>
      <w:r>
        <w:rPr>
          <w:rFonts w:ascii="Times New Roman" w:cs="Times New Roman" w:eastAsia="Times New Roman" w:hAnsi="Times New Roman"/>
          <w:sz w:val="18"/>
          <w:szCs w:val="18"/>
          <w:color w:val="auto"/>
        </w:rPr>
        <w:t xml:space="preserve"> an increase in accounts receivable of $27.8 million due to increases in sales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and an increase in prepaid expenses and other assets of $6.5 million.</w:t>
      </w:r>
    </w:p>
    <w:p>
      <w:pPr>
        <w:spacing w:after="0" w:line="2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$496.1 million for the nine months ended October 31, 2019 was primarily due to net purchases of marketable securities of $465.0 million, purchases of property and equipment of $28.1 million, and purchase of equity investment of $3.0 million</w:t>
      </w:r>
      <w:r>
        <w:rPr>
          <w:rFonts w:ascii="Times New Roman" w:cs="Times New Roman" w:eastAsia="Times New Roman" w:hAnsi="Times New Roman"/>
          <w:sz w:val="18"/>
          <w:szCs w:val="18"/>
          <w:color w:val="231F20"/>
        </w:rPr>
        <w:t>.</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$23.7 million for the nine months ended October 31, 2018 was primarily due to purchases of property and equipment of $18.1 million and net purchases of marketable securities of $5.6 million.</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Net cash provided by financing activities of $596.6 million for the nine months ended October 31, 2019 was primarily due to proceeds from the issuance of Class A common stock in connection with the IPO and private placement, net of underwriting discounts and commissions and other offering costs, of </w:t>
      </w:r>
      <w:r>
        <w:rPr>
          <w:rFonts w:ascii="Times New Roman" w:cs="Times New Roman" w:eastAsia="Times New Roman" w:hAnsi="Times New Roman"/>
          <w:sz w:val="18"/>
          <w:szCs w:val="18"/>
          <w:color w:val="231F20"/>
        </w:rPr>
        <w:t>$542.5 million</w:t>
      </w:r>
      <w:r>
        <w:rPr>
          <w:rFonts w:ascii="Times New Roman" w:cs="Times New Roman" w:eastAsia="Times New Roman" w:hAnsi="Times New Roman"/>
          <w:sz w:val="18"/>
          <w:szCs w:val="18"/>
          <w:color w:val="auto"/>
        </w:rPr>
        <w:t xml:space="preserve">, proceeds from international employee stock sales of </w:t>
      </w:r>
      <w:r>
        <w:rPr>
          <w:rFonts w:ascii="Times New Roman" w:cs="Times New Roman" w:eastAsia="Times New Roman" w:hAnsi="Times New Roman"/>
          <w:sz w:val="18"/>
          <w:szCs w:val="18"/>
          <w:color w:val="231F20"/>
        </w:rPr>
        <w:t>$48.5 million</w:t>
      </w:r>
      <w:r>
        <w:rPr>
          <w:rFonts w:ascii="Times New Roman" w:cs="Times New Roman" w:eastAsia="Times New Roman" w:hAnsi="Times New Roman"/>
          <w:sz w:val="18"/>
          <w:szCs w:val="18"/>
          <w:color w:val="auto"/>
        </w:rPr>
        <w:t xml:space="preserve"> to be remitted to employees and tax authorities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and proceeds from the exercise of stock options, net of repurchases, of $5.6 million.</w:t>
      </w:r>
    </w:p>
    <w:p>
      <w:pPr>
        <w:spacing w:after="0" w:line="72"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$17.6 million for the nine months ended October 31, 2018 was primarily due to proceeds from issuance of convertible promissory notes and derivatives of $15.0 million and proceeds from the exercise of stock options of $2.7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Contractual Obligations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material changes outside of the ordinary course of business in our commitments and contractual obligations during the nine months ended October 31, 2019 from the commitments and contractual obligations disclosed in Management’s Discussion and Analysis of Financial Condition and Results of Operations, set forth in our Prospectus.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Through October 31, 2019, we did not have any relationships with unconsolidated organizations or financial partnerships, such as structured finance or special-purpose entities that would have been established for the purpose of facilitating off-balance sheet arrangements or other contractually narrow or limited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Critical accounting policies and estimates are those accounting policies and estimates that are both the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Management's Discussion and Analysis of Financial Condition and Results of Operations, set forth in our Prospectus, except for the estimated fair value of ESPP purchase rights for stock-based compensation as described in Note 9 to the condensed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See “Summary of Business and Significant Accounting Policies” in Note 1 of the notes to our condensed consolidated financial statements included in Part I, Item 1 of this Form 10-Q.</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Exchange Risk</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vast majority of our cash generated from revenue are denominated in U.S. dollars, with a small amount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condensed consolidated financial statements for the three and nine months ended October 31, 2019 and 2018.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We had cash and cash equivalents of </w:t>
      </w:r>
      <w:r>
        <w:rPr>
          <w:rFonts w:ascii="Times New Roman" w:cs="Times New Roman" w:eastAsia="Times New Roman" w:hAnsi="Times New Roman"/>
          <w:sz w:val="18"/>
          <w:szCs w:val="18"/>
          <w:color w:val="231F20"/>
        </w:rPr>
        <w:t>$230.9 million</w:t>
      </w:r>
      <w:r>
        <w:rPr>
          <w:rFonts w:ascii="Times New Roman" w:cs="Times New Roman" w:eastAsia="Times New Roman" w:hAnsi="Times New Roman"/>
          <w:sz w:val="18"/>
          <w:szCs w:val="18"/>
          <w:color w:val="auto"/>
        </w:rPr>
        <w:t xml:space="preserve"> and marketable securities of </w:t>
      </w:r>
      <w:r>
        <w:rPr>
          <w:rFonts w:ascii="Times New Roman" w:cs="Times New Roman" w:eastAsia="Times New Roman" w:hAnsi="Times New Roman"/>
          <w:sz w:val="18"/>
          <w:szCs w:val="18"/>
          <w:color w:val="231F20"/>
        </w:rPr>
        <w:t>$580.5 million</w:t>
      </w:r>
      <w:r>
        <w:rPr>
          <w:rFonts w:ascii="Times New Roman" w:cs="Times New Roman" w:eastAsia="Times New Roman" w:hAnsi="Times New Roman"/>
          <w:sz w:val="18"/>
          <w:szCs w:val="18"/>
          <w:color w:val="auto"/>
        </w:rPr>
        <w:t xml:space="preserve"> as of October 31, 2019. Cash and cash equivalents consist of bank deposits, money market funds, high-grade commercial paper, corporate debt securities, and treasury bills. Our marketable securities generally consist of high-grade commercial paper, agency bonds, corporate debt securities, and U.S. government agency securities.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condensed consolidated financial statements for the three and nine months ended October 31, 2019 and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principal executive officer and principal financial officer have concluded that, as of such date, our disclosure controls and procedures were effective at the reasonable assurance level.</w:t>
      </w:r>
    </w:p>
    <w:p>
      <w:pPr>
        <w:spacing w:after="0" w:line="2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that occurred during the period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business depends upon our ability to attract new customers and hosts and maintain and expand our relationships with our customers and hosts, including upselling additional products to our existing customers and upgrading hosts to a paid Zoom Meeting plan. A host is any user of our video-first communications platform, who initiates a Zoom Meeting and invites one or more participants to join that meeting. We refer to hosts who subscribe to a paid Zoom Meeting plan as “paid hosts.” We define a customer as a separate and distinct buying entity, which can be a single paid host or an organization of any size (including a distinct unit of an organization) that has multiple paid hosts.</w:t>
      </w:r>
    </w:p>
    <w:p>
      <w:pPr>
        <w:spacing w:after="0" w:line="1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business is subscription based and customers are not obligated to, and may not,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or the perception that competitive products provide better or less expensive options. In addition, some customers downgrade their Zoom Meeting plan or do not renew their subscriptions. We must continually add new customers and hosts to grow our business beyond our current user base and to replace customers and hosts who choose not to continue to use our platform. Any decrease in user satisfaction with our products or support would harm our brand, word-of-mouth referrals, and ability to grow.</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Zoom into other teams and departments within an organization. At the same time, we strive to demonstrate the value of our platform and various product offerings to those hosts that subscribe to our free Zoom Meeting plan, thereby encouraging them to upgrade to a paid Zoom Meeting plan. However, a majority of these hosts may never upgrade to a paid Zoom Meeting plan. If we fail to upsell our customers or upgrade hosts of our free Zoom Meeting plan to a paid subscription or expand the number of paid hosts within organizations, our business would be harmed.</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our user growth rate may slow in the future as our market penetration rates increase and we turn our focus to upgrading our free hosts to a paid Zoom Meeting plan rather than growing the total number of users. If we are not able to continue to expand our user base or fail to upgrade our free hosts to a paid Zoom Meeting plan, our revenue may grow more slowly than expected or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makes it difficult to evaluate our prospects and future results of operations.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were incorporated in 2011. As a result of our limited operating history, our ability to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competitive markets and we must continue to compete effectively.</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market for communication and collaboration technologies platforms is competitive and rapidly changing. Certain features of our current platform compete in the communication and collaboration technologies market with products offered by:</w:t>
      </w:r>
    </w:p>
    <w:p>
      <w:pPr>
        <w:spacing w:after="0" w:line="54" w:lineRule="exact"/>
        <w:rPr>
          <w:sz w:val="20"/>
          <w:szCs w:val="20"/>
          <w:color w:val="auto"/>
        </w:rPr>
      </w:pPr>
    </w:p>
    <w:p>
      <w:pPr>
        <w:ind w:left="1140" w:hanging="646"/>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web-based meeting providers, including Webex and Skype for Business;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bundled productivity solutions providers with basic video functionality, including Google; and</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point solutions providers, including LogMeIn.</w:t>
      </w:r>
    </w:p>
    <w:p>
      <w:pPr>
        <w:spacing w:after="0" w:line="22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Other large established companies like Amazon and Facebook have in the past and may in the future also make investments in video communications tools. In addition, as we introduce new products and services, and with the introduction of new technologies and market entrants, we expect competition to intensify in the future. For example, we recently introduced Zoom Phone, a cloud phone system that will allow customers to replace their existing private branch exchange solution, in the future, which will result in increased competition against companies that offer similar services and new competitors that may enter that market in the future. Further, many of our actual and potential competitors benefit from competitive advantages over us, such as greater name recognition; longer operating histories; more varied products and services; larger marketing budgets; more established marketing relationships; third-party integration; greater accessibility across devices or applications;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6" w:lineRule="exact"/>
        <w:rPr>
          <w:sz w:val="20"/>
          <w:szCs w:val="20"/>
          <w:color w:val="auto"/>
        </w:rPr>
      </w:pPr>
    </w:p>
    <w:p>
      <w:pPr>
        <w:ind w:firstLine="486"/>
        <w:spacing w:after="0" w:line="236" w:lineRule="auto"/>
        <w:rPr>
          <w:sz w:val="20"/>
          <w:szCs w:val="20"/>
          <w:color w:val="auto"/>
        </w:rPr>
      </w:pPr>
      <w:r>
        <w:rPr>
          <w:rFonts w:ascii="Times New Roman" w:cs="Times New Roman" w:eastAsia="Times New Roman" w:hAnsi="Times New Roman"/>
          <w:sz w:val="18"/>
          <w:szCs w:val="18"/>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 We on occasion offer new customers a free period of time at the beginning of the subscription term which can result in deferred billings or long-term accounts receivable and increase the risk of loss on uncollected accounts receivable.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sustain our revenue growth rate in the future.</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experienced significant revenue growth in prior periods. You should not rely on the revenue growth of any prior quarterly or annual period as an indication of our future performance. We expect our revenue growth rate to decline in future periods. Many factors may contribute to declines in our growth rate, including higher market penetration, increased competition, slowing demand for our platform, a failure by us to continue capitalizing on growth opportunities, and the maturation of our business, among others. If our growth rate declines, investors’ perceptions of our business and the trading price of our Class A common stock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delays, or outages in service from our co-located data centers and a variety of other factors would impair the delivery of our services, require us to issue credits or pay penalties, and harm our business.</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currently serve our users from various co-located data centers located throughout the world. We also utilize Amazon Web Services and Microsoft Azure for the hosting of certain critical aspects of our business. As part of our distributed meeting architecture, we establish private links between data centers that automatically transfer data between various data centers in order to optimize performance on our platform.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fraud, general internet availability issues, spikes in usage, and denial of service issues. In some instances, we may not be able to identify the cause or causes of these performance problems within an acceptable period of time. For example, in January 2019, we experienced an outage in our services for less than two hours, which we later determined was initially caused by a technical issue with one of our vendors. Additionally, in connection with the addition of new data centers or expansion or consolidation of our existing data center facilities or other reasons, we may move or transfer our data and our users’ metadata to other data centers.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19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Additionally, if our data centers are unable to keep up with our increasing needs for capacity, customers may experience delays as we seek to obtain additional capacity, which could harm our business.</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and similar events,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grows and their usage of communications capacity increases, we will be required to make additional investments in network capacity to maintain adequate data transmission speeds, the availability of which may be limited, or the cost of which may be on terms unacceptable to us. If adequate capacity is not available to us as our user base grows,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and could permanently harm our business.</w:t>
      </w:r>
    </w:p>
    <w:p>
      <w:pPr>
        <w:spacing w:after="0" w:line="19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users who access our platform through mobile devices, such as smartphones and tablets, must have a high-speed connection, such as 3G, 4G, or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services or by charging increased fees to third parties or the users of third-party services, any of which would make our platform less attractive to users and reduce our revenue.</w:t>
      </w:r>
    </w:p>
    <w:p>
      <w:pPr>
        <w:spacing w:after="0" w:line="189"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Numerous parties have filed judicial challenges to the order, and on October 1, 2019, the United States Court of Appeals for the District of Columbia Circuit released a decision that affirmed nearly all of the new rules, but reversed the FCC's decision to prohibit all state and local regulation targeted at broadband internet service, requiring case by case determinations as to whether state and local regulation conflicts with the FCC's rules. The court also required the FCC to reexamine three issues from the order, but allowed the order to remain in effect while the FCC conducts that review. The original parties to the appeal may seek additional review of the order from the full Court of Appeals or the Supreme Court. In addition, a number of states are adopting or considering legislation or executive actions that would regulate the conduct of broadband providers. As a result, we cannot predict whether the FCC order or state initiatives will be modified, overturned, or vacated by legal action of the court, federal legislation, or the FCC. Under the new rules, broadband internet access providers may be able to charge web-based services, such as ours for priority access, which could result in increased costs and a loss of existing customers and hosts, impair our ability to attract new customers and hosts, and harm our business.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we increase sales to large organizations, our sales cycles could lengthen, and we could experience greater deployment challenges.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our business evolves, we may need to invest more resources into sales to large organizations.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2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demand for our platform could be negatively affected.</w:t>
      </w:r>
    </w:p>
    <w:p>
      <w:pPr>
        <w:spacing w:after="0" w:line="176"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68" w:lineRule="exact"/>
        <w:rPr>
          <w:sz w:val="20"/>
          <w:szCs w:val="20"/>
          <w:color w:val="auto"/>
        </w:rPr>
      </w:pPr>
    </w:p>
    <w:p>
      <w:pPr>
        <w:ind w:left="1140" w:hanging="646"/>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of the communications and collaboration technologies category generally;</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products and services that compete with ours;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modes of communications and collaboration that may be developed in the future;</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adoption and use;</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and platform experience;</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of our platform, including frequency of outages;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privacy;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support; and</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2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LinkedIn,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1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200" w:lineRule="exact"/>
        <w:rPr>
          <w:sz w:val="20"/>
          <w:szCs w:val="20"/>
          <w:color w:val="auto"/>
        </w:rPr>
      </w:pPr>
    </w:p>
    <w:p>
      <w:pPr>
        <w:spacing w:after="0" w:line="20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respond to rapid technological changes, extend our platform, or develop new features.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We invest significantly in research and development and our goal is to focus our spending on measures that improve quality and ease of adoption and create organic user demand for our platform. There is no assurance that our enhancements to our platform or our new product experiences, features, or capabilities will be compelling to our users or gain market acceptance. If our research and development investments do not accurately anticipate user demand or if we fail to develop our platform in a manner that satisfies user preferences in a timely and cost-effective manner, we may fail to retain our existing users or increase demand for our platform.</w:t>
      </w:r>
    </w:p>
    <w:p>
      <w:pPr>
        <w:spacing w:after="0" w:line="18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2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Identifying and recruiting qualified sales representatives and training them is time-consuming and resource-intensive,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security measures have been compromised in the past and may be compromised in the future. If our security measures are compromised in the future, this could damage our reputation,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73"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Our operations involve the storage and transmission of customer data or information, and security incidents have occurred in the past, and may occur in the future, resulting in unauthorized access to, loss of or unauthorized disclosure of this information, regulatory enforcement actions, litigation, indemnity obligations, and other possible liabilities, as well as negative publicity, which could damage our reputation, impair our sales, and harm our business. Cyberattacks and other malicious internet-based activity continue to increase, and cloud-based platform providers of products and services have been and are expected to continue to be targeted. In addition to traditional computer “hackers,” malicious code (such as viruses and worms), employee theft, or misuse and denial-of-service attacks, sophisticated nation-state and nation-state supported actors now engage in attacks (including advanced persistent threat intrusions). Despite significant efforts to create security barriers to such threats, it is virtually impossible for us to entirely mitigate these risks. If our security measures are compromised as a result of third-party action, employee, customer, host or user error, malfeasance, stolen or fraudulently obtained log-in credentials, or otherwise, our reputation would be damaged, our data, information or intellectual property, or those of our customers, may be destroyed, stolen or otherwise compromised, our business may be harmed, and we could incur significant liability. We have not always been able in the past and may be unable in the future to anticipate or prevent techniques used to obtain unauthorized access or to compromise our systems because they change frequently and are generally not detected until after an incident has occurred. For example, in July 2019, a security researcher published a blog highlighting concerns with the Zoom Meeting platform, including certain video-on features. In July 2018, we were made aware of a vulnerability in the Zoom Meeting client for Windows that could result in potential exposure of a Zoom user’s password. Additionally, in 2018, a cybersecurity company discovered a vulnerability in our software that could be exploited by hackers to exert certain meeting controls. While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we cannot be certain that we will be able to address any vulnerabilities in our software that we may become aware of in the future. We expect similar issues to arise in the future as we continue to expand the features and functionality of existing products and introduce new products, and we expect to expend significant resources in an effort to protect against security incidents. Concerns regarding privacy, data protection, and information security may cause some of our customers and hosts to stop using our solutions and fail to renew their subscriptions. This discontinuance in use or failure to renew could substantially harm our business. Further, as we rely on third-party and public-cloud infrastructure, we depend in part on third-party security measures to protect against unauthorized access, cyberattacks, and the mishandling of data and information. In addition, failures to meet customers’ and hosts’ expectations with respect to security and confidentiality of their data and information could damage our reputation and affect our ability to retain customers and hosts, attract new customers and hosts, and grow our business. In addition, a cybersecurity event could result in significant increases in costs, including costs for remediating the effects of such an event, lost revenue due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network downtime, and a decrease in customer, host, and user trust, increases in insurance premiums due to cybersecurity incidents, increased costs to address cybersecurity issues and attempts to prevent future incidents, and harm to our business and our reputation because of any such incident.</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Many governments have enacted laws requiring companies to provide notice of data security incidents involving certain types of personal data. In addition, some of our customers require us to notify them of data security breaches. Security compromises experienced by our competitors, by our customers, or by us may lead to public disclosures, which may lead to widespread negative publicity. In addition, we have a high concentration of research and development personnel in China, which could expose us to market scrutiny regarding the integrity of our solution or data security features. Any security compromise in our industry, whether actual or perceived, could harm our reputation, erode confidence in the effectiveness of our security measures, negatively affect our ability to attract new customers and hosts, cause existing customers to elect not to renew their subscriptions or subject us to third-party lawsuits, regulatory fines, or other action or liability, which could harm our business.</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There can be no assurance that any limitations of liability provisions in our subscription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would harm our business.</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believe that our brand identity and awareness have contributed to our success and have helped fuel our efficient go-to-market strategy. We connect people through frictionless video, voice, chat, and content sharing. We also believe that maintaining and enhancing the Zoom brand is critical to expanding our base of customers, hosts, and users and, in particular, conveying to users and the public that the Zoom brand consists of a broad communications platform, rather than just one distinct product. For example, if users incorrectly view the Zoom brand primarily as a video conferencing point solution or utility rather than as a platform with multiple communications solutions, then our market position may be detrimentally impacted at such time as a competitor introduces a new or better product. We anticipate that, as our market becomes increasingly competitive, maintaining, and enhancing our brand may become increasingly difficult and expensive. Any unfavorable publicity or perception of our platform or the providers of communication and collaboration technologies generally could adversely affect our reputation and our ability to attract and retain hosts. If we fail to promote and maintain the Zoom brand, including consumer and public perception of our platform, or if we incur excessive expenses in this effort, our business will be harmed.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expect to increase our expenses in the future, which could prevent us from achieving or maintaining profitability.</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Although we generated net income of $2.2 million and $10.0 million for the three and nine months ended October 31, 2019, respectively, we have incurred net losses in the past, and could incur net losses in the future. We intend to continue to expend significant funds to expand our direct sales force and marketing efforts to attract new customers and hosts, to develop and enhance our products and for general corporate purposes, including operations, hiring additional personnel, upgrading our infrastructure,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We may incur significant losses in the future for a number of reasons, including as a result of the other risks described herein, and unforeseen expenses, difficulties, complications, delays, and other unknown events. If we are unable to achieve and sustain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business would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successfully manage our growth or plan for future growth.</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Since our founding in 2011, we have experienced rapid growth. For example, our headcount has grown from 1,529 full-time employees as of October 31, 2018, to 2,409 full-time employees as of October 31, 2019, with employees located both in the United States and internationally.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 Managing our growth will also require significant expenditures and allocation of valuable management resources.</w:t>
      </w:r>
    </w:p>
    <w:p>
      <w:pPr>
        <w:spacing w:after="0" w:line="18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subscriptions to our platform could be harmed by real or perceived material defects or errors in our platform.</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68" w:lineRule="exact"/>
        <w:rPr>
          <w:sz w:val="20"/>
          <w:szCs w:val="20"/>
          <w:color w:val="auto"/>
        </w:rPr>
      </w:pPr>
    </w:p>
    <w:p>
      <w:pPr>
        <w:ind w:left="1140" w:hanging="646"/>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 reduction in revenue or delay in market acceptance of our platform;</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issue refunds to our customers or expose us to claims for damages;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lose existing hosts and make it more difficult to attract new customers and hosts;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our development resources or require us to make extensive changes to our platform, which would increase our expenses;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technical support costs; and</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our reputation and brand.</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to lose the services of our Chief Executive Officer or other members of our senior management team, we may not be able to execute our business strategy.</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operations in China. All of our executive officers are at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will employees, and we do not maintain any key person life insurance policies. The loss of any member of our senior management team would harm our business.</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5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To execute our business strategy, we must attract and retain highly qualified personnel. Competition for executives, software developers, sales personnel, and other key employees in our industry is intense. In particular, we compete with many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If we fail to attract new personnel or fail to retain and motivate our current personnel, our business could be harmed.</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Many of the companies with which we compete for experienced personnel have greater resources than we have, and some of these companies may offer greater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18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 For example, we were recently informed of a personal relationship involving our Chief Financial Officer and an individual with whom she worked, while they were both at her prior employer. After reviewing the facts and circumstances of the situation, we confirmed that our Chief Financial Officer can and should continue to serve in her role. However, these are the types of situations that will continue to challenge our culture of transparency.</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many of our employees may be able to receive significant proceeds from sales of our equity in the public markets after our initial public offering, which may reduce their motivation to continue to work for us. Moreover, our initial public offering could create disparities in wealth among our employees, which may harm our culture and relations among employees and our business.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continuing to expand our operations outside the United States, where we may be subject to increased business and economic risks that could harm our business.</w:t>
      </w:r>
    </w:p>
    <w:p>
      <w:pPr>
        <w:spacing w:after="0" w:line="11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platform addresses the communications needs of users worldwide, and we see international expansion as a major opportunity. Our revenue from Asia-Pacific and Europe, Middle East, and Africa collectively represented 19% and 18% of our revenue for the three months ended October 31, 2019 and 2018, respectively, and 19% and 18% of our revenue for the nine months ended October 31, 2019 and 2018, respectively. We plan to add local sales support in further select international markets over time. We also operate research and development centers in China, employing more than 700 employees as of October 31, 2019. Our customers include multinational corporations with global users and we expect to continue to expand our international operations, which may include opening offices in new jurisdictions and providing our platform in additional languages. Any new markets or countries into which we attempt to allow users to access our services or sell subscriptions to our platform may not be receptive. For example, if we are not able to satisfy certain government- and industry-specific requirements, we may experience service outages or other adverse consequences which would impair our ability to expand further into certain markets.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Operating internationally subjects us to new risks and may increase risks that we currently face, including risks associated with:</w:t>
      </w:r>
    </w:p>
    <w:p>
      <w:pPr>
        <w:spacing w:after="0" w:line="81" w:lineRule="exact"/>
        <w:rPr>
          <w:sz w:val="20"/>
          <w:szCs w:val="20"/>
          <w:color w:val="auto"/>
        </w:rPr>
      </w:pPr>
    </w:p>
    <w:p>
      <w:pPr>
        <w:ind w:left="1140" w:right="20" w:hanging="646"/>
        <w:spacing w:after="0" w:line="282"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and retaining talented and capable employees outside the United States, complying with complex employment- and compensation-related laws, regulations and practices in these international jurisdictions, and maintaining our company culture across all of our offices;</w:t>
      </w:r>
    </w:p>
    <w:p>
      <w:pPr>
        <w:spacing w:after="0" w:line="53"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40" w:hanging="646"/>
        <w:spacing w:after="0" w:line="266"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international laws and regulations, including laws and regulations with respect to privacy, telecommunications requirements, data protection, consumer protection and unsolicited email, and the risk of penalties to us and individual members of management or employees if our practices are deemed to be out of compliance;</w:t>
      </w:r>
    </w:p>
    <w:p>
      <w:pPr>
        <w:spacing w:after="0" w:line="68"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an employee base in jurisdictions that may not give us the same employment and retention flexibility as does the United States;</w:t>
      </w:r>
    </w:p>
    <w:p>
      <w:pPr>
        <w:spacing w:after="0" w:line="53" w:lineRule="exact"/>
        <w:rPr>
          <w:rFonts w:ascii="Times New Roman" w:cs="Times New Roman" w:eastAsia="Times New Roman" w:hAnsi="Times New Roman"/>
          <w:sz w:val="18"/>
          <w:szCs w:val="18"/>
          <w:color w:val="auto"/>
        </w:rPr>
      </w:pPr>
    </w:p>
    <w:p>
      <w:pPr>
        <w:ind w:left="1140" w:right="20" w:hanging="646"/>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jurisdictions that do not protect intellectual property rights to the same extent as does the United States and the practical enforcement of such intellectual property rights outside of the United States;</w:t>
      </w:r>
    </w:p>
    <w:p>
      <w:pPr>
        <w:spacing w:after="0" w:line="53" w:lineRule="exact"/>
        <w:rPr>
          <w:rFonts w:ascii="Times New Roman" w:cs="Times New Roman" w:eastAsia="Times New Roman" w:hAnsi="Times New Roman"/>
          <w:sz w:val="18"/>
          <w:szCs w:val="18"/>
          <w:color w:val="auto"/>
        </w:rPr>
      </w:pPr>
    </w:p>
    <w:p>
      <w:pPr>
        <w:ind w:left="1140" w:right="20" w:hanging="646"/>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with partners outside of the United States;</w:t>
      </w:r>
    </w:p>
    <w:p>
      <w:pPr>
        <w:spacing w:after="0" w:line="117"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53"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117"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longer payment cycles and greater difficulty in collecting accounts receivable;</w:t>
      </w:r>
    </w:p>
    <w:p>
      <w:pPr>
        <w:spacing w:after="0" w:line="117" w:lineRule="exact"/>
        <w:rPr>
          <w:rFonts w:ascii="Times New Roman" w:cs="Times New Roman" w:eastAsia="Times New Roman" w:hAnsi="Times New Roman"/>
          <w:sz w:val="18"/>
          <w:szCs w:val="18"/>
          <w:color w:val="auto"/>
        </w:rPr>
      </w:pPr>
    </w:p>
    <w:p>
      <w:pPr>
        <w:ind w:left="1140" w:right="20" w:hanging="646"/>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 taxation of our international earnings and potentially adverse tax consequences due to changes in the income and other tax laws of the United States or the international jurisdictions in which we operate; and</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increased accounting, travel, infrastructure, and legal compliance costs.</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For example, our product development team is largely based in China, where personnel costs are less expensive than in many other jurisdictions. If we had to relocate our product development team from China to another jurisdiction, we could experience, among other things, higher operating expenses, which would adversely impact our operating margins and harm our business. In addition, we would need to spend considerable time and effort recruiting a new product development team, which would distract management and adversely impact our ability to continue improving our platform’s features and functionality.</w:t>
      </w:r>
    </w:p>
    <w:p>
      <w:pPr>
        <w:spacing w:after="0" w:line="2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 trade policies, including the imposition of tariffs and export restrictions, could limit our ability to sell our products to certain customers, which may materially adversely affect our sales and results of operations.</w:t>
      </w:r>
    </w:p>
    <w:p>
      <w:pPr>
        <w:spacing w:after="0" w:line="186" w:lineRule="exact"/>
        <w:rPr>
          <w:sz w:val="20"/>
          <w:szCs w:val="20"/>
          <w:color w:val="auto"/>
        </w:rPr>
      </w:pPr>
    </w:p>
    <w:p>
      <w:pPr>
        <w:jc w:val="both"/>
        <w:ind w:firstLine="486"/>
        <w:spacing w:after="0" w:line="238" w:lineRule="auto"/>
        <w:rPr>
          <w:sz w:val="20"/>
          <w:szCs w:val="20"/>
          <w:color w:val="auto"/>
        </w:rPr>
      </w:pPr>
      <w:r>
        <w:rPr>
          <w:rFonts w:ascii="Times New Roman" w:cs="Times New Roman" w:eastAsia="Times New Roman" w:hAnsi="Times New Roman"/>
          <w:sz w:val="18"/>
          <w:szCs w:val="18"/>
          <w:color w:val="auto"/>
        </w:rPr>
        <w:t>The United States or foreign governments may take administrative, legislative, or regulatory action that could materially interfere with our ability to sell products in certain countries, particularly in China. For example, the current U.S. Administration has threatened tougher trade terms with China and other countries, leading to the imposition, or announcement of future imposition, of substantially higher U.S. Section 301 tariffs on roughly $500 billion of imports from China. In response, China imposed or proposed new or higher tariffs on U.S. products. While the imposition of these tariffs did not have a direct, material adverse impact on our business during the nine months ended October 31, 2019, the direct and indirect effects of tariffs and other restrictive trade policies are difficult to measure and are only one part of a larger U.S./China economic and trade policy disagreement. The effects of the recently imposed and proposed tariffs are uncertain because of the dynamic nature of governmental action and responses. We cannot predict what actions may ultimately be taken with respect to tariffs or trade relations between the United States and China or other countries, what products may be subject to such actions, or what actions may be taken by the other countries in retaliation. Any alterations to our business strategy or operations made in order to adapt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or comply with any such changes would be time-consuming and expensive, and certain of our competitors may be better suited to withstand or react to these changes.</w:t>
      </w:r>
    </w:p>
    <w:p>
      <w:pPr>
        <w:spacing w:after="0" w:line="189" w:lineRule="exact"/>
        <w:rPr>
          <w:sz w:val="20"/>
          <w:szCs w:val="20"/>
          <w:color w:val="auto"/>
        </w:rPr>
      </w:pPr>
    </w:p>
    <w:p>
      <w:pPr>
        <w:jc w:val="both"/>
        <w:ind w:firstLine="486"/>
        <w:spacing w:after="0" w:line="239" w:lineRule="auto"/>
        <w:rPr>
          <w:sz w:val="20"/>
          <w:szCs w:val="20"/>
          <w:color w:val="auto"/>
        </w:rPr>
      </w:pPr>
      <w:r>
        <w:rPr>
          <w:rFonts w:ascii="Times New Roman" w:cs="Times New Roman" w:eastAsia="Times New Roman" w:hAnsi="Times New Roman"/>
          <w:sz w:val="18"/>
          <w:szCs w:val="18"/>
          <w:color w:val="auto"/>
        </w:rPr>
        <w:t>Further, in May 2019, President Trump issued an executive order that invoked national emergency economic powers to implement a framework to regulate the acquisition or transfer of information communications technology in transactions that imposed undue national security risks. The executive order is subject to implementation by the Secretary of Commerce and applies to contracts entered into prior to the effective date of the order.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may fluctuate significantly and may not fully reflect the underlying performance of our business.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quarterly results of operations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76" w:lineRule="exact"/>
        <w:rPr>
          <w:sz w:val="20"/>
          <w:szCs w:val="20"/>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upgrade customers to higher-priced tiers of Zoom Meeting plans;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hosts and upgrade hosts that subscribe to our free Zoom Meeting plan to one of our paid Zoom Meeting plans;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employees, in particular those responsible for the selling or marketing of our platform;</w:t>
      </w:r>
    </w:p>
    <w:p>
      <w:pPr>
        <w:spacing w:after="0" w:line="11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retain talented sales personnel who are able to achieve desired productivity levels in a reasonable period of time and provide sales leadership in areas in which we are expanding our sales and marketing efforts;</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way we organize and compensate our sales teams;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and recognition of revenue;</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to large organizations;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sales cycles;</w:t>
      </w:r>
    </w:p>
    <w:p>
      <w:pPr>
        <w:spacing w:after="0" w:line="11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the maintenance and expansion of our business, operations and infrastructure, as well as international expansion and entry into operating leases;</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effectiveness of new sales and marketing initiatives;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products, features, and functionality by us or our competitors;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our service, network outages, or actual or perceived privacy or security breaches;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industry, including consolidation among competitors;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that impact our business;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large indemnification payments to our users or other third parties;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any future acquisitions; and</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3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5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recognize revenue from subscriptions to our platform over the terms of these subscriptions. As a result, a portion of the revenue we report in each quarter is derived from the recognition of deferred revenue relating to subscriptions entered into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previous quarters. Consequently, a decline in new or renewed subscriptions in any single quarter may have a small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hosts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spacing w:after="0" w:line="2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support for our customers and hosts may harm our relationships with our customers and hosts and, consequently, our business.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have designed our platform to be easy to adopt and use with minimal to no support necessary. However, if we experience increased user demand for support, we may face increased costs that may harm our results of operations. In addition, as we continue to grow our operations and support our global user base, we need to be able to continue to provide efficient support that meets our customers and hosts’ needs globally at scale. Customers and hosts receive additional support features, and the number of our hosts has grown significantly, which will put additional pressure on our support organization. If we are unable to provide efficient user support globally at scale or if we need to hire additional support personnel, our business may be harmed. Our new customer and host signups are highly dependent on our business reputation and on positive recommendations from our existing customers and hosts. Any failure to maintain high-quality support, or a market perception that we do not maintain high-quality support for our customers and hosts, would harm our business.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privacy, data protection, and information security laws, regulations, and obligations could harm our business.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is changing, subject to differing interpretations and may be inconsistent among countries, or conflict with other rules.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1" w:lineRule="exact"/>
        <w:rPr>
          <w:sz w:val="20"/>
          <w:szCs w:val="20"/>
          <w:color w:val="auto"/>
        </w:rPr>
      </w:pPr>
    </w:p>
    <w:p>
      <w:pPr>
        <w:jc w:val="both"/>
        <w:ind w:firstLine="486"/>
        <w:spacing w:after="0" w:line="235" w:lineRule="auto"/>
        <w:rPr>
          <w:sz w:val="20"/>
          <w:szCs w:val="20"/>
          <w:color w:val="auto"/>
        </w:rPr>
      </w:pPr>
      <w:r>
        <w:rPr>
          <w:rFonts w:ascii="Times New Roman" w:cs="Times New Roman" w:eastAsia="Times New Roman" w:hAnsi="Times New Roman"/>
          <w:sz w:val="18"/>
          <w:szCs w:val="18"/>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("GDPR") went into effect in the European Union ("EU"). The GDPR imposed more stringent data protection requirements and provides greater penalties for noncompliance than previous data protection laws, including potential penalties of up to €20 million or 4% of annual global revenues. Further, following a referendum in June 2016 in which voters in the United Kingdom approved an exit from the EU, the United Kingdom government has initiated a process to leave the EU, known as Brexit. Brexit has created uncertainty with regard to the regulation of data protection in the United Kingdom. In particular, although the United Kingdom enacted a Data Protection Act in May 2018 that is designed to be consistent with the GDPR, uncertainty remains regarding how data transfers to and from the United Kingdom will be regulated. Additionally, although we have self-certified under the U.S.-EU and U.S.-Swiss Privacy Shield Frameworks with regard to our transfer of certain personal data from the EU and Switzerland to the United States, some regulatory uncertainty remains surrounding the future of data transfers from the EU and Switzerland to the United States, and we are monitoring regulatory developments in this area. California also recently enacted legislation, the California Consumer Privacy Act of 2018 ("CCPA"), that will afford consumers expanded privacy protections when it goes into effect on January 1, 2020. The CCPA was recently amended, and it is possible that it will be amended again before it goes into effect. The potential effects of this legislation are far-reaching and may require us to modify our data processing practices and policies and to incur substantial costs and expenses in an effort to comply. For example,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 In addition, effective October 1, 2019, Nevada amended its existing Security of Personal Information Law (“SPI Law”) to now require, among other things, that businesses provide an online mechanism or toll-free phone number to intake requests from consumers to opt out of the sale of their personal data.</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With laws and regulations, such as the GDPR in the EU and the CCPA and SPI Law in the United States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 data protection- or information security-related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platform.</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harmed if we are required to collect sales or other related taxes for our subscription services in jurisdictions where we have not historically done so.</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 discourage potential customers from subscribing to our platform due to the incremental cost of any such sales or other related taxes, or otherwise harm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liabilities on past sales for taxes, surcharges, and fees.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currently collect and remit applicable sales tax in jurisdictions where we, through our employees, have a presence and where we have determined, based on legal precedents in the jurisdiction, that sales of our platform are classified as taxable. We do not currently collect and remit other state and local excise, utility user and ad valorem taxes, fees, or surcharges that may apply to our customers and hosts. We believe that we are not otherwise subject to, or required to collect, any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However, there is uncertainty as to what constitutes sufficient physical presence or nexus for a state or local jurisdiction to levy taxes, fees, and surcharges for sales made over the internet, and there is also uncertainty as to whether our characterization of our platform as not taxable in certain jurisdictions will be accepted by state and local taxing authorities. Additionally, we have not historically collected value-added tax ("VAT") or goods and services tax ("GST") on sales of our platform because we make all of our sales through our office in the United States, and we believe, based on information provided to us by our customers, that most of our sales are made to business customers.</w:t>
      </w:r>
    </w:p>
    <w:p>
      <w:pPr>
        <w:spacing w:after="0" w:line="1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Taxing authorities may challenge our position that we do not have sufficient nexus in a taxing jurisdiction or that our platform is not taxable in the jurisdiction and may decide to audit our business and operations with respect to sales, use, telecommunications, VAT, GST, and other taxes, which could result in increased tax liabilities for us or our customers and hosts, which could harm our business.</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The application of indirect taxes (such as sales and use tax, VAT, GST, business tax, and gross receipt tax) to businesses that transact online, such as ours, is a complex and evolving area. Following the recent U.S. Supreme Court decision in </w:t>
      </w:r>
      <w:r>
        <w:rPr>
          <w:rFonts w:ascii="Times New Roman" w:cs="Times New Roman" w:eastAsia="Times New Roman" w:hAnsi="Times New Roman"/>
          <w:sz w:val="18"/>
          <w:szCs w:val="18"/>
          <w:i w:val="1"/>
          <w:iCs w:val="1"/>
          <w:color w:val="auto"/>
        </w:rPr>
        <w:t>South Dakota v. Wayfair, Inc.</w:t>
      </w:r>
      <w:r>
        <w:rPr>
          <w:rFonts w:ascii="Times New Roman" w:cs="Times New Roman" w:eastAsia="Times New Roman" w:hAnsi="Times New Roman"/>
          <w:sz w:val="18"/>
          <w:szCs w:val="18"/>
          <w:color w:val="auto"/>
        </w:rPr>
        <w:t>,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 liabilities based on existing economic nexus laws’ dollar and transaction thresholds. We continue to analyze our exposure for such taxes and liabilities and have accrued $31.3 million and $20.8 million as of October 31, 2019 and January 31, 2019, respectively, for loss contingencies resulting from these potential taxes and liabilities. The application of existing, new, or future laws, whether in the United States or internationally, could harm our business. There have been, and will continue to be, substantial ongoing</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associated with complying with the various indirect tax requirements in the numerous markets in which we conduct or will conduct business.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platform and associated products are subject to various restrictions under U.S. export control and sanctions laws and regulations, including the U.S. Department of Commerce’s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Although we take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have submitted initial and final voluntary self-disclosures concerning potential violations of U.S. sanctions and export control laws and regulations to OFAC and the U.S. Department of Commerce’s BIS.</w:t>
      </w:r>
    </w:p>
    <w:p>
      <w:pPr>
        <w:spacing w:after="0" w:line="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June 2019, OFAC and BIS issued us warning letters as their final enforcement responses to these potential violations but no fines or penalties were assessed. If we are found to be in violation of U.S. economic sanctions or export control laws in the future, it could result in fines and penalties. We may also be adversely affected through other penalties, reputational harm, loss of access to certain markets, or otherwise. While we are working to implement additional controls designed to prevent similar activity from occurring in the future, these controls may not be fully effective.</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fail to develop relationships with new 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which are reported in U.S. dollars, could be adversely affected if currency exchange rates fluctuate substantially in the future.</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sell to customers globally and have international operations primarily in Australia, China, and the United Kingdom. As we continue to expand our international operations, we will become more exposed to the effects of fluctuations in currency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exchange rates. Although the majority of our cash generated from revenue is denominated in U.S. dollars, a small amount is denominated in foreign currencies, and our expenses are generally denominated in the currencies of the jurisdictions in which we conduct our operations. For the nine months ended October 31, 2019 and 2018, 9.1% and 5.8% of our revenue, respectively, and 15.9% and 12.6%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to government entities are subject to a number of additional challenges and risks.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expect to increase our sales to U.S. federal and state and foreign governmental agency customers. For example, we announced in May 2019 that we received authorization under the U.S. Federal Risk and Authorization Management Program ("FedRAMP") that allows U.S. federal government agencies and contractors to securely use our Zoom for Government offering. The additional risks and challenges associated with doing business with governmental entities include, but are not limited to, the following:</w:t>
      </w:r>
    </w:p>
    <w:p>
      <w:pPr>
        <w:spacing w:after="0" w:line="72" w:lineRule="exact"/>
        <w:rPr>
          <w:sz w:val="20"/>
          <w:szCs w:val="20"/>
          <w:color w:val="auto"/>
        </w:rPr>
      </w:pPr>
    </w:p>
    <w:p>
      <w:pPr>
        <w:ind w:left="1140" w:right="20" w:hanging="646"/>
        <w:spacing w:after="0" w:line="282"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to governmental entities can be more competitive, expensive, and time-consuming than selling to private entities, often requiring significant upfront time and expense without any assurance that these efforts will generate a sale;</w:t>
      </w:r>
    </w:p>
    <w:p>
      <w:pPr>
        <w:spacing w:after="0" w:line="53"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certification requirements may change, or we may be unable to achieve or sustain one or more government certifications, including FedRAMP, and in doing so restrict our ability to sell into the government sector until we have attained such certificates;</w:t>
      </w:r>
    </w:p>
    <w:p>
      <w:pPr>
        <w:spacing w:after="0" w:line="53"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entities may have significant leverage in negotiations, thereby enabling such entities to demand contract terms that differ from what we generally agree to in our standard agreements, including, for example, most-favored-nation clauses; and</w:t>
      </w:r>
    </w:p>
    <w:p>
      <w:pPr>
        <w:spacing w:after="0" w:line="53"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demand and payment for our products may be influenced by public sector budgetary cycles and funding authorizations, with funding reductions or delays having an adverse impact on public sector demand for our products.</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To the extent that we become more reliant on contracts with government entities in the future, our exposure to such risks and challenges could increase, which in turn could adversely impact our business.</w:t>
      </w:r>
    </w:p>
    <w:p>
      <w:pPr>
        <w:spacing w:after="0" w:line="2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products,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6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products or develop and introduce new and unproven products, including technologies with which we have little or no prior development or operating experience. These new products and updates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we may fail to generate sufficient revenue, operating margin, or other value to justify our investments in such products, any of which may harm our business in the short term, long term, or both. In addition, our current products, as well as products, features, and functionality that we may introduce in the future, may require us to compensate or reimburse third parties. For example, our new cloud phone system, Zoom Phone, is a private branch exchange phone solution that requires us to compensate carriers that operate the PSTN.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3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Estimates of our market opportunity and forecasts of market growth may prove to be inaccurate, and even if the market in which we compete achieves the forecasted growth, our business could fail to grow at similar rates, if at all.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Market opportunity estimates and growth forecasts for the market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platforms at all,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 in which we compete meets the size estimates and growth forecasts, our business could fail to grow for a variety of reasons outside of our control, including competition in our industry. If any of these risks materialize, it could harm our business and prospects.</w:t>
      </w:r>
    </w:p>
    <w:p>
      <w:pPr>
        <w:spacing w:after="0" w:line="2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6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may be subject to, or assist law enforcement with enforcement of, various laws, including those covering copyright, indecent content, child protection, consumer protection, telecommunications services, taxation, and similar matters. There have been instances where improper or illegal content has been shared on our platform without our knowledge. As a service provider, we do not regularly monitor our platform to evaluate the legality of content shared on it. While to date we have not been subject to material legal or administrative actions as a result of this content,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also subject to various U.S.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business.</w:t>
      </w:r>
    </w:p>
    <w:p>
      <w:pPr>
        <w:spacing w:after="0" w:line="2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Regulation</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recently introduced product, 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 Regulation</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Regulation</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may be in the future, party to intellectual property rights claims and other litigation matters, which, if resolved adversely, could harm our business.</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While we intend to defend these lawsuits vigorously and believe that we have valid defenses to these claims, litigation can be costly and time-consuming,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protect our intellectual property rights and proprietary information could diminish our brand and other intangible assets.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3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significantly affected by a change in the economy, including any resulting effect on consumer or business spending.</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business may be affected by changes in the economy generally, including any resulting effect on spending by our customers. While some of our customers may consider our platform to be a cost-saving purchase, decreasing the need for business travel, others may view a subscription to our platform as a discretionary purchase, and our customers may reduce their discretionary spending on our platform during an economic downturn. If an economic downturn were to occur, we may experience such a reduction in demand and loss of customers, especially in the event of a prolonged recessionary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disrupted by catastrophic events.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exposure to greater than anticipated tax liabilities, which could harm our business.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While to date we have not incurred significant income taxes in operating our business, 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expense, changes in the valuation of, or our ability to use, deferred tax assets and liabilities, the applicability of withholding taxes and effects from acquisitions.</w:t>
      </w:r>
    </w:p>
    <w:p>
      <w:pPr>
        <w:spacing w:after="0" w:line="1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provision for taxes on our financial statements could also be impacted by changes in accounting principles, changes in U.S. federal, state, or international tax laws applicable to corporate multinationals, such as the recent legislation enacted in Australia, the United Kingdom and the United States, other fundamental changes in law currently being considered by many countries and changes in taxing jurisdictions’ administrative interpretations, decisions, policies, and positions.</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subject to review and audit by U.S. federal, state, local, and foreign tax authorities. Such tax authorities may disagree with tax positions we take, and if any such tax authority were to successfully challenge any such position, our business could be harmed. We may also be subject to additional tax liabilities due to changes in non-income-based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As of January 31, 2019, we had $26.9 million of U.S. federal and $10.7 million of state net operating loss carryforwards available to reduce future taxable income, which will begin to expire in 2032 for federal and 2027 for state tax purposes. It is possible that we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Internal Revenue Code of 1986, as amended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completed a Section 382 calculation and have determined that none of the operating losses will expire solely due to Section 382 limitation(s). However, we may experience ownership changes as a result of our initial public offering or in the future as a result of subsequent shifts in our stock ownership, some of which may be outside of our control. If an ownership change occurs and our ability to use our net operating loss carryforwards and tax credits is materially limited, it would harm our business by effectively increasing our future tax obligations.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results of operations may be adversely affected by changes in accounting principles generally accepted in the United States.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Generally accepted accounting principles in the United States are subject to interpretation by the Financial Accounting Standards Board ("FASB"), the Securities and Exchange Commission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For example, we adopted </w:t>
      </w:r>
      <w:r>
        <w:rPr>
          <w:rFonts w:ascii="Times New Roman" w:cs="Times New Roman" w:eastAsia="Times New Roman" w:hAnsi="Times New Roman"/>
          <w:sz w:val="18"/>
          <w:szCs w:val="18"/>
          <w:i w:val="1"/>
          <w:iCs w:val="1"/>
          <w:color w:val="auto"/>
        </w:rPr>
        <w:t>Accounting Standards Update (ASU) No. 2016-02 (Topic 842), Leases</w:t>
      </w:r>
      <w:r>
        <w:rPr>
          <w:rFonts w:ascii="Times New Roman" w:cs="Times New Roman" w:eastAsia="Times New Roman" w:hAnsi="Times New Roman"/>
          <w:sz w:val="18"/>
          <w:szCs w:val="18"/>
          <w:color w:val="auto"/>
        </w:rPr>
        <w:t>, effective as of February 1, 2019. See Note 1 to our condensed consolidated financial statements for more information. It is also difficult to predict the impact of future changes to accounting principles or our accounting policies, any of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we cannot be certain that additional financing will be available on favorable terms, or at all.</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w:t>
      </w:r>
    </w:p>
    <w:p>
      <w:pPr>
        <w:spacing w:after="0" w:line="2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third-party open source software could negatively affect our ability to offer and sell subscriptions to our platform and subject us to possible litigation.</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 portion of the technologies we use incorporates third-party open source software, and we may incorporate third-party open source software in the future.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may be required to publicly release certain portions of our proprietary source code. We could also be required to expend substantial time and resources to re-engineer some of our software. Any of the foregoing could disrupt and harm our business.</w:t>
      </w:r>
    </w:p>
    <w:p>
      <w:pPr>
        <w:spacing w:after="0" w:line="19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2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expended, and anticipate that we will continue to expend, significant resources, including accounting-related costs and significant management oversight.</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8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will be required to provide an annual management report on the effectiveness of our internal control over financial reporting commencing with our second annual report on Form 10-K.</w:t>
      </w:r>
    </w:p>
    <w:p>
      <w:pPr>
        <w:spacing w:after="0" w:line="18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formally attest to the effectiveness of our internal control over financial reporting until our first annual report filed with the SEC where we are an accelerated filer or a large accelerated filer.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2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or receive offers to be acquired, which could require significant management attention, disrupt our business, or dilute stockholder value.</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may in the future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may be volatile, and you could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Prior to our initial public offering, there was no public market for shares of our Class A common stock. The trading price of our Class A common stock is likely to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following:</w:t>
      </w:r>
    </w:p>
    <w:p>
      <w:pPr>
        <w:spacing w:after="0" w:line="72" w:lineRule="exact"/>
        <w:rPr>
          <w:sz w:val="20"/>
          <w:szCs w:val="20"/>
          <w:color w:val="auto"/>
        </w:rPr>
      </w:pPr>
    </w:p>
    <w:p>
      <w:pPr>
        <w:ind w:left="1140" w:hanging="64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technology stocks;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those projections, or our failure to meet those projections;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features, or services;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results of operations or fluctuations in our results of operations;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products, services, or technologies by us or our competitors;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 and</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in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as contained in our amended and restated COI has the effect of concentrating voting control with those stockholders who held our stock prior to our initial public offering, including our executive officers, employees, and directors and their affiliates, limiting your ability to influence corporate matters.</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Class B common stock has 10 votes per share and our Class A common stock has one vote per share. As of October 31, 2019, the holders of our outstanding Class B common stock held 93.9% of the voting power of our outstanding capital stock, with our directors, executive officers and 5% stockholders and their respective affiliates holding 72.0% of such voting power in the aggregate. As of October 31, 2019, our founder, President and Chief Executive Officer, Eric S. Yuan, together with his affiliates, held approximately 16.8% of our outstanding capital stock but controlled approximately 26.0%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w:t>
      </w:r>
    </w:p>
    <w:p>
      <w:pPr>
        <w:spacing w:after="0" w:line="4" w:lineRule="exact"/>
        <w:rPr>
          <w:sz w:val="20"/>
          <w:szCs w:val="20"/>
          <w:color w:val="auto"/>
        </w:rPr>
      </w:pPr>
    </w:p>
    <w:p>
      <w:pPr>
        <w:jc w:val="both"/>
        <w:ind w:firstLine="8"/>
        <w:spacing w:after="0" w:line="255" w:lineRule="auto"/>
        <w:tabs>
          <w:tab w:leader="none" w:pos="23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initial public offering.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18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in July 2017, FTSE Russell and Standard &amp; Poor’s announced that they would cease to allow most newly public companies utilizing dual-or multi-class capital structures to be included in their indices. Affected indices include the Russell 2000 and the S&amp;P 500, S&amp;P MidCap 400, and S&amp;P SmallCap 600, which together make up the S&amp;P Composite 1500. Under the announced policies, our dual-class capital structure would make us ineligible for inclusion in any of these indices, and as a result, mutual funds, exchange-traded funds, and other investment vehicles that attempt to passively track these indices will not be investing in our stock. These policies are new, and it is as of yet unclear what effect, if any, they will have on the valuations of publicly traded companies excluded from the indices, but it is possible that they may depress these valuations or depress our trading volume compared to those of other similar companies that are included.</w:t>
      </w:r>
    </w:p>
    <w:p>
      <w:pPr>
        <w:spacing w:after="0" w:line="2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Class A common stock and Class B common stock could cause the market price of our Class A common stock to decline.</w:t>
      </w:r>
    </w:p>
    <w:p>
      <w:pPr>
        <w:spacing w:after="0" w:line="5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RSU awards are available for immediate resale in the United States in the open market.</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5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Zoom, even if a change in control was considered favorable by our stockholders.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charter documents also contain other provisions that could have an anti-takeover effect, such as:</w:t>
      </w:r>
    </w:p>
    <w:p>
      <w:pPr>
        <w:spacing w:after="0" w:line="117" w:lineRule="exact"/>
        <w:rPr>
          <w:sz w:val="20"/>
          <w:szCs w:val="20"/>
          <w:color w:val="auto"/>
        </w:rPr>
      </w:pPr>
    </w:p>
    <w:p>
      <w:pPr>
        <w:ind w:left="5620" w:right="2000" w:hanging="5045"/>
        <w:spacing w:after="0" w:line="924" w:lineRule="auto"/>
        <w:tabs>
          <w:tab w:leader="none" w:pos="11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so that not all members of our board of directors are elected at one time;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the board of directors to establish the number of directors and fill any vacancies and newly created directorships;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only be removed for cause;</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for directors;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super-majority voting to amend some provisions in our certificate of incorporation and bylaws;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that our board of directors could use to implement a stockholder rights plan;</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ability of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which requires all stockholder actions to be taken at a meeting of our stockholders; and</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common stock structure as described above.</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COI designates the Court of Chancery of the State of Delaware and, to the extent enforceable,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In addition, our amended and restated certificate of incorporation will provide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harm our results of operations. For example, the Court of Chancery of the State of Delaware recently determined that the exclusive forum provision of federal district courts of the United States of America for resolving any complaint asserting a cause of action arising under the Securities Act is not enforceable. However, this decision may be reviewed and ultimately overturned by the Delaware Supreme Court. If this ultimate adjudication were to occur, we would enforce the federal district court exclusive forum provision in our amended and restated certificate of incorporation.</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5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trading market for our Class A common stock depends in part on the research and reports that securities or industry analysts publish about us or our business. The analysts’ estimates are based upon their own opinions and are often different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costs and demands upon management as a result of complying with the laws and regulations affecting public companies in the United States, which may harm our business.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18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intend to comply only with reduced disclosure requirements applicable to emerging growth companies.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our Class A common stock could be less attractive to investors.</w:t>
      </w:r>
    </w:p>
    <w:p>
      <w:pPr>
        <w:spacing w:after="0" w:line="9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and for as long as we continue to be an emerging growth company, we may choose to take advantage of exemptions from various reporting requirements applicable to other public companies but not to emerging growth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will remain an emerging growth company until the earlier of (i) the last day of the fiscal year (a) following the fifth anniversary of the completion of our initial public offering, (b) in which we have total annual gross revenue of more than $1.07 billion, or (c) in which we are deemed to be a large accelerated filer, which means the market value of our common stock held by non-affiliates exceeds $700 million as of the prior July 31 and (ii) the date on which we have issued more than $1.0 billion in non-convertible debt during the prior three-year period. 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our stock price may be more volatile.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56"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The Registration Statement on Form S-1 (File No. 333-230444) for our IPO was declared effective by the SEC on April 17, 2019, pursuant to which we sold 13,041,869 shares of our Class A common stock, including 3,130,435 shares sold pursuant to the underwriters’ full exercise of their right to purchase additional shares, at a public offering price of $36.00 per share.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has been no material change in the planned use of proceeds from the IPO as described in our Prospectus.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720" w:type="dxa"/>
            <w:vAlign w:val="bottom"/>
            <w:tcBorders>
              <w:bottom w:val="single" w:sz="8" w:color="auto"/>
            </w:tcBorders>
          </w:tcPr>
          <w:p>
            <w:pPr>
              <w:spacing w:after="0"/>
              <w:rPr>
                <w:sz w:val="16"/>
                <w:szCs w:val="16"/>
                <w:color w:val="auto"/>
              </w:rPr>
            </w:pPr>
          </w:p>
        </w:tc>
      </w:tr>
      <w:tr>
        <w:trPr>
          <w:trHeight w:val="193"/>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6"/>
                <w:szCs w:val="16"/>
                <w:color w:val="auto"/>
              </w:rPr>
            </w:pPr>
          </w:p>
        </w:tc>
        <w:tc>
          <w:tcPr>
            <w:tcW w:w="4660" w:type="dxa"/>
            <w:vAlign w:val="bottom"/>
            <w:gridSpan w:val="4"/>
          </w:tcPr>
          <w:p>
            <w:pPr>
              <w:ind w:left="15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1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940" w:type="dxa"/>
            <w:vAlign w:val="bottom"/>
            <w:gridSpan w:val="5"/>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Amended and Restated Certificate of Incorporation of Zoom</w:t>
              </w:r>
            </w:hyperlink>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001-38865</w:t>
            </w:r>
          </w:p>
        </w:tc>
        <w:tc>
          <w:tcPr>
            <w:tcW w:w="12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3.1</w:t>
            </w:r>
          </w:p>
        </w:tc>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23, 2019</w:t>
            </w:r>
          </w:p>
        </w:tc>
      </w:tr>
      <w:tr>
        <w:trPr>
          <w:trHeight w:val="183"/>
        </w:trPr>
        <w:tc>
          <w:tcPr>
            <w:tcW w:w="1160" w:type="dxa"/>
            <w:vAlign w:val="bottom"/>
          </w:tcPr>
          <w:p>
            <w:pPr>
              <w:spacing w:after="0"/>
              <w:rPr>
                <w:sz w:val="15"/>
                <w:szCs w:val="15"/>
                <w:color w:val="auto"/>
              </w:rPr>
            </w:pPr>
          </w:p>
        </w:tc>
        <w:tc>
          <w:tcPr>
            <w:tcW w:w="208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Video Communications, Inc.</w:t>
              </w:r>
            </w:hyperlink>
          </w:p>
        </w:tc>
        <w:tc>
          <w:tcPr>
            <w:tcW w:w="2300" w:type="dxa"/>
            <w:vAlign w:val="bottom"/>
            <w:tcBorders>
              <w:top w:val="single" w:sz="8" w:color="0000FF"/>
            </w:tcBorders>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3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940" w:type="dxa"/>
            <w:vAlign w:val="bottom"/>
            <w:gridSpan w:val="5"/>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Amended and Restated Bylaws of Zoom Video Communications,</w:t>
              </w:r>
            </w:hyperlink>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333-230444</w:t>
            </w:r>
          </w:p>
        </w:tc>
        <w:tc>
          <w:tcPr>
            <w:tcW w:w="12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3.4</w:t>
            </w:r>
          </w:p>
        </w:tc>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8, 2019</w:t>
            </w:r>
          </w:p>
        </w:tc>
      </w:tr>
      <w:tr>
        <w:trPr>
          <w:trHeight w:val="183"/>
        </w:trPr>
        <w:tc>
          <w:tcPr>
            <w:tcW w:w="1160" w:type="dxa"/>
            <w:vAlign w:val="bottom"/>
          </w:tcPr>
          <w:p>
            <w:pPr>
              <w:spacing w:after="0"/>
              <w:rPr>
                <w:sz w:val="15"/>
                <w:szCs w:val="15"/>
                <w:color w:val="auto"/>
              </w:rPr>
            </w:pPr>
          </w:p>
        </w:tc>
        <w:tc>
          <w:tcPr>
            <w:tcW w:w="4720" w:type="dxa"/>
            <w:vAlign w:val="bottom"/>
            <w:tcBorders>
              <w:top w:val="single" w:sz="8" w:color="0000FF"/>
            </w:tcBorders>
            <w:gridSpan w:val="4"/>
          </w:tcPr>
          <w:p>
            <w:pPr>
              <w:spacing w:after="0" w:line="182"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Inc.</w:t>
              </w:r>
            </w:hyperlink>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4"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u w:val="single" w:color="auto"/>
          <w:color w:val="0000FF"/>
        </w:rPr>
      </w:pPr>
      <w:hyperlink w:anchor="page64">
        <w:r>
          <w:rPr>
            <w:rFonts w:ascii="Times New Roman" w:cs="Times New Roman" w:eastAsia="Times New Roman" w:hAnsi="Times New Roman"/>
            <w:sz w:val="18"/>
            <w:szCs w:val="18"/>
            <w:u w:val="single" w:color="auto"/>
            <w:color w:val="0000FF"/>
          </w:rPr>
          <w:t>Certification of Chief Executive Officer pursuant to Exchange Act</w:t>
        </w:r>
      </w:hyperlink>
    </w:p>
    <w:p>
      <w:pPr>
        <w:spacing w:after="0" w:line="203" w:lineRule="auto"/>
        <w:rPr>
          <w:rFonts w:ascii="Times New Roman" w:cs="Times New Roman" w:eastAsia="Times New Roman" w:hAnsi="Times New Roman"/>
          <w:sz w:val="18"/>
          <w:szCs w:val="18"/>
          <w:u w:val="single" w:color="auto"/>
          <w:color w:val="0000FF"/>
        </w:rPr>
      </w:pPr>
      <w:hyperlink w:anchor="page64">
        <w:r>
          <w:rPr>
            <w:rFonts w:ascii="Times New Roman" w:cs="Times New Roman" w:eastAsia="Times New Roman" w:hAnsi="Times New Roman"/>
            <w:sz w:val="18"/>
            <w:szCs w:val="18"/>
            <w:u w:val="single" w:color="auto"/>
            <w:color w:val="0000FF"/>
          </w:rPr>
          <w:t>Rules 13a-14(a) and 15d-14(a), as adopted pursuant to Section</w:t>
        </w:r>
      </w:hyperlink>
    </w:p>
    <w:p>
      <w:pPr>
        <w:spacing w:after="0"/>
        <w:rPr>
          <w:rFonts w:ascii="Times New Roman" w:cs="Times New Roman" w:eastAsia="Times New Roman" w:hAnsi="Times New Roman"/>
          <w:sz w:val="18"/>
          <w:szCs w:val="18"/>
          <w:u w:val="single" w:color="auto"/>
          <w:color w:val="0000FF"/>
        </w:rPr>
      </w:pPr>
      <w:hyperlink w:anchor="page64">
        <w:r>
          <w:rPr>
            <w:rFonts w:ascii="Times New Roman" w:cs="Times New Roman" w:eastAsia="Times New Roman" w:hAnsi="Times New Roman"/>
            <w:sz w:val="18"/>
            <w:szCs w:val="18"/>
            <w:u w:val="single" w:color="auto"/>
            <w:color w:val="0000FF"/>
          </w:rPr>
          <w:t>302 of the Sarbanes-Oxley Act of 2002.</w:t>
        </w:r>
      </w:hyperlink>
    </w:p>
    <w:p>
      <w:pPr>
        <w:spacing w:after="0" w:line="229" w:lineRule="auto"/>
        <w:rPr>
          <w:rFonts w:ascii="Times New Roman" w:cs="Times New Roman" w:eastAsia="Times New Roman" w:hAnsi="Times New Roman"/>
          <w:sz w:val="18"/>
          <w:szCs w:val="18"/>
          <w:u w:val="single" w:color="auto"/>
          <w:color w:val="0000FF"/>
        </w:rPr>
      </w:pPr>
      <w:hyperlink w:anchor="page65">
        <w:r>
          <w:rPr>
            <w:rFonts w:ascii="Times New Roman" w:cs="Times New Roman" w:eastAsia="Times New Roman" w:hAnsi="Times New Roman"/>
            <w:sz w:val="18"/>
            <w:szCs w:val="18"/>
            <w:u w:val="single" w:color="auto"/>
            <w:color w:val="0000FF"/>
          </w:rPr>
          <w:t>Certification of Chief Financial Officer pursuant to Exchange Act</w:t>
        </w:r>
      </w:hyperlink>
    </w:p>
    <w:p>
      <w:pPr>
        <w:spacing w:after="0" w:line="204" w:lineRule="auto"/>
        <w:rPr>
          <w:rFonts w:ascii="Times New Roman" w:cs="Times New Roman" w:eastAsia="Times New Roman" w:hAnsi="Times New Roman"/>
          <w:sz w:val="18"/>
          <w:szCs w:val="18"/>
          <w:u w:val="single" w:color="auto"/>
          <w:color w:val="0000FF"/>
        </w:rPr>
      </w:pPr>
      <w:hyperlink w:anchor="page65">
        <w:r>
          <w:rPr>
            <w:rFonts w:ascii="Times New Roman" w:cs="Times New Roman" w:eastAsia="Times New Roman" w:hAnsi="Times New Roman"/>
            <w:sz w:val="18"/>
            <w:szCs w:val="18"/>
            <w:u w:val="single" w:color="auto"/>
            <w:color w:val="0000FF"/>
          </w:rPr>
          <w:t>Rules 13a-14(a) and 15d-14(a), as adopted pursuant to Section</w:t>
        </w:r>
      </w:hyperlink>
    </w:p>
    <w:p>
      <w:pPr>
        <w:spacing w:after="0"/>
        <w:rPr>
          <w:rFonts w:ascii="Times New Roman" w:cs="Times New Roman" w:eastAsia="Times New Roman" w:hAnsi="Times New Roman"/>
          <w:sz w:val="18"/>
          <w:szCs w:val="18"/>
          <w:u w:val="single" w:color="auto"/>
          <w:color w:val="0000FF"/>
        </w:rPr>
      </w:pPr>
      <w:hyperlink w:anchor="page65">
        <w:r>
          <w:rPr>
            <w:rFonts w:ascii="Times New Roman" w:cs="Times New Roman" w:eastAsia="Times New Roman" w:hAnsi="Times New Roman"/>
            <w:sz w:val="18"/>
            <w:szCs w:val="18"/>
            <w:u w:val="single" w:color="auto"/>
            <w:color w:val="0000FF"/>
          </w:rPr>
          <w:t>302 of the Sarbanes-Oxley Act of 2002.</w:t>
        </w:r>
      </w:hyperlink>
    </w:p>
    <w:p>
      <w:pPr>
        <w:spacing w:after="0" w:line="229" w:lineRule="auto"/>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Certifications of Chief Executive Officer and Chief Financial</w:t>
        </w:r>
      </w:hyperlink>
    </w:p>
    <w:p>
      <w:pPr>
        <w:spacing w:after="0" w:line="204" w:lineRule="auto"/>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Officer pursuant to 18 U.S.C. Section 1350, as adopted pursuant</w:t>
        </w:r>
      </w:hyperlink>
    </w:p>
    <w:p>
      <w:pPr>
        <w:spacing w:after="0"/>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to Section 906 of the Sarbanes-Oxley Act of 2002.</w:t>
        </w:r>
      </w:hyperlink>
    </w:p>
    <w:p>
      <w:pPr>
        <w:spacing w:after="0" w:line="16" w:lineRule="exact"/>
        <w:rPr>
          <w:sz w:val="20"/>
          <w:szCs w:val="20"/>
          <w:color w:val="auto"/>
        </w:rPr>
      </w:pPr>
    </w:p>
    <w:p>
      <w:pPr>
        <w:sectPr>
          <w:pgSz w:w="11900" w:h="16838" w:orient="portrait"/>
          <w:cols w:equalWidth="0" w:num="2">
            <w:col w:w="460" w:space="720"/>
            <w:col w:w="10240"/>
          </w:cols>
          <w:pgMar w:left="240" w:top="121" w:right="239" w:bottom="1440" w:gutter="0" w:footer="0" w:header="0"/>
          <w:type w:val="continuous"/>
        </w:sect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7"/>
          <w:szCs w:val="17"/>
          <w:color w:val="auto"/>
        </w:rPr>
        <w:t>XBRL Instance Document</w:t>
      </w:r>
    </w:p>
    <w:p>
      <w:pPr>
        <w:spacing w:after="0" w:line="63"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color w:val="auto"/>
        </w:rPr>
        <w:t>101.SCH*</w:t>
      </w:r>
      <w:r>
        <w:rPr>
          <w:sz w:val="20"/>
          <w:szCs w:val="20"/>
          <w:color w:val="auto"/>
        </w:rPr>
        <w:tab/>
      </w:r>
      <w:r>
        <w:rPr>
          <w:rFonts w:ascii="Times New Roman" w:cs="Times New Roman" w:eastAsia="Times New Roman" w:hAnsi="Times New Roman"/>
          <w:sz w:val="17"/>
          <w:szCs w:val="17"/>
          <w:color w:val="auto"/>
        </w:rPr>
        <w:t>XBRL Taxonomy Extension Schema Document</w:t>
      </w:r>
    </w:p>
    <w:p>
      <w:pPr>
        <w:spacing w:after="0" w:line="63"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color w:val="auto"/>
        </w:rPr>
        <w:t>101.CAL*</w:t>
      </w:r>
      <w:r>
        <w:rPr>
          <w:sz w:val="20"/>
          <w:szCs w:val="20"/>
          <w:color w:val="auto"/>
        </w:rPr>
        <w:tab/>
      </w:r>
      <w:r>
        <w:rPr>
          <w:rFonts w:ascii="Times New Roman" w:cs="Times New Roman" w:eastAsia="Times New Roman" w:hAnsi="Times New Roman"/>
          <w:sz w:val="17"/>
          <w:szCs w:val="17"/>
          <w:color w:val="auto"/>
        </w:rPr>
        <w:t>XBRL Taxonomy Extension Calculation Linkbase Document</w:t>
      </w:r>
    </w:p>
    <w:p>
      <w:pPr>
        <w:spacing w:after="0" w:line="63"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color w:val="auto"/>
        </w:rPr>
        <w:t>101.DEF*</w:t>
      </w:r>
      <w:r>
        <w:rPr>
          <w:sz w:val="20"/>
          <w:szCs w:val="20"/>
          <w:color w:val="auto"/>
        </w:rPr>
        <w:tab/>
      </w:r>
      <w:r>
        <w:rPr>
          <w:rFonts w:ascii="Times New Roman" w:cs="Times New Roman" w:eastAsia="Times New Roman" w:hAnsi="Times New Roman"/>
          <w:sz w:val="17"/>
          <w:szCs w:val="17"/>
          <w:color w:val="auto"/>
        </w:rPr>
        <w:t>XBRL Taxonomy Extension Definition Linkbase Document</w:t>
      </w:r>
    </w:p>
    <w:p>
      <w:pPr>
        <w:spacing w:after="0" w:line="63"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color w:val="auto"/>
        </w:rPr>
        <w:t>101.LAB*</w:t>
      </w:r>
      <w:r>
        <w:rPr>
          <w:sz w:val="20"/>
          <w:szCs w:val="20"/>
          <w:color w:val="auto"/>
        </w:rPr>
        <w:tab/>
      </w:r>
      <w:r>
        <w:rPr>
          <w:rFonts w:ascii="Times New Roman" w:cs="Times New Roman" w:eastAsia="Times New Roman" w:hAnsi="Times New Roman"/>
          <w:sz w:val="17"/>
          <w:szCs w:val="17"/>
          <w:color w:val="auto"/>
        </w:rPr>
        <w:t>XBRL Taxonomy Extension Label Linkbase Document</w:t>
      </w:r>
    </w:p>
    <w:p>
      <w:pPr>
        <w:spacing w:after="0" w:line="63"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17"/>
          <w:szCs w:val="17"/>
          <w:color w:val="auto"/>
        </w:rPr>
        <w:t>XBRL Taxonomy Extension Presentation Linkbase Document</w:t>
      </w:r>
    </w:p>
    <w:p>
      <w:pPr>
        <w:spacing w:after="0" w:line="63" w:lineRule="exact"/>
        <w:rPr>
          <w:sz w:val="20"/>
          <w:szCs w:val="20"/>
          <w:color w:val="auto"/>
        </w:rPr>
      </w:pPr>
    </w:p>
    <w:p>
      <w:pPr>
        <w:ind w:left="1180" w:right="5560" w:hanging="1154"/>
        <w:spacing w:after="0" w:line="266" w:lineRule="auto"/>
        <w:tabs>
          <w:tab w:leader="none" w:pos="11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Registrant’s Quarterly Report on Form 10-Q for the quarter ended October 31, 2019, has been formatted in Inline XBRL</w:t>
      </w:r>
    </w:p>
    <w:p>
      <w:pPr>
        <w:spacing w:after="0" w:line="9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660" w:hanging="652"/>
        <w:spacing w:after="0" w:line="254" w:lineRule="auto"/>
        <w:tabs>
          <w:tab w:leader="none" w:pos="18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2" w:name="page63"/>
    <w:bookmarkEnd w:id="6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7020" w:type="dxa"/>
            <w:vAlign w:val="bottom"/>
            <w:gridSpan w:val="2"/>
          </w:tcPr>
          <w:p>
            <w:pPr>
              <w:ind w:left="2600"/>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tc>
      </w:tr>
      <w:tr>
        <w:trPr>
          <w:trHeight w:val="52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6, 2019</w:t>
            </w:r>
          </w:p>
        </w:tc>
        <w:tc>
          <w:tcPr>
            <w:tcW w:w="702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By: /s/ Eric S. Yuan</w:t>
            </w:r>
          </w:p>
        </w:tc>
      </w:tr>
      <w:tr>
        <w:trPr>
          <w:trHeight w:val="27"/>
        </w:trPr>
        <w:tc>
          <w:tcPr>
            <w:tcW w:w="43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Eric S. Yuan</w:t>
            </w:r>
          </w:p>
        </w:tc>
      </w:tr>
      <w:tr>
        <w:trPr>
          <w:trHeight w:val="270"/>
        </w:trPr>
        <w:tc>
          <w:tcPr>
            <w:tcW w:w="436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436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2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6, 2019</w:t>
            </w:r>
          </w:p>
        </w:tc>
        <w:tc>
          <w:tcPr>
            <w:tcW w:w="702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By: /s/ Kelly Steckelberg</w:t>
            </w:r>
          </w:p>
        </w:tc>
      </w:tr>
      <w:tr>
        <w:trPr>
          <w:trHeight w:val="27"/>
        </w:trPr>
        <w:tc>
          <w:tcPr>
            <w:tcW w:w="43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Kelly Steckelberg</w:t>
            </w:r>
          </w:p>
        </w:tc>
      </w:tr>
      <w:tr>
        <w:trPr>
          <w:trHeight w:val="270"/>
        </w:trPr>
        <w:tc>
          <w:tcPr>
            <w:tcW w:w="436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436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9" w:lineRule="exact"/>
        <w:rPr>
          <w:sz w:val="20"/>
          <w:szCs w:val="20"/>
          <w:color w:val="auto"/>
        </w:rPr>
      </w:pPr>
    </w:p>
    <w:p>
      <w:pPr>
        <w:jc w:val="center"/>
        <w:ind w:left="260" w:right="2240"/>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PURSUANT TO EXCHANGE ACT RULES 13a-14(a) AND 15d-14(a) AS ADOPTED PURSUANT TO SECTION 302 OF 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S. Yuan, certify that:</w:t>
      </w:r>
    </w:p>
    <w:p>
      <w:pPr>
        <w:spacing w:after="0" w:line="185"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Zoom Video Communications, Inc.;</w:t>
      </w:r>
    </w:p>
    <w:p>
      <w:pPr>
        <w:spacing w:after="0" w:line="18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Times New Roman" w:cs="Times New Roman" w:eastAsia="Times New Roman" w:hAnsi="Times New Roman"/>
          <w:sz w:val="18"/>
          <w:szCs w:val="18"/>
          <w:color w:val="auto"/>
        </w:rPr>
      </w:pPr>
    </w:p>
    <w:p>
      <w:pPr>
        <w:ind w:left="1300" w:right="400" w:hanging="644"/>
        <w:spacing w:after="0" w:line="313" w:lineRule="auto"/>
        <w:tabs>
          <w:tab w:leader="none" w:pos="13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Times New Roman" w:cs="Times New Roman" w:eastAsia="Times New Roman" w:hAnsi="Times New Roman"/>
          <w:sz w:val="17"/>
          <w:szCs w:val="17"/>
          <w:color w:val="auto"/>
        </w:rPr>
      </w:pPr>
    </w:p>
    <w:p>
      <w:pPr>
        <w:ind w:left="1300" w:right="420" w:hanging="644"/>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1" w:lineRule="exact"/>
        <w:rPr>
          <w:rFonts w:ascii="Times New Roman" w:cs="Times New Roman" w:eastAsia="Times New Roman" w:hAnsi="Times New Roman"/>
          <w:sz w:val="18"/>
          <w:szCs w:val="18"/>
          <w:color w:val="auto"/>
        </w:rPr>
      </w:pPr>
    </w:p>
    <w:p>
      <w:pPr>
        <w:ind w:left="1960" w:right="80" w:hanging="655"/>
        <w:spacing w:after="0" w:line="266" w:lineRule="auto"/>
        <w:tabs>
          <w:tab w:leader="none" w:pos="195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8"/>
          <w:szCs w:val="18"/>
          <w:color w:val="auto"/>
        </w:rPr>
      </w:pPr>
    </w:p>
    <w:p>
      <w:pPr>
        <w:ind w:left="1960" w:right="20" w:hanging="655"/>
        <w:spacing w:after="0" w:line="266" w:lineRule="auto"/>
        <w:tabs>
          <w:tab w:leader="none" w:pos="19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960" w:right="140" w:hanging="655"/>
        <w:spacing w:after="0" w:line="266" w:lineRule="auto"/>
        <w:tabs>
          <w:tab w:leader="none" w:pos="195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1300" w:right="320" w:hanging="644"/>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420"/>
          </w:cols>
          <w:pgMar w:left="240" w:top="887" w:right="239" w:bottom="1440" w:gutter="0" w:footer="0" w:header="0"/>
        </w:sectPr>
      </w:pP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w:t>
      </w:r>
    </w:p>
    <w:p>
      <w:pPr>
        <w:spacing w:after="0" w:line="200" w:lineRule="exact"/>
        <w:rPr>
          <w:sz w:val="20"/>
          <w:szCs w:val="20"/>
          <w:color w:val="auto"/>
        </w:rPr>
      </w:pPr>
    </w:p>
    <w:p>
      <w:pPr>
        <w:spacing w:after="0" w:line="2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December 6, 2019</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right="80" w:hanging="9"/>
        <w:spacing w:after="0" w:line="313" w:lineRule="auto"/>
        <w:rPr>
          <w:sz w:val="20"/>
          <w:szCs w:val="20"/>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67" w:lineRule="exact"/>
        <w:rPr>
          <w:sz w:val="20"/>
          <w:szCs w:val="20"/>
          <w:color w:val="auto"/>
        </w:rPr>
      </w:pPr>
    </w:p>
    <w:p>
      <w:pPr>
        <w:ind w:left="4760"/>
        <w:spacing w:after="0"/>
        <w:tabs>
          <w:tab w:leader="none" w:pos="5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34290</wp:posOffset>
            </wp:positionV>
            <wp:extent cx="25298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Eric S. Yuan</w:t>
      </w:r>
    </w:p>
    <w:p>
      <w:pPr>
        <w:spacing w:after="0" w:line="6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2">
            <w:col w:w="1780" w:space="180"/>
            <w:col w:w="9460"/>
          </w:cols>
          <w:pgMar w:left="240" w:top="887" w:right="239" w:bottom="1440" w:gutter="0" w:footer="0" w:header="0"/>
          <w:type w:val="continuous"/>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2" w:lineRule="exact"/>
        <w:rPr>
          <w:sz w:val="20"/>
          <w:szCs w:val="20"/>
          <w:color w:val="auto"/>
        </w:rPr>
      </w:pPr>
    </w:p>
    <w:p>
      <w:pPr>
        <w:jc w:val="center"/>
        <w:ind w:left="260" w:right="2240"/>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EXCHANGE ACT RULES 13a-14(a) AND 15d-14(a) AS ADOPTED PURSUANT TO SECTION 302 OF THE SARBANES-OXLEY ACT OF 2002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Kelly Steckelberg, certify that:</w:t>
      </w:r>
    </w:p>
    <w:p>
      <w:pPr>
        <w:spacing w:after="0" w:line="185"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Zoom Video Communications, Inc.;</w:t>
      </w:r>
    </w:p>
    <w:p>
      <w:pPr>
        <w:spacing w:after="0" w:line="198"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1300" w:right="400" w:hanging="644"/>
        <w:spacing w:after="0" w:line="313" w:lineRule="auto"/>
        <w:tabs>
          <w:tab w:leader="none" w:pos="13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Times New Roman" w:cs="Times New Roman" w:eastAsia="Times New Roman" w:hAnsi="Times New Roman"/>
          <w:sz w:val="17"/>
          <w:szCs w:val="17"/>
          <w:color w:val="auto"/>
        </w:rPr>
      </w:pPr>
    </w:p>
    <w:p>
      <w:pPr>
        <w:ind w:left="1300" w:right="42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34" w:lineRule="exact"/>
        <w:rPr>
          <w:rFonts w:ascii="Times New Roman" w:cs="Times New Roman" w:eastAsia="Times New Roman" w:hAnsi="Times New Roman"/>
          <w:sz w:val="18"/>
          <w:szCs w:val="18"/>
          <w:color w:val="auto"/>
        </w:rPr>
      </w:pPr>
    </w:p>
    <w:p>
      <w:pPr>
        <w:ind w:left="1960" w:right="80" w:hanging="655"/>
        <w:spacing w:after="0" w:line="266" w:lineRule="auto"/>
        <w:tabs>
          <w:tab w:leader="none" w:pos="195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960" w:right="20" w:hanging="655"/>
        <w:spacing w:after="0" w:line="266" w:lineRule="auto"/>
        <w:tabs>
          <w:tab w:leader="none" w:pos="19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960" w:right="140" w:hanging="655"/>
        <w:spacing w:after="0" w:line="266" w:lineRule="auto"/>
        <w:tabs>
          <w:tab w:leader="none" w:pos="195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18"/>
          <w:szCs w:val="18"/>
          <w:color w:val="auto"/>
        </w:rPr>
      </w:pPr>
    </w:p>
    <w:p>
      <w:pPr>
        <w:ind w:left="1300" w:right="320" w:hanging="644"/>
        <w:spacing w:after="0" w:line="266"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960" w:right="80" w:hanging="655"/>
        <w:spacing w:after="0" w:line="313" w:lineRule="auto"/>
        <w:tabs>
          <w:tab w:leader="none" w:pos="195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Times New Roman" w:cs="Times New Roman" w:eastAsia="Times New Roman" w:hAnsi="Times New Roman"/>
          <w:sz w:val="17"/>
          <w:szCs w:val="17"/>
          <w:color w:val="auto"/>
        </w:rPr>
      </w:pPr>
    </w:p>
    <w:p>
      <w:pPr>
        <w:ind w:left="1960" w:right="260" w:hanging="655"/>
        <w:spacing w:after="0" w:line="282" w:lineRule="auto"/>
        <w:tabs>
          <w:tab w:leader="none" w:pos="19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8"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3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By: /s/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34290</wp:posOffset>
            </wp:positionV>
            <wp:extent cx="25901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7320" w:right="2420" w:hanging="7292"/>
        <w:spacing w:after="0" w:line="330" w:lineRule="auto"/>
        <w:tabs>
          <w:tab w:leader="none" w:pos="7300" w:val="left"/>
        </w:tabs>
        <w:rPr>
          <w:sz w:val="20"/>
          <w:szCs w:val="20"/>
          <w:color w:val="auto"/>
        </w:rPr>
      </w:pPr>
      <w:r>
        <w:rPr>
          <w:rFonts w:ascii="Times New Roman" w:cs="Times New Roman" w:eastAsia="Times New Roman" w:hAnsi="Times New Roman"/>
          <w:sz w:val="18"/>
          <w:szCs w:val="18"/>
          <w:color w:val="auto"/>
        </w:rPr>
        <w:t>Date: December 6, 2019</w:t>
      </w:r>
      <w:r>
        <w:rPr>
          <w:sz w:val="20"/>
          <w:szCs w:val="20"/>
          <w:color w:val="auto"/>
        </w:rPr>
        <w:tab/>
      </w:r>
      <w:r>
        <w:rPr>
          <w:rFonts w:ascii="Times New Roman" w:cs="Times New Roman" w:eastAsia="Times New Roman" w:hAnsi="Times New Roman"/>
          <w:sz w:val="17"/>
          <w:szCs w:val="17"/>
          <w:color w:val="auto"/>
        </w:rPr>
        <w:t>Kelly Steckelberg Chief Financial Officer</w:t>
      </w:r>
    </w:p>
    <w:p>
      <w:pPr>
        <w:spacing w:after="0" w:line="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420"/>
          </w:cols>
          <w:pgMar w:left="240" w:top="1063"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p>
      <w:pPr>
        <w:spacing w:after="0" w:line="200" w:lineRule="exact"/>
        <w:rPr>
          <w:sz w:val="20"/>
          <w:szCs w:val="20"/>
          <w:color w:val="auto"/>
        </w:rPr>
      </w:pPr>
    </w:p>
    <w:p>
      <w:pPr>
        <w:spacing w:after="0" w:line="39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 Eric S. Yuan, certify, pursuant to 18 U.S.C. Section 1350, as adopted pursuant to Section 906 of the Sarbanes-Oxley Act of 2002, that the Quarterly Report on Form 10-Q of Zoom Video Communications, Inc. for the fiscal quarter ended October 31, 2019 fully complies with the requirements of Section 13(a) or 15(d) of the Securities Exchange Act of 1934 and that information contained in such Quarterly Report on Form 10-Q fairly presents, in all material respects, the financial condition and results of operations of Zoom Video Communications, Inc.</w:t>
      </w:r>
    </w:p>
    <w:p>
      <w:pPr>
        <w:spacing w:after="0" w:line="14"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37" w:lineRule="exact"/>
        <w:rPr>
          <w:sz w:val="20"/>
          <w:szCs w:val="20"/>
          <w:color w:val="auto"/>
        </w:rPr>
      </w:pPr>
    </w:p>
    <w:p>
      <w:pPr>
        <w:ind w:left="20"/>
        <w:spacing w:after="0"/>
        <w:tabs>
          <w:tab w:leader="none" w:pos="6900" w:val="left"/>
        </w:tabs>
        <w:rPr>
          <w:sz w:val="20"/>
          <w:szCs w:val="20"/>
          <w:color w:val="auto"/>
        </w:rPr>
      </w:pPr>
      <w:r>
        <w:rPr>
          <w:rFonts w:ascii="Times New Roman" w:cs="Times New Roman" w:eastAsia="Times New Roman" w:hAnsi="Times New Roman"/>
          <w:sz w:val="18"/>
          <w:szCs w:val="18"/>
          <w:color w:val="auto"/>
        </w:rPr>
        <w:t>Date: December 6, 2019</w:t>
      </w:r>
      <w:r>
        <w:rPr>
          <w:sz w:val="20"/>
          <w:szCs w:val="20"/>
          <w:color w:val="auto"/>
        </w:rPr>
        <w:tab/>
      </w:r>
      <w:r>
        <w:rPr>
          <w:rFonts w:ascii="Times New Roman" w:cs="Times New Roman" w:eastAsia="Times New Roman" w:hAnsi="Times New Roman"/>
          <w:sz w:val="17"/>
          <w:szCs w:val="17"/>
          <w:color w:val="auto"/>
        </w:rPr>
        <w:t>By: /s/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34290</wp:posOffset>
            </wp:positionV>
            <wp:extent cx="25812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Eric S. Yuan</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 Kelly Steckelberg, certify, pursuant to 18 U.S.C. Section 1350, as adopted pursuant to Section 906 of the Sarbanes-Oxley Act of 2002, that the Quarterly Report on Form 10-Q of Zoom Video Communications, Inc. for the fiscal quarter ended October 31, 2019 fully complies with the requirements of Section 13(a) or 15(d) of the Securities Exchange Act of 1934 and that information contained in such Quarterly Report on Form 10-Q fairly presents, in all material respects, the financial condition and results of operations of Zoom Video Communications, Inc.</w:t>
      </w:r>
    </w:p>
    <w:p>
      <w:pPr>
        <w:spacing w:after="0" w:line="14"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37" w:lineRule="exact"/>
        <w:rPr>
          <w:sz w:val="20"/>
          <w:szCs w:val="20"/>
          <w:color w:val="auto"/>
        </w:rPr>
      </w:pPr>
    </w:p>
    <w:p>
      <w:pPr>
        <w:ind w:left="20"/>
        <w:spacing w:after="0"/>
        <w:tabs>
          <w:tab w:leader="none" w:pos="6900" w:val="left"/>
        </w:tabs>
        <w:rPr>
          <w:sz w:val="20"/>
          <w:szCs w:val="20"/>
          <w:color w:val="auto"/>
        </w:rPr>
      </w:pPr>
      <w:r>
        <w:rPr>
          <w:rFonts w:ascii="Times New Roman" w:cs="Times New Roman" w:eastAsia="Times New Roman" w:hAnsi="Times New Roman"/>
          <w:sz w:val="18"/>
          <w:szCs w:val="18"/>
          <w:color w:val="auto"/>
        </w:rPr>
        <w:t>Date: December 6, 2019</w:t>
      </w:r>
      <w:r>
        <w:rPr>
          <w:sz w:val="20"/>
          <w:szCs w:val="20"/>
          <w:color w:val="auto"/>
        </w:rPr>
        <w:tab/>
      </w:r>
      <w:r>
        <w:rPr>
          <w:rFonts w:ascii="Times New Roman" w:cs="Times New Roman" w:eastAsia="Times New Roman" w:hAnsi="Times New Roman"/>
          <w:sz w:val="18"/>
          <w:szCs w:val="18"/>
          <w:color w:val="auto"/>
        </w:rPr>
        <w:t>By: /s/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34290</wp:posOffset>
            </wp:positionV>
            <wp:extent cx="25812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Kelly Steckelberg</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420"/>
      </w:cols>
      <w:pgMar w:left="240" w:top="8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emdash "/>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endash "/>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lowerRoman"/>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lvl w:ilvl="1">
      <w:lvlJc w:val="left"/>
      <w:lvlText w:val="%2"/>
      <w:numFmt w:val="decimal"/>
      <w:start w:val="104"/>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0" Type="http://schemas.openxmlformats.org/officeDocument/2006/relationships/hyperlink" Target="http://www.sec.gov/Archives/edgar/data/1585521/000119312519115111/d736915dex31.htm" TargetMode="External"/><Relationship Id="rId91" Type="http://schemas.openxmlformats.org/officeDocument/2006/relationships/hyperlink" Target="http://www.sec.gov/Archives/edgar/data/1585521/000119312519099813/d642624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2019-12-28T01:07:56Z</dcterms:created>
  <dcterms:modified xsi:type="dcterms:W3CDTF">2019-12-28T01:07:56Z</dcterms:modified>
</cp:coreProperties>
</file>