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50" w:after="283"/>
        <w:jc w:val="center"/>
        <w:rPr>
          <w:rFonts w:ascii="Times New Roman;sans-serif" w:hAnsi="Times New Roman;sans-serif"/>
          <w:b/>
          <w:color w:val="000000"/>
          <w:sz w:val="30"/>
        </w:rPr>
      </w:pPr>
      <w:r>
        <w:rPr>
          <w:rFonts w:ascii="Times New Roman;sans-serif" w:hAnsi="Times New Roman;sans-serif"/>
          <w:b/>
          <w:color w:val="000000"/>
          <w:sz w:val="30"/>
        </w:rPr>
        <w:t>UNITED STATES</w:t>
      </w:r>
    </w:p>
    <w:p>
      <w:pPr>
        <w:pStyle w:val="TextBody"/>
        <w:bidi w:val="0"/>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___________________________________________________________________</w:t>
      </w:r>
    </w:p>
    <w:p>
      <w:pPr>
        <w:pStyle w:val="TextBody"/>
        <w:bidi w:val="0"/>
        <w:spacing w:lineRule="auto" w:line="288" w:before="100" w:after="283"/>
        <w:jc w:val="center"/>
        <w:rPr>
          <w:rFonts w:ascii="Times New Roman;sans-serif" w:hAnsi="Times New Roman;sans-serif"/>
          <w:b/>
          <w:color w:val="000000"/>
          <w:sz w:val="30"/>
        </w:rPr>
      </w:pPr>
      <w:r>
        <w:rPr>
          <w:rFonts w:ascii="Times New Roman;sans-serif" w:hAnsi="Times New Roman;sans-serif"/>
          <w:b/>
          <w:color w:val="000000"/>
          <w:sz w:val="30"/>
        </w:rPr>
        <w:t>FORM 10-Q</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___________________________________________________________________</w:t>
      </w:r>
    </w:p>
    <w:p>
      <w:pPr>
        <w:pStyle w:val="TextBody"/>
        <w:bidi w:val="0"/>
        <w:spacing w:lineRule="auto" w:line="288" w:before="5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5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July 31, 2023 </w:t>
      </w:r>
    </w:p>
    <w:p>
      <w:pPr>
        <w:pStyle w:val="TextBody"/>
        <w:bidi w:val="0"/>
        <w:spacing w:lineRule="auto" w:line="288" w:before="5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w:t>
      </w:r>
    </w:p>
    <w:p>
      <w:pPr>
        <w:pStyle w:val="TextBody"/>
        <w:bidi w:val="0"/>
        <w:spacing w:lineRule="auto" w:line="288" w:before="5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001-38865</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___________________________________________________________________</w:t>
      </w:r>
    </w:p>
    <w:p>
      <w:pPr>
        <w:pStyle w:val="TextBody"/>
        <w:bidi w:val="0"/>
        <w:spacing w:lineRule="auto" w:line="288" w:before="50" w:after="283"/>
        <w:jc w:val="center"/>
        <w:rPr>
          <w:rFonts w:ascii="Times New Roman;sans-serif" w:hAnsi="Times New Roman;sans-serif"/>
          <w:b/>
          <w:color w:val="000000"/>
          <w:sz w:val="42"/>
        </w:rPr>
      </w:pPr>
      <w:r>
        <w:rPr>
          <w:rFonts w:ascii="Times New Roman;sans-serif" w:hAnsi="Times New Roman;sans-serif"/>
          <w:b/>
          <w:color w:val="000000"/>
          <w:sz w:val="42"/>
        </w:rPr>
        <w:t>Zoom Video Communications, Inc.</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___________________________________________________________________</w:t>
      </w:r>
    </w:p>
    <w:tbl>
      <w:tblPr>
        <w:tblW w:w="4048" w:type="dxa"/>
        <w:jc w:val="center"/>
        <w:tblInd w:w="0" w:type="dxa"/>
        <w:tblLayout w:type="fixed"/>
        <w:tblCellMar>
          <w:top w:w="28" w:type="dxa"/>
          <w:left w:w="28" w:type="dxa"/>
          <w:bottom w:w="28" w:type="dxa"/>
          <w:right w:w="28" w:type="dxa"/>
        </w:tblCellMar>
      </w:tblPr>
      <w:tblGrid>
        <w:gridCol w:w="927"/>
        <w:gridCol w:w="813"/>
        <w:gridCol w:w="824"/>
        <w:gridCol w:w="433"/>
        <w:gridCol w:w="433"/>
        <w:gridCol w:w="618"/>
      </w:tblGrid>
      <w:tr>
        <w:trPr/>
        <w:tc>
          <w:tcPr>
            <w:tcW w:w="92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61-1648780</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bidi w:val="0"/>
        <w:spacing w:lineRule="auto" w:line="288" w:before="50" w:after="283"/>
        <w:jc w:val="center"/>
        <w:rPr/>
      </w:pPr>
      <w:r>
        <w:rPr>
          <w:rFonts w:ascii="Times New Roman;sans-serif" w:hAnsi="Times New Roman;sans-serif"/>
          <w:b/>
          <w:color w:val="000000"/>
          <w:sz w:val="20"/>
        </w:rPr>
        <w:t>55 Almaden Boulevard, 6</w:t>
      </w:r>
      <w:r>
        <w:rPr>
          <w:rFonts w:ascii="Times New Roman;sans-serif" w:hAnsi="Times New Roman;sans-serif"/>
          <w:b/>
          <w:color w:val="000000"/>
          <w:sz w:val="18"/>
        </w:rPr>
        <w:t>th</w:t>
      </w:r>
      <w:r>
        <w:rPr>
          <w:color w:val="000000"/>
        </w:rPr>
        <w:t xml:space="preserve"> </w:t>
      </w:r>
      <w:r>
        <w:rPr>
          <w:rFonts w:ascii="Times New Roman;sans-serif" w:hAnsi="Times New Roman;sans-serif"/>
          <w:b/>
          <w:color w:val="000000"/>
          <w:sz w:val="20"/>
        </w:rPr>
        <w:t>Floor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 Jose, California 95113</w:t>
      </w:r>
    </w:p>
    <w:p>
      <w:pPr>
        <w:pStyle w:val="TextBody"/>
        <w:bidi w:val="0"/>
        <w:spacing w:lineRule="auto" w:line="288" w:before="0" w:after="0"/>
        <w:jc w:val="center"/>
        <w:rPr>
          <w:rFonts w:ascii="Times New Roman;sans-serif" w:hAnsi="Times New Roman;sans-serif"/>
          <w:b/>
          <w:i/>
          <w:color w:val="000000"/>
          <w:sz w:val="16"/>
        </w:rPr>
      </w:pPr>
      <w:r>
        <w:rPr>
          <w:rFonts w:ascii="Times New Roman;sans-serif" w:hAnsi="Times New Roman;sans-serif"/>
          <w:b/>
          <w:i/>
          <w:color w:val="000000"/>
          <w:sz w:val="16"/>
        </w:rPr>
        <w:t>(Address of principal executive offices and Zip Code)</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(888) 799-9666</w:t>
      </w:r>
    </w:p>
    <w:p>
      <w:pPr>
        <w:pStyle w:val="TextBody"/>
        <w:bidi w:val="0"/>
        <w:spacing w:lineRule="auto" w:line="288" w:before="0" w:after="0"/>
        <w:jc w:val="center"/>
        <w:rPr>
          <w:rFonts w:ascii="Times New Roman;sans-serif" w:hAnsi="Times New Roman;sans-serif"/>
          <w:b/>
          <w:i/>
          <w:color w:val="000000"/>
          <w:sz w:val="16"/>
        </w:rPr>
      </w:pPr>
      <w:r>
        <w:rPr>
          <w:rFonts w:ascii="Times New Roman;sans-serif" w:hAnsi="Times New Roman;sans-serif"/>
          <w:b/>
          <w:i/>
          <w:color w:val="000000"/>
          <w:sz w:val="16"/>
        </w:rPr>
        <w:t>(Registrant’s telephone number, including area code)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___________________________________________________________________</w:t>
      </w:r>
    </w:p>
    <w:p>
      <w:pPr>
        <w:pStyle w:val="TextBody"/>
        <w:bidi w:val="0"/>
        <w:spacing w:lineRule="auto" w:line="288" w:before="6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9501" w:type="dxa"/>
        <w:jc w:val="center"/>
        <w:tblInd w:w="0" w:type="dxa"/>
        <w:tblLayout w:type="fixed"/>
        <w:tblCellMar>
          <w:top w:w="28" w:type="dxa"/>
          <w:left w:w="28" w:type="dxa"/>
          <w:bottom w:w="28" w:type="dxa"/>
          <w:right w:w="28" w:type="dxa"/>
        </w:tblCellMar>
      </w:tblPr>
      <w:tblGrid>
        <w:gridCol w:w="1377"/>
        <w:gridCol w:w="1212"/>
        <w:gridCol w:w="1220"/>
        <w:gridCol w:w="109"/>
        <w:gridCol w:w="109"/>
        <w:gridCol w:w="109"/>
        <w:gridCol w:w="519"/>
        <w:gridCol w:w="519"/>
        <w:gridCol w:w="521"/>
        <w:gridCol w:w="109"/>
        <w:gridCol w:w="109"/>
        <w:gridCol w:w="109"/>
        <w:gridCol w:w="1019"/>
        <w:gridCol w:w="1019"/>
        <w:gridCol w:w="1441"/>
      </w:tblGrid>
      <w:tr>
        <w:trPr/>
        <w:tc>
          <w:tcPr>
            <w:tcW w:w="137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Global Select Market</w:t>
            </w:r>
          </w:p>
        </w:tc>
      </w:tr>
    </w:tbl>
    <w:p>
      <w:pPr>
        <w:pStyle w:val="TextBody"/>
        <w:bidi w:val="0"/>
        <w:spacing w:lineRule="auto" w:line="288" w:before="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88" w:before="5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5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05"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674"/>
        <w:gridCol w:w="674"/>
        <w:gridCol w:w="677"/>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Exchange Act).    Yes  ☐    No  ☒</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As of August 11, 2023, the number of shares of the registrant’s Class A common stock outstanding was 254,292,343 and the number of shares of the registrant’s Class B common stock outstanding was 46,664,611.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Zoom Video Communications, Inc.</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July 31, 2023</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76"/>
        <w:gridCol w:w="244"/>
        <w:gridCol w:w="246"/>
        <w:gridCol w:w="2964"/>
        <w:gridCol w:w="2964"/>
        <w:gridCol w:w="2969"/>
        <w:gridCol w:w="158"/>
        <w:gridCol w:w="158"/>
        <w:gridCol w:w="226"/>
      </w:tblGrid>
      <w:tr>
        <w:trPr/>
        <w:tc>
          <w:tcPr>
            <w:tcW w:w="27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64" w:type="dxa"/>
            <w:tcBorders/>
            <w:vAlign w:val="center"/>
          </w:tcPr>
          <w:p>
            <w:pPr>
              <w:pStyle w:val="TableContents"/>
              <w:bidi w:val="0"/>
              <w:spacing w:before="0" w:after="283"/>
              <w:jc w:val="left"/>
              <w:rPr>
                <w:sz w:val="4"/>
                <w:szCs w:val="4"/>
              </w:rPr>
            </w:pPr>
            <w:r>
              <w:rPr>
                <w:sz w:val="4"/>
                <w:szCs w:val="4"/>
              </w:rPr>
            </w:r>
          </w:p>
        </w:tc>
        <w:tc>
          <w:tcPr>
            <w:tcW w:w="2964" w:type="dxa"/>
            <w:tcBorders/>
            <w:vAlign w:val="center"/>
          </w:tcPr>
          <w:p>
            <w:pPr>
              <w:pStyle w:val="TableContents"/>
              <w:bidi w:val="0"/>
              <w:spacing w:before="0" w:after="283"/>
              <w:jc w:val="left"/>
              <w:rPr>
                <w:sz w:val="4"/>
                <w:szCs w:val="4"/>
              </w:rPr>
            </w:pPr>
            <w:r>
              <w:rPr>
                <w:sz w:val="4"/>
                <w:szCs w:val="4"/>
              </w:rPr>
            </w:r>
          </w:p>
        </w:tc>
        <w:tc>
          <w:tcPr>
            <w:tcW w:w="296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dbd7839fe74b59973e2a00676a2c63_10">
              <w:r>
                <w:rPr>
                  <w:rStyle w:val="InternetLink"/>
                  <w:rFonts w:ascii="Times New Roman;sans-serif" w:hAnsi="Times New Roman;sans-serif"/>
                  <w:b w:val="false"/>
                  <w:color w:val="0000FF"/>
                  <w:sz w:val="20"/>
                  <w:u w:val="single"/>
                </w:rPr>
                <w:t>Special Note Regarding Forward-Looking Statements</w:t>
              </w:r>
            </w:hyperlink>
          </w:p>
        </w:tc>
        <w:tc>
          <w:tcPr>
            <w:tcW w:w="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39dbd7839fe74b59973e2a00676a2c63_10">
              <w:r>
                <w:rPr>
                  <w:rStyle w:val="InternetLink"/>
                  <w:rFonts w:ascii="Times New Roman;sans-serif" w:hAnsi="Times New Roman;sans-serif"/>
                  <w:b w:val="false"/>
                  <w:strike w:val="false"/>
                  <w:dstrike w:val="false"/>
                  <w:color w:val="000000"/>
                  <w:sz w:val="20"/>
                  <w:u w:val="none"/>
                  <w:effect w:val="none"/>
                </w:rPr>
                <w:t>3</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dbd7839fe74b59973e2a00676a2c63_13">
              <w:r>
                <w:rPr>
                  <w:rStyle w:val="InternetLink"/>
                  <w:rFonts w:ascii="Times New Roman;sans-serif" w:hAnsi="Times New Roman;sans-serif"/>
                  <w:b w:val="false"/>
                  <w:color w:val="0000FF"/>
                  <w:sz w:val="20"/>
                  <w:u w:val="single"/>
                </w:rPr>
                <w:t>Summary Risk Factors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dbd7839fe74b59973e2a00676a2c63_13">
              <w:r>
                <w:rPr>
                  <w:rStyle w:val="InternetLink"/>
                  <w:rFonts w:ascii="Times New Roman;sans-serif" w:hAnsi="Times New Roman;sans-serif"/>
                  <w:b w:val="false"/>
                  <w:strike w:val="false"/>
                  <w:dstrike w:val="false"/>
                  <w:color w:val="000000"/>
                  <w:sz w:val="20"/>
                  <w:u w:val="none"/>
                  <w:effect w:val="none"/>
                </w:rPr>
                <w:t>4</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dbd7839fe74b59973e2a00676a2c63_16">
              <w:r>
                <w:rPr>
                  <w:rStyle w:val="InternetLink"/>
                  <w:rFonts w:ascii="Times New Roman;sans-serif" w:hAnsi="Times New Roman;sans-serif"/>
                  <w:b w:val="false"/>
                  <w:color w:val="0000FF"/>
                  <w:sz w:val="20"/>
                  <w:u w:val="single"/>
                </w:rPr>
                <w:t>PART I – Financial Information</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dbd7839fe74b59973e2a00676a2c63_16">
              <w:r>
                <w:rPr>
                  <w:rStyle w:val="InternetLink"/>
                  <w:rFonts w:ascii="Times New Roman;sans-serif" w:hAnsi="Times New Roman;sans-serif"/>
                  <w:b w:val="false"/>
                  <w:strike w:val="false"/>
                  <w:dstrike w:val="false"/>
                  <w:color w:val="000000"/>
                  <w:sz w:val="20"/>
                  <w:u w:val="none"/>
                  <w:effect w:val="none"/>
                </w:rPr>
                <w:t>6</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dbd7839fe74b59973e2a00676a2c63_19">
              <w:r>
                <w:rPr>
                  <w:rStyle w:val="InternetLink"/>
                  <w:rFonts w:ascii="Times New Roman;sans-serif" w:hAnsi="Times New Roman;sans-serif"/>
                  <w:b w:val="false"/>
                  <w:strike w:val="false"/>
                  <w:dstrike w:val="false"/>
                  <w:color w:val="000000"/>
                  <w:sz w:val="20"/>
                  <w:u w:val="none"/>
                  <w:effect w:val="none"/>
                </w:rPr>
                <w:t>Item 1.</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dbd7839fe74b59973e2a00676a2c63_19">
              <w:r>
                <w:rPr>
                  <w:rStyle w:val="InternetLink"/>
                  <w:rFonts w:ascii="Times New Roman;sans-serif" w:hAnsi="Times New Roman;sans-serif"/>
                  <w:b w:val="false"/>
                  <w:color w:val="0000FF"/>
                  <w:sz w:val="20"/>
                  <w:u w:val="single"/>
                </w:rPr>
                <w:t>Financial Statements (Unaudited)</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dbd7839fe74b59973e2a00676a2c63_19">
              <w:r>
                <w:rPr>
                  <w:rStyle w:val="InternetLink"/>
                  <w:rFonts w:ascii="Times New Roman;sans-serif" w:hAnsi="Times New Roman;sans-serif"/>
                  <w:b w:val="false"/>
                  <w:strike w:val="false"/>
                  <w:dstrike w:val="false"/>
                  <w:color w:val="000000"/>
                  <w:sz w:val="20"/>
                  <w:u w:val="none"/>
                  <w:effect w:val="none"/>
                </w:rPr>
                <w:t>6</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dbd7839fe74b59973e2a00676a2c63_22">
              <w:r>
                <w:rPr>
                  <w:rStyle w:val="InternetLink"/>
                  <w:rFonts w:ascii="Times New Roman;sans-serif" w:hAnsi="Times New Roman;sans-serif"/>
                  <w:b w:val="false"/>
                  <w:color w:val="000080"/>
                  <w:sz w:val="20"/>
                  <w:u w:val="single"/>
                </w:rPr>
                <w:t xml:space="preserve">Condensed Consolidated Balance Sheets as of </w:t>
              </w:r>
            </w:hyperlink>
            <w:hyperlink w:anchor="i39dbd7839fe74b59973e2a00676a2c63_22">
              <w:r>
                <w:rPr>
                  <w:rStyle w:val="InternetLink"/>
                  <w:rFonts w:ascii="Times New Roman;sans-serif" w:hAnsi="Times New Roman;sans-serif"/>
                  <w:b w:val="false"/>
                  <w:color w:val="000080"/>
                  <w:sz w:val="20"/>
                  <w:u w:val="single"/>
                </w:rPr>
                <w:t>July 31, 2023</w:t>
              </w:r>
            </w:hyperlink>
            <w:hyperlink w:anchor="i39dbd7839fe74b59973e2a00676a2c63_22">
              <w:r>
                <w:rPr>
                  <w:rStyle w:val="InternetLink"/>
                  <w:rFonts w:ascii="Times New Roman;sans-serif" w:hAnsi="Times New Roman;sans-serif"/>
                  <w:b w:val="false"/>
                  <w:color w:val="000080"/>
                  <w:sz w:val="20"/>
                  <w:u w:val="single"/>
                </w:rPr>
                <w:t xml:space="preserve"> and </w:t>
              </w:r>
            </w:hyperlink>
            <w:hyperlink w:anchor="i39dbd7839fe74b59973e2a00676a2c63_22">
              <w:r>
                <w:rPr>
                  <w:rStyle w:val="InternetLink"/>
                  <w:rFonts w:ascii="Times New Roman;sans-serif" w:hAnsi="Times New Roman;sans-serif"/>
                  <w:b w:val="false"/>
                  <w:color w:val="000080"/>
                  <w:sz w:val="20"/>
                  <w:u w:val="single"/>
                </w:rPr>
                <w:t>January 31, 2023</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dbd7839fe74b59973e2a00676a2c63_22">
              <w:r>
                <w:rPr>
                  <w:rStyle w:val="InternetLink"/>
                  <w:rFonts w:ascii="Times New Roman;sans-serif" w:hAnsi="Times New Roman;sans-serif"/>
                  <w:b w:val="false"/>
                  <w:strike w:val="false"/>
                  <w:dstrike w:val="false"/>
                  <w:color w:val="000000"/>
                  <w:sz w:val="20"/>
                  <w:u w:val="none"/>
                  <w:effect w:val="none"/>
                </w:rPr>
                <w:t>6</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240" w:after="283"/>
              <w:jc w:val="left"/>
              <w:rPr/>
            </w:pPr>
            <w:hyperlink w:anchor="i39dbd7839fe74b59973e2a00676a2c63_25">
              <w:r>
                <w:rPr>
                  <w:rStyle w:val="InternetLink"/>
                  <w:rFonts w:ascii="Times New Roman;sans-serif" w:hAnsi="Times New Roman;sans-serif"/>
                  <w:b w:val="false"/>
                  <w:color w:val="000080"/>
                  <w:sz w:val="20"/>
                  <w:u w:val="single"/>
                </w:rPr>
                <w:t xml:space="preserve">Condensed Consolidated Statements of Operations for the </w:t>
              </w:r>
            </w:hyperlink>
            <w:hyperlink w:anchor="i39dbd7839fe74b59973e2a00676a2c63_25">
              <w:r>
                <w:rPr>
                  <w:rStyle w:val="InternetLink"/>
                  <w:rFonts w:ascii="Times New Roman;sans-serif" w:hAnsi="Times New Roman;sans-serif"/>
                  <w:b w:val="false"/>
                  <w:color w:val="000080"/>
                  <w:sz w:val="20"/>
                  <w:u w:val="single"/>
                </w:rPr>
                <w:t xml:space="preserve">Three and Six </w:t>
              </w:r>
            </w:hyperlink>
            <w:hyperlink w:anchor="i39dbd7839fe74b59973e2a00676a2c63_25">
              <w:r>
                <w:rPr>
                  <w:rStyle w:val="InternetLink"/>
                  <w:rFonts w:ascii="Times New Roman;sans-serif" w:hAnsi="Times New Roman;sans-serif"/>
                  <w:b w:val="false"/>
                  <w:color w:val="000080"/>
                  <w:sz w:val="20"/>
                  <w:u w:val="single"/>
                </w:rPr>
                <w:t xml:space="preserve">Months Ended </w:t>
              </w:r>
            </w:hyperlink>
            <w:hyperlink w:anchor="i39dbd7839fe74b59973e2a00676a2c63_25">
              <w:r>
                <w:rPr>
                  <w:rStyle w:val="InternetLink"/>
                  <w:rFonts w:ascii="Times New Roman;sans-serif" w:hAnsi="Times New Roman;sans-serif"/>
                  <w:b w:val="false"/>
                  <w:color w:val="000080"/>
                  <w:sz w:val="20"/>
                  <w:u w:val="single"/>
                </w:rPr>
                <w:t>July 31, 2023</w:t>
              </w:r>
            </w:hyperlink>
            <w:hyperlink w:anchor="i39dbd7839fe74b59973e2a00676a2c63_25">
              <w:r>
                <w:rPr>
                  <w:rStyle w:val="InternetLink"/>
                  <w:rFonts w:ascii="Times New Roman;sans-serif" w:hAnsi="Times New Roman;sans-serif"/>
                  <w:b w:val="false"/>
                  <w:color w:val="000080"/>
                  <w:sz w:val="20"/>
                  <w:u w:val="single"/>
                </w:rPr>
                <w:t xml:space="preserve"> and </w:t>
              </w:r>
            </w:hyperlink>
            <w:hyperlink w:anchor="i39dbd7839fe74b59973e2a00676a2c63_25">
              <w:r>
                <w:rPr>
                  <w:rStyle w:val="InternetLink"/>
                  <w:rFonts w:ascii="Times New Roman;sans-serif" w:hAnsi="Times New Roman;sans-serif"/>
                  <w:b w:val="false"/>
                  <w:color w:val="000080"/>
                  <w:sz w:val="20"/>
                  <w:u w:val="single"/>
                </w:rPr>
                <w:t>2022</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dbd7839fe74b59973e2a00676a2c63_25">
              <w:r>
                <w:rPr>
                  <w:rStyle w:val="InternetLink"/>
                  <w:rFonts w:ascii="Times New Roman;sans-serif" w:hAnsi="Times New Roman;sans-serif"/>
                  <w:b w:val="false"/>
                  <w:strike w:val="false"/>
                  <w:dstrike w:val="false"/>
                  <w:color w:val="000000"/>
                  <w:sz w:val="20"/>
                  <w:u w:val="none"/>
                  <w:effect w:val="none"/>
                </w:rPr>
                <w:t>7</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240" w:after="283"/>
              <w:jc w:val="left"/>
              <w:rPr/>
            </w:pPr>
            <w:hyperlink w:anchor="i39dbd7839fe74b59973e2a00676a2c63_28">
              <w:r>
                <w:rPr>
                  <w:rStyle w:val="InternetLink"/>
                  <w:rFonts w:ascii="Times New Roman;sans-serif" w:hAnsi="Times New Roman;sans-serif"/>
                  <w:b w:val="false"/>
                  <w:color w:val="000080"/>
                  <w:sz w:val="20"/>
                  <w:u w:val="single"/>
                </w:rPr>
                <w:t xml:space="preserve">Condensed Consolidated Statements of Comprehensive Income for the </w:t>
              </w:r>
            </w:hyperlink>
            <w:hyperlink w:anchor="i39dbd7839fe74b59973e2a00676a2c63_28">
              <w:r>
                <w:rPr>
                  <w:rStyle w:val="InternetLink"/>
                  <w:rFonts w:ascii="Times New Roman;sans-serif" w:hAnsi="Times New Roman;sans-serif"/>
                  <w:b w:val="false"/>
                  <w:color w:val="000080"/>
                  <w:sz w:val="20"/>
                  <w:u w:val="single"/>
                </w:rPr>
                <w:t xml:space="preserve">Three and Six </w:t>
              </w:r>
            </w:hyperlink>
            <w:hyperlink w:anchor="i39dbd7839fe74b59973e2a00676a2c63_28">
              <w:r>
                <w:rPr>
                  <w:rStyle w:val="InternetLink"/>
                  <w:rFonts w:ascii="Times New Roman;sans-serif" w:hAnsi="Times New Roman;sans-serif"/>
                  <w:b w:val="false"/>
                  <w:color w:val="000080"/>
                  <w:sz w:val="20"/>
                  <w:u w:val="single"/>
                </w:rPr>
                <w:t xml:space="preserve">Months Ended </w:t>
              </w:r>
            </w:hyperlink>
            <w:hyperlink w:anchor="i39dbd7839fe74b59973e2a00676a2c63_28">
              <w:r>
                <w:rPr>
                  <w:rStyle w:val="InternetLink"/>
                  <w:rFonts w:ascii="Times New Roman;sans-serif" w:hAnsi="Times New Roman;sans-serif"/>
                  <w:b w:val="false"/>
                  <w:color w:val="000080"/>
                  <w:sz w:val="20"/>
                  <w:u w:val="single"/>
                </w:rPr>
                <w:t>July 31, 2023</w:t>
              </w:r>
            </w:hyperlink>
            <w:hyperlink w:anchor="i39dbd7839fe74b59973e2a00676a2c63_28">
              <w:r>
                <w:rPr>
                  <w:rStyle w:val="InternetLink"/>
                  <w:rFonts w:ascii="Times New Roman;sans-serif" w:hAnsi="Times New Roman;sans-serif"/>
                  <w:b w:val="false"/>
                  <w:color w:val="000080"/>
                  <w:sz w:val="20"/>
                  <w:u w:val="single"/>
                </w:rPr>
                <w:t xml:space="preserve"> and </w:t>
              </w:r>
            </w:hyperlink>
            <w:hyperlink w:anchor="i39dbd7839fe74b59973e2a00676a2c63_28">
              <w:r>
                <w:rPr>
                  <w:rStyle w:val="InternetLink"/>
                  <w:rFonts w:ascii="Times New Roman;sans-serif" w:hAnsi="Times New Roman;sans-serif"/>
                  <w:b w:val="false"/>
                  <w:color w:val="000080"/>
                  <w:sz w:val="20"/>
                  <w:u w:val="single"/>
                </w:rPr>
                <w:t>2022</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dbd7839fe74b59973e2a00676a2c63_28">
              <w:r>
                <w:rPr>
                  <w:rStyle w:val="InternetLink"/>
                  <w:rFonts w:ascii="Times New Roman;sans-serif" w:hAnsi="Times New Roman;sans-serif"/>
                  <w:b w:val="false"/>
                  <w:strike w:val="false"/>
                  <w:dstrike w:val="false"/>
                  <w:color w:val="000000"/>
                  <w:sz w:val="20"/>
                  <w:u w:val="none"/>
                  <w:effect w:val="none"/>
                </w:rPr>
                <w:t>8</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240" w:after="283"/>
              <w:jc w:val="left"/>
              <w:rPr/>
            </w:pPr>
            <w:hyperlink w:anchor="i39dbd7839fe74b59973e2a00676a2c63_31">
              <w:r>
                <w:rPr>
                  <w:rStyle w:val="InternetLink"/>
                  <w:rFonts w:ascii="Times New Roman;sans-serif" w:hAnsi="Times New Roman;sans-serif"/>
                  <w:b w:val="false"/>
                  <w:color w:val="000080"/>
                  <w:sz w:val="20"/>
                  <w:u w:val="single"/>
                </w:rPr>
                <w:t>Condensed Consolidated Statements of Stockholders’ Equity</w:t>
              </w:r>
            </w:hyperlink>
            <w:hyperlink w:anchor="i39dbd7839fe74b59973e2a00676a2c63_31">
              <w:r>
                <w:rPr>
                  <w:rStyle w:val="InternetLink"/>
                  <w:rFonts w:ascii="Times New Roman;sans-serif" w:hAnsi="Times New Roman;sans-serif"/>
                  <w:b w:val="false"/>
                  <w:color w:val="000080"/>
                  <w:sz w:val="20"/>
                  <w:u w:val="single"/>
                </w:rPr>
                <w:t xml:space="preserve"> </w:t>
              </w:r>
            </w:hyperlink>
            <w:hyperlink w:anchor="i39dbd7839fe74b59973e2a00676a2c63_31">
              <w:r>
                <w:rPr>
                  <w:rStyle w:val="InternetLink"/>
                  <w:rFonts w:ascii="Times New Roman;sans-serif" w:hAnsi="Times New Roman;sans-serif"/>
                  <w:b w:val="false"/>
                  <w:color w:val="000080"/>
                  <w:sz w:val="20"/>
                  <w:u w:val="single"/>
                </w:rPr>
                <w:t xml:space="preserve">for the </w:t>
              </w:r>
            </w:hyperlink>
            <w:hyperlink w:anchor="i39dbd7839fe74b59973e2a00676a2c63_31">
              <w:r>
                <w:rPr>
                  <w:rStyle w:val="InternetLink"/>
                  <w:rFonts w:ascii="Times New Roman;sans-serif" w:hAnsi="Times New Roman;sans-serif"/>
                  <w:b w:val="false"/>
                  <w:color w:val="000080"/>
                  <w:sz w:val="20"/>
                  <w:u w:val="single"/>
                </w:rPr>
                <w:t xml:space="preserve">Three and Six </w:t>
              </w:r>
            </w:hyperlink>
            <w:hyperlink w:anchor="i39dbd7839fe74b59973e2a00676a2c63_31">
              <w:r>
                <w:rPr>
                  <w:rStyle w:val="InternetLink"/>
                  <w:rFonts w:ascii="Times New Roman;sans-serif" w:hAnsi="Times New Roman;sans-serif"/>
                  <w:b w:val="false"/>
                  <w:color w:val="000080"/>
                  <w:sz w:val="20"/>
                  <w:u w:val="single"/>
                </w:rPr>
                <w:t xml:space="preserve">Months Ended </w:t>
              </w:r>
            </w:hyperlink>
            <w:hyperlink w:anchor="i39dbd7839fe74b59973e2a00676a2c63_31">
              <w:r>
                <w:rPr>
                  <w:rStyle w:val="InternetLink"/>
                  <w:rFonts w:ascii="Times New Roman;sans-serif" w:hAnsi="Times New Roman;sans-serif"/>
                  <w:b w:val="false"/>
                  <w:color w:val="000080"/>
                  <w:sz w:val="20"/>
                  <w:u w:val="single"/>
                </w:rPr>
                <w:t>July 31, 2023</w:t>
              </w:r>
            </w:hyperlink>
            <w:hyperlink w:anchor="i39dbd7839fe74b59973e2a00676a2c63_31">
              <w:r>
                <w:rPr>
                  <w:rStyle w:val="InternetLink"/>
                  <w:rFonts w:ascii="Times New Roman;sans-serif" w:hAnsi="Times New Roman;sans-serif"/>
                  <w:b w:val="false"/>
                  <w:color w:val="000080"/>
                  <w:sz w:val="20"/>
                  <w:u w:val="single"/>
                </w:rPr>
                <w:t xml:space="preserve"> and </w:t>
              </w:r>
            </w:hyperlink>
            <w:hyperlink w:anchor="i39dbd7839fe74b59973e2a00676a2c63_31">
              <w:r>
                <w:rPr>
                  <w:rStyle w:val="InternetLink"/>
                  <w:rFonts w:ascii="Times New Roman;sans-serif" w:hAnsi="Times New Roman;sans-serif"/>
                  <w:b w:val="false"/>
                  <w:color w:val="000080"/>
                  <w:sz w:val="20"/>
                  <w:u w:val="single"/>
                </w:rPr>
                <w:t>2022</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dbd7839fe74b59973e2a00676a2c63_31">
              <w:r>
                <w:rPr>
                  <w:rStyle w:val="InternetLink"/>
                  <w:rFonts w:ascii="Times New Roman;sans-serif" w:hAnsi="Times New Roman;sans-serif"/>
                  <w:b w:val="false"/>
                  <w:strike w:val="false"/>
                  <w:dstrike w:val="false"/>
                  <w:color w:val="000000"/>
                  <w:sz w:val="20"/>
                  <w:u w:val="none"/>
                  <w:effect w:val="none"/>
                </w:rPr>
                <w:t>9</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dbd7839fe74b59973e2a00676a2c63_37">
              <w:r>
                <w:rPr>
                  <w:rStyle w:val="InternetLink"/>
                  <w:rFonts w:ascii="Times New Roman;sans-serif" w:hAnsi="Times New Roman;sans-serif"/>
                  <w:b w:val="false"/>
                  <w:color w:val="000080"/>
                  <w:sz w:val="20"/>
                  <w:u w:val="single"/>
                </w:rPr>
                <w:t xml:space="preserve">Condensed Consolidated Statements of Cash Flows for the </w:t>
              </w:r>
            </w:hyperlink>
            <w:hyperlink w:anchor="i39dbd7839fe74b59973e2a00676a2c63_37">
              <w:r>
                <w:rPr>
                  <w:rStyle w:val="InternetLink"/>
                  <w:rFonts w:ascii="Times New Roman;sans-serif" w:hAnsi="Times New Roman;sans-serif"/>
                  <w:b w:val="false"/>
                  <w:color w:val="000080"/>
                  <w:sz w:val="20"/>
                  <w:u w:val="single"/>
                </w:rPr>
                <w:t>Six Months Ended</w:t>
              </w:r>
            </w:hyperlink>
            <w:hyperlink w:anchor="i39dbd7839fe74b59973e2a00676a2c63_37">
              <w:r>
                <w:rPr>
                  <w:rStyle w:val="InternetLink"/>
                  <w:rFonts w:ascii="Times New Roman;sans-serif" w:hAnsi="Times New Roman;sans-serif"/>
                  <w:b w:val="false"/>
                  <w:color w:val="000080"/>
                  <w:sz w:val="20"/>
                  <w:u w:val="single"/>
                </w:rPr>
                <w:t xml:space="preserve"> </w:t>
              </w:r>
            </w:hyperlink>
            <w:hyperlink w:anchor="i39dbd7839fe74b59973e2a00676a2c63_37">
              <w:r>
                <w:rPr>
                  <w:rStyle w:val="InternetLink"/>
                  <w:rFonts w:ascii="Times New Roman;sans-serif" w:hAnsi="Times New Roman;sans-serif"/>
                  <w:b w:val="false"/>
                  <w:color w:val="000080"/>
                  <w:sz w:val="20"/>
                  <w:u w:val="single"/>
                </w:rPr>
                <w:t>July 31, 2023</w:t>
              </w:r>
            </w:hyperlink>
            <w:hyperlink w:anchor="i39dbd7839fe74b59973e2a00676a2c63_37">
              <w:r>
                <w:rPr>
                  <w:rStyle w:val="InternetLink"/>
                  <w:rFonts w:ascii="Times New Roman;sans-serif" w:hAnsi="Times New Roman;sans-serif"/>
                  <w:b w:val="false"/>
                  <w:color w:val="000080"/>
                  <w:sz w:val="20"/>
                  <w:u w:val="single"/>
                </w:rPr>
                <w:t xml:space="preserve"> and </w:t>
              </w:r>
            </w:hyperlink>
            <w:hyperlink w:anchor="i39dbd7839fe74b59973e2a00676a2c63_37">
              <w:r>
                <w:rPr>
                  <w:rStyle w:val="InternetLink"/>
                  <w:rFonts w:ascii="Times New Roman;sans-serif" w:hAnsi="Times New Roman;sans-serif"/>
                  <w:b w:val="false"/>
                  <w:color w:val="000080"/>
                  <w:sz w:val="20"/>
                  <w:u w:val="single"/>
                </w:rPr>
                <w:t>2022</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dbd7839fe74b59973e2a00676a2c63_37">
              <w:r>
                <w:rPr>
                  <w:rStyle w:val="InternetLink"/>
                  <w:rFonts w:ascii="Times New Roman;sans-serif" w:hAnsi="Times New Roman;sans-serif"/>
                  <w:b w:val="false"/>
                  <w:strike w:val="false"/>
                  <w:dstrike w:val="false"/>
                  <w:color w:val="000000"/>
                  <w:sz w:val="20"/>
                  <w:u w:val="none"/>
                  <w:effect w:val="none"/>
                </w:rPr>
                <w:t>11</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dbd7839fe74b59973e2a00676a2c63_40">
              <w:r>
                <w:rPr>
                  <w:rStyle w:val="InternetLink"/>
                  <w:rFonts w:ascii="Times New Roman;sans-serif" w:hAnsi="Times New Roman;sans-serif"/>
                  <w:b w:val="false"/>
                  <w:color w:val="0000FF"/>
                  <w:sz w:val="20"/>
                  <w:u w:val="single"/>
                </w:rPr>
                <w:t>Notes to Condensed Consolidated Financial Statements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dbd7839fe74b59973e2a00676a2c63_40">
              <w:r>
                <w:rPr>
                  <w:rStyle w:val="InternetLink"/>
                  <w:rFonts w:ascii="Times New Roman;sans-serif" w:hAnsi="Times New Roman;sans-serif"/>
                  <w:b w:val="false"/>
                  <w:strike w:val="false"/>
                  <w:dstrike w:val="false"/>
                  <w:color w:val="000000"/>
                  <w:sz w:val="20"/>
                  <w:u w:val="none"/>
                  <w:effect w:val="none"/>
                </w:rPr>
                <w:t>12</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dbd7839fe74b59973e2a00676a2c63_91">
              <w:r>
                <w:rPr>
                  <w:rStyle w:val="InternetLink"/>
                  <w:rFonts w:ascii="Times New Roman;sans-serif" w:hAnsi="Times New Roman;sans-serif"/>
                  <w:b w:val="false"/>
                  <w:strike w:val="false"/>
                  <w:dstrike w:val="false"/>
                  <w:color w:val="000000"/>
                  <w:sz w:val="20"/>
                  <w:u w:val="none"/>
                  <w:effect w:val="none"/>
                </w:rPr>
                <w:t>Item 2.</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dbd7839fe74b59973e2a00676a2c63_91">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dbd7839fe74b59973e2a00676a2c63_91">
              <w:r>
                <w:rPr>
                  <w:rStyle w:val="InternetLink"/>
                  <w:rFonts w:ascii="Times New Roman;sans-serif" w:hAnsi="Times New Roman;sans-serif"/>
                  <w:b w:val="false"/>
                  <w:strike w:val="false"/>
                  <w:dstrike w:val="false"/>
                  <w:color w:val="000000"/>
                  <w:sz w:val="20"/>
                  <w:u w:val="none"/>
                  <w:effect w:val="none"/>
                </w:rPr>
                <w:t>25</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dbd7839fe74b59973e2a00676a2c63_133">
              <w:r>
                <w:rPr>
                  <w:rStyle w:val="InternetLink"/>
                  <w:rFonts w:ascii="Times New Roman;sans-serif" w:hAnsi="Times New Roman;sans-serif"/>
                  <w:b w:val="false"/>
                  <w:strike w:val="false"/>
                  <w:dstrike w:val="false"/>
                  <w:color w:val="000000"/>
                  <w:sz w:val="20"/>
                  <w:u w:val="none"/>
                  <w:effect w:val="none"/>
                </w:rPr>
                <w:t>Item 3.</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dbd7839fe74b59973e2a00676a2c63_133">
              <w:r>
                <w:rPr>
                  <w:rStyle w:val="InternetLink"/>
                  <w:rFonts w:ascii="Times New Roman;sans-serif" w:hAnsi="Times New Roman;sans-serif"/>
                  <w:b w:val="false"/>
                  <w:color w:val="0000FF"/>
                  <w:sz w:val="20"/>
                  <w:u w:val="single"/>
                </w:rPr>
                <w:t>Quantitative and Qualitative Disclosures About Market Risk</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dbd7839fe74b59973e2a00676a2c63_133">
              <w:r>
                <w:rPr>
                  <w:rStyle w:val="InternetLink"/>
                  <w:rFonts w:ascii="Times New Roman;sans-serif" w:hAnsi="Times New Roman;sans-serif"/>
                  <w:b w:val="false"/>
                  <w:strike w:val="false"/>
                  <w:dstrike w:val="false"/>
                  <w:color w:val="000000"/>
                  <w:sz w:val="20"/>
                  <w:u w:val="none"/>
                  <w:effect w:val="none"/>
                </w:rPr>
                <w:t>36</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dbd7839fe74b59973e2a00676a2c63_136">
              <w:r>
                <w:rPr>
                  <w:rStyle w:val="InternetLink"/>
                  <w:rFonts w:ascii="Times New Roman;sans-serif" w:hAnsi="Times New Roman;sans-serif"/>
                  <w:b w:val="false"/>
                  <w:strike w:val="false"/>
                  <w:dstrike w:val="false"/>
                  <w:color w:val="000000"/>
                  <w:sz w:val="20"/>
                  <w:u w:val="none"/>
                  <w:effect w:val="none"/>
                </w:rPr>
                <w:t>Item 4.</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dbd7839fe74b59973e2a00676a2c63_136">
              <w:r>
                <w:rPr>
                  <w:rStyle w:val="InternetLink"/>
                  <w:rFonts w:ascii="Times New Roman;sans-serif" w:hAnsi="Times New Roman;sans-serif"/>
                  <w:b w:val="false"/>
                  <w:color w:val="0000FF"/>
                  <w:sz w:val="20"/>
                  <w:u w:val="single"/>
                </w:rPr>
                <w:t>Controls and Procedures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dbd7839fe74b59973e2a00676a2c63_136">
              <w:r>
                <w:rPr>
                  <w:rStyle w:val="InternetLink"/>
                  <w:rFonts w:ascii="Times New Roman;sans-serif" w:hAnsi="Times New Roman;sans-serif"/>
                  <w:b w:val="false"/>
                  <w:strike w:val="false"/>
                  <w:dstrike w:val="false"/>
                  <w:color w:val="000000"/>
                  <w:sz w:val="20"/>
                  <w:u w:val="none"/>
                  <w:effect w:val="none"/>
                </w:rPr>
                <w:t>36</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dbd7839fe74b59973e2a00676a2c63_139">
              <w:r>
                <w:rPr>
                  <w:rStyle w:val="InternetLink"/>
                  <w:rFonts w:ascii="Times New Roman;sans-serif" w:hAnsi="Times New Roman;sans-serif"/>
                  <w:b w:val="false"/>
                  <w:color w:val="0000FF"/>
                  <w:sz w:val="20"/>
                  <w:u w:val="single"/>
                </w:rPr>
                <w:t>PART II – Other Information</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dbd7839fe74b59973e2a00676a2c63_139">
              <w:r>
                <w:rPr>
                  <w:rStyle w:val="InternetLink"/>
                  <w:rFonts w:ascii="Times New Roman;sans-serif" w:hAnsi="Times New Roman;sans-serif"/>
                  <w:b w:val="false"/>
                  <w:strike w:val="false"/>
                  <w:dstrike w:val="false"/>
                  <w:color w:val="000000"/>
                  <w:sz w:val="20"/>
                  <w:u w:val="none"/>
                  <w:effect w:val="none"/>
                </w:rPr>
                <w:t>38</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dbd7839fe74b59973e2a00676a2c63_142">
              <w:r>
                <w:rPr>
                  <w:rStyle w:val="InternetLink"/>
                  <w:rFonts w:ascii="Times New Roman;sans-serif" w:hAnsi="Times New Roman;sans-serif"/>
                  <w:b w:val="false"/>
                  <w:strike w:val="false"/>
                  <w:dstrike w:val="false"/>
                  <w:color w:val="000000"/>
                  <w:sz w:val="20"/>
                  <w:u w:val="none"/>
                  <w:effect w:val="none"/>
                </w:rPr>
                <w:t>Item 1.</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dbd7839fe74b59973e2a00676a2c63_142">
              <w:r>
                <w:rPr>
                  <w:rStyle w:val="InternetLink"/>
                  <w:rFonts w:ascii="Times New Roman;sans-serif" w:hAnsi="Times New Roman;sans-serif"/>
                  <w:b w:val="false"/>
                  <w:color w:val="0000FF"/>
                  <w:sz w:val="20"/>
                  <w:u w:val="single"/>
                </w:rPr>
                <w:t>Legal Proceedings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dbd7839fe74b59973e2a00676a2c63_142">
              <w:r>
                <w:rPr>
                  <w:rStyle w:val="InternetLink"/>
                  <w:rFonts w:ascii="Times New Roman;sans-serif" w:hAnsi="Times New Roman;sans-serif"/>
                  <w:b w:val="false"/>
                  <w:strike w:val="false"/>
                  <w:dstrike w:val="false"/>
                  <w:color w:val="000000"/>
                  <w:sz w:val="20"/>
                  <w:u w:val="none"/>
                  <w:effect w:val="none"/>
                </w:rPr>
                <w:t>38</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dbd7839fe74b59973e2a00676a2c63_145">
              <w:r>
                <w:rPr>
                  <w:rStyle w:val="InternetLink"/>
                  <w:rFonts w:ascii="Times New Roman;sans-serif" w:hAnsi="Times New Roman;sans-serif"/>
                  <w:b w:val="false"/>
                  <w:strike w:val="false"/>
                  <w:dstrike w:val="false"/>
                  <w:color w:val="000000"/>
                  <w:sz w:val="20"/>
                  <w:u w:val="none"/>
                  <w:effect w:val="none"/>
                </w:rPr>
                <w:t>Item 1A</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dbd7839fe74b59973e2a00676a2c63_145">
              <w:r>
                <w:rPr>
                  <w:rStyle w:val="InternetLink"/>
                  <w:rFonts w:ascii="Times New Roman;sans-serif" w:hAnsi="Times New Roman;sans-serif"/>
                  <w:b w:val="false"/>
                  <w:color w:val="0000FF"/>
                  <w:sz w:val="20"/>
                  <w:u w:val="single"/>
                </w:rPr>
                <w:t>Risk Factors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dbd7839fe74b59973e2a00676a2c63_145">
              <w:r>
                <w:rPr>
                  <w:rStyle w:val="InternetLink"/>
                  <w:rFonts w:ascii="Times New Roman;sans-serif" w:hAnsi="Times New Roman;sans-serif"/>
                  <w:b w:val="false"/>
                  <w:strike w:val="false"/>
                  <w:dstrike w:val="false"/>
                  <w:color w:val="000000"/>
                  <w:sz w:val="20"/>
                  <w:u w:val="none"/>
                  <w:effect w:val="none"/>
                </w:rPr>
                <w:t>38</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dbd7839fe74b59973e2a00676a2c63_148">
              <w:r>
                <w:rPr>
                  <w:rStyle w:val="InternetLink"/>
                  <w:rFonts w:ascii="Times New Roman;sans-serif" w:hAnsi="Times New Roman;sans-serif"/>
                  <w:b w:val="false"/>
                  <w:strike w:val="false"/>
                  <w:dstrike w:val="false"/>
                  <w:color w:val="000000"/>
                  <w:sz w:val="20"/>
                  <w:u w:val="none"/>
                  <w:effect w:val="none"/>
                </w:rPr>
                <w:t>Item 2.</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dbd7839fe74b59973e2a00676a2c63_148">
              <w:r>
                <w:rPr>
                  <w:rStyle w:val="InternetLink"/>
                  <w:rFonts w:ascii="Times New Roman;sans-serif" w:hAnsi="Times New Roman;sans-serif"/>
                  <w:b w:val="false"/>
                  <w:color w:val="0000FF"/>
                  <w:sz w:val="20"/>
                  <w:u w:val="single"/>
                </w:rPr>
                <w:t>Unregistered Sales of Equity Securities and Use of Proceeds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dbd7839fe74b59973e2a00676a2c63_148">
              <w:r>
                <w:rPr>
                  <w:rStyle w:val="InternetLink"/>
                  <w:rFonts w:ascii="Times New Roman;sans-serif" w:hAnsi="Times New Roman;sans-serif"/>
                  <w:b w:val="false"/>
                  <w:strike w:val="false"/>
                  <w:dstrike w:val="false"/>
                  <w:color w:val="000000"/>
                  <w:sz w:val="20"/>
                  <w:u w:val="none"/>
                  <w:effect w:val="none"/>
                </w:rPr>
                <w:t>71</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dbd7839fe74b59973e2a00676a2c63_151">
              <w:r>
                <w:rPr>
                  <w:rStyle w:val="InternetLink"/>
                  <w:rFonts w:ascii="Times New Roman;sans-serif" w:hAnsi="Times New Roman;sans-serif"/>
                  <w:b w:val="false"/>
                  <w:strike w:val="false"/>
                  <w:dstrike w:val="false"/>
                  <w:color w:val="000000"/>
                  <w:sz w:val="20"/>
                  <w:u w:val="none"/>
                  <w:effect w:val="none"/>
                </w:rPr>
                <w:t>Item 3.</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dbd7839fe74b59973e2a00676a2c63_151">
              <w:r>
                <w:rPr>
                  <w:rStyle w:val="InternetLink"/>
                  <w:rFonts w:ascii="Times New Roman;sans-serif" w:hAnsi="Times New Roman;sans-serif"/>
                  <w:b w:val="false"/>
                  <w:color w:val="0000FF"/>
                  <w:sz w:val="20"/>
                  <w:u w:val="single"/>
                </w:rPr>
                <w:t>Defaults Upon Senior Securities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dbd7839fe74b59973e2a00676a2c63_151">
              <w:r>
                <w:rPr>
                  <w:rStyle w:val="InternetLink"/>
                  <w:rFonts w:ascii="Times New Roman;sans-serif" w:hAnsi="Times New Roman;sans-serif"/>
                  <w:b w:val="false"/>
                  <w:strike w:val="false"/>
                  <w:dstrike w:val="false"/>
                  <w:color w:val="000000"/>
                  <w:sz w:val="20"/>
                  <w:u w:val="none"/>
                  <w:effect w:val="none"/>
                </w:rPr>
                <w:t>71</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dbd7839fe74b59973e2a00676a2c63_154">
              <w:r>
                <w:rPr>
                  <w:rStyle w:val="InternetLink"/>
                  <w:rFonts w:ascii="Times New Roman;sans-serif" w:hAnsi="Times New Roman;sans-serif"/>
                  <w:b w:val="false"/>
                  <w:strike w:val="false"/>
                  <w:dstrike w:val="false"/>
                  <w:color w:val="000000"/>
                  <w:sz w:val="20"/>
                  <w:u w:val="none"/>
                  <w:effect w:val="none"/>
                </w:rPr>
                <w:t>Item 4.</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dbd7839fe74b59973e2a00676a2c63_154">
              <w:r>
                <w:rPr>
                  <w:rStyle w:val="InternetLink"/>
                  <w:rFonts w:ascii="Times New Roman;sans-serif" w:hAnsi="Times New Roman;sans-serif"/>
                  <w:b w:val="false"/>
                  <w:color w:val="0000FF"/>
                  <w:sz w:val="20"/>
                  <w:u w:val="single"/>
                </w:rPr>
                <w:t>Mine Safety Disclosures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dbd7839fe74b59973e2a00676a2c63_154">
              <w:r>
                <w:rPr>
                  <w:rStyle w:val="InternetLink"/>
                  <w:rFonts w:ascii="Times New Roman;sans-serif" w:hAnsi="Times New Roman;sans-serif"/>
                  <w:b w:val="false"/>
                  <w:strike w:val="false"/>
                  <w:dstrike w:val="false"/>
                  <w:color w:val="000000"/>
                  <w:sz w:val="20"/>
                  <w:u w:val="none"/>
                  <w:effect w:val="none"/>
                </w:rPr>
                <w:t>71</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dbd7839fe74b59973e2a00676a2c63_157">
              <w:r>
                <w:rPr>
                  <w:rStyle w:val="InternetLink"/>
                  <w:rFonts w:ascii="Times New Roman;sans-serif" w:hAnsi="Times New Roman;sans-serif"/>
                  <w:b w:val="false"/>
                  <w:strike w:val="false"/>
                  <w:dstrike w:val="false"/>
                  <w:color w:val="000000"/>
                  <w:sz w:val="20"/>
                  <w:u w:val="none"/>
                  <w:effect w:val="none"/>
                </w:rPr>
                <w:t>Item 5.</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dbd7839fe74b59973e2a00676a2c63_157">
              <w:r>
                <w:rPr>
                  <w:rStyle w:val="InternetLink"/>
                  <w:rFonts w:ascii="Times New Roman;sans-serif" w:hAnsi="Times New Roman;sans-serif"/>
                  <w:b w:val="false"/>
                  <w:color w:val="0000FF"/>
                  <w:sz w:val="20"/>
                  <w:u w:val="single"/>
                </w:rPr>
                <w:t>Other Information</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dbd7839fe74b59973e2a00676a2c63_157">
              <w:r>
                <w:rPr>
                  <w:rStyle w:val="InternetLink"/>
                  <w:rFonts w:ascii="Times New Roman;sans-serif" w:hAnsi="Times New Roman;sans-serif"/>
                  <w:b w:val="false"/>
                  <w:strike w:val="false"/>
                  <w:dstrike w:val="false"/>
                  <w:color w:val="000000"/>
                  <w:sz w:val="20"/>
                  <w:u w:val="none"/>
                  <w:effect w:val="none"/>
                </w:rPr>
                <w:t>71</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dbd7839fe74b59973e2a00676a2c63_160">
              <w:r>
                <w:rPr>
                  <w:rStyle w:val="InternetLink"/>
                  <w:rFonts w:ascii="Times New Roman;sans-serif" w:hAnsi="Times New Roman;sans-serif"/>
                  <w:b w:val="false"/>
                  <w:strike w:val="false"/>
                  <w:dstrike w:val="false"/>
                  <w:color w:val="000000"/>
                  <w:sz w:val="20"/>
                  <w:u w:val="none"/>
                  <w:effect w:val="none"/>
                </w:rPr>
                <w:t>Item 6.</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dbd7839fe74b59973e2a00676a2c63_160">
              <w:r>
                <w:rPr>
                  <w:rStyle w:val="InternetLink"/>
                  <w:rFonts w:ascii="Times New Roman;sans-serif" w:hAnsi="Times New Roman;sans-serif"/>
                  <w:b w:val="false"/>
                  <w:color w:val="0000FF"/>
                  <w:sz w:val="20"/>
                  <w:u w:val="single"/>
                </w:rPr>
                <w:t>Exhibits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dbd7839fe74b59973e2a00676a2c63_160">
              <w:r>
                <w:rPr>
                  <w:rStyle w:val="InternetLink"/>
                  <w:rFonts w:ascii="Times New Roman;sans-serif" w:hAnsi="Times New Roman;sans-serif"/>
                  <w:b w:val="false"/>
                  <w:strike w:val="false"/>
                  <w:dstrike w:val="false"/>
                  <w:color w:val="000000"/>
                  <w:sz w:val="20"/>
                  <w:u w:val="none"/>
                  <w:effect w:val="none"/>
                </w:rPr>
                <w:t>73</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dbd7839fe74b59973e2a00676a2c63_166">
              <w:r>
                <w:rPr>
                  <w:rStyle w:val="InternetLink"/>
                  <w:rFonts w:ascii="Times New Roman;sans-serif" w:hAnsi="Times New Roman;sans-serif"/>
                  <w:b w:val="false"/>
                  <w:color w:val="0000FF"/>
                  <w:sz w:val="20"/>
                  <w:u w:val="single"/>
                </w:rPr>
                <w:t>Signatures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dbd7839fe74b59973e2a00676a2c63_166">
              <w:r>
                <w:rPr>
                  <w:rStyle w:val="InternetLink"/>
                  <w:rFonts w:ascii="Times New Roman;sans-serif" w:hAnsi="Times New Roman;sans-serif"/>
                  <w:b w:val="false"/>
                  <w:strike w:val="false"/>
                  <w:dstrike w:val="false"/>
                  <w:color w:val="000000"/>
                  <w:sz w:val="20"/>
                  <w:u w:val="none"/>
                  <w:effect w:val="none"/>
                </w:rPr>
                <w:t>74</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97205"/>
                <wp:effectExtent l="0" t="0" r="0" b="0"/>
                <wp:wrapNone/>
                <wp:docPr id="2" name="Frame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including our statements regarding the benefits and timing of the roll out of new technology,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contained in this Quarterly Report on Form 10-Q include, but are not limited to, statements about: our future financial performance, including our revenue, cost of revenue, gross profit, margins, and operating expenses; trends in our key business metrics; the sufficiency of our cash and cash equivalents, investments, and cash provided by sales of our products and services to meet our liquidity needs; market trends; our market position and opportunity; our growth strategy and business aspirations for our communications and collaboration platform; our product strategy; our efforts to enhance the security and privacy of our platform; our ability to operate our business and effectively manage our growth under evolving macroeconomic conditions, such as high inflation, recessionary environments and fluctuations in foreign currency exchange rates; our ability to become the ubiquitous platform for communications; our ability to attract new customers and retain existing customers; our ability to successfully expand into our existing markets and into new markets; our ability to effectively manage our growth and future expenses; and the impact of recent accounting pronouncements on our unaudited condensed consolidated financial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read this Quarterly Report on Form 10-Q and the documents that we reference in this Quarterly Report on Form 10-Q and have filed with the Securities and Exchange Commission as exhibits to this Quarterly Report on Form 10-Q with the understanding that our actual future results, levels of activity, performance, and events and circumstances may be materially different from what we expect.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97205"/>
                <wp:effectExtent l="0" t="0" r="0" b="0"/>
                <wp:wrapNone/>
                <wp:docPr id="3" name="Frame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SUMMARY RISK FACTORS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Investing in our Class A common stock involves numerous risks, including the risks described in “Part II—Other Information, Item 1A. Risk Factors” of this Quarterly Report on Form 10-Q. Below are some of these risks, any one of which could materially adversely affect our business, financial condition, results of operations, and prospects.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business depends on our ability to attract new customers, retain and upsell additional products and new product categories to existing customers, and upgrade free hosts to our paid offerings. Any decline in new customers, renewals, or upgrades would harm our business.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revenue growth rate has fluctuated in prior periods, and may decline in future periods.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Interruptions, delays, or outages in service from our co-located data centers and a variety of other factors, would impair the delivery of our services, require us to issue credits or pay penalties, and harm our business.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operate in competitive markets, and we must continue to compete effectively. Many of our actual and potential competitors benefit from competitive advantages over us, such as greater name recognition; longer operating histories; more varied products and services; larger marketing budgets; more established marketing relationships; more third-party integration; greater accessibility across devices or applications; greater access to larger user bases; major distribution agreements with hardware manufacturers and resellers; and greater financial, technical, and other resources. In addition, as we introduce new products and services to our platform, and with the introduction of new technologies and market entrants, we expect competition to intensify in the future.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business may be significantly affected by changes in the economy, including any resulting effect on consumer or business spending.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As we increase sales to large organizations, our sales cycles have and could continue to lengthen, and we could experience greater deployment challenges.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generate revenue from sales of subscriptions to our platform, and any decline in demand for our platform or for communications and collaboration technologies in general would harm our business.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have incurred net losses in the past and there are no assurances we will be able to maintain or increase profitability in the future.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may not be able to respond to rapid technological changes, extend our platform or develop new features.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security measures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hosts curtailing or ceasing their use of our products, our incurring significant liabilities, and our business being harmed.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have a limited operating history at the current scale of our business, which makes it difficult to evaluate our prospects and future results of operations.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actual or perceived failure by us, our customers, partners, or vendors to comply with stringent and evolving privacy, data protection, and information security laws, regulations, standards, policies, and contractual obligations could harm our reputation and business or subject us to significant fines and liability.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If we were to lose the services of our Chief Executive Officer or other members of our senior management team, we may not be able to execute our business strategy.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have significant and expanding operations outside the United States, which may subject us to increased business, regulatory and economic risks that could harm our business.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may be subject to, or assist law enforcement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97205"/>
                <wp:effectExtent l="0" t="0" r="0" b="0"/>
                <wp:wrapNone/>
                <wp:docPr id="4" name="Frame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dual class structure of our common stock as contained in our amended and restated certificate of incorporation has the effect of concentrating voting control with those stockholders who held our stock prior to our initial public offering, including our executive officers, employees, and directors and their affiliates, limiting your ability to influence corporate matters.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adequately address these and other risks we face, our business may be harmed.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97205"/>
                <wp:effectExtent l="0" t="0" r="0" b="0"/>
                <wp:wrapNone/>
                <wp:docPr id="5" name="Frame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ZOOM VIDEO COMMUNICATIONS,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915"/>
        <w:gridCol w:w="2301"/>
        <w:gridCol w:w="2263"/>
        <w:gridCol w:w="196"/>
        <w:gridCol w:w="871"/>
        <w:gridCol w:w="109"/>
        <w:gridCol w:w="109"/>
        <w:gridCol w:w="109"/>
        <w:gridCol w:w="109"/>
        <w:gridCol w:w="196"/>
        <w:gridCol w:w="871"/>
        <w:gridCol w:w="156"/>
      </w:tblGrid>
      <w:tr>
        <w:trPr/>
        <w:tc>
          <w:tcPr>
            <w:tcW w:w="2915"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w:t>
              <w:br/>
              <w:t>2023</w:t>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1,086,830 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4,648,393 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4,325,836 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allowances of $45,781 and $33,206 as of July 31, 2023 and January 31, 2023,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557,404 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contract acquisition costs, 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223,250 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163,092 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7,050,992 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6,356,412 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contract acquisition costs,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179,991 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252,821 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Strategic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398,992 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558,428 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177,874 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8,923,108 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8,128,065 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457,716 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 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1,349,351 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1,266,514 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1,767,473 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1,738,644 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1,920,756 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1,921,458 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7)</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$0.001 par value per share, 200,000,000 shares authorized as of July 31, 2023 and January 31, 2023; zero shares issued and outstanding as of July 31, 2023 and January 31, 2023</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per share, 2,000,000,000 Class A shares authorized as of July 31, 2023 and January 31, 2023; 254,291,416 and 247,151,956 shares issued and outstanding as of July 31, 2023 and January 31, 2023, respectively; 300,000,000 Class B shares authorized as of July 31, 2023 and January 31, 2023; 46,664,611 and 46,670,894 shares issued and outstanding as of July 31, 2023 and January 31, 2023,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4,689,521 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4,104,880 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2,349,236 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2,151,818 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7,002,352 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6,206,607 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8,923,108 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8,128,065 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97205"/>
                <wp:effectExtent l="0" t="0" r="0" b="0"/>
                <wp:wrapNone/>
                <wp:docPr id="6" name="Frame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ZOOM VIDEO COMMUNICATIONS,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57"/>
        <w:gridCol w:w="1120"/>
        <w:gridCol w:w="1117"/>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75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July 31, </w:t>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2,173,258 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535,432 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1,637,826 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316,855 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763,257 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704,104 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1,329,018 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308,808 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(losses) on strategic investments,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(71,116)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234,071 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159,408 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Undistributed earnings attributable to participating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159,389 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attributable to common stockholders:</w:t>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income per share attributable to common stockholders:</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299,093,452 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298,553,379 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297,281,846 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298,865,676 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305,932,596 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307,160,840 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305,054,771 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306,902,964 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97205"/>
                <wp:effectExtent l="0" t="0" r="0" b="0"/>
                <wp:wrapNone/>
                <wp:docPr id="7" name="Frame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ZOOM VIDEO COMMUNICATIONS,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98"/>
        <w:gridCol w:w="1443"/>
        <w:gridCol w:w="1457"/>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6"/>
      </w:tblGrid>
      <w:tr>
        <w:trPr/>
        <w:tc>
          <w:tcPr>
            <w:tcW w:w="1798"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July 31, </w:t>
            </w:r>
          </w:p>
        </w:tc>
      </w:tr>
      <w:tr>
        <w:trPr/>
        <w:tc>
          <w:tcPr>
            <w:tcW w:w="469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available-for-sale marketable securities, net of income tax (expense) benefit of $553 and $929 for the three months ended July 31, 2023 and 2022, respectively, and $(4,121) and $9,615 for the six months ended July 31, 2023 and 2022,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129,149 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97205"/>
                <wp:effectExtent l="0" t="0" r="0" b="0"/>
                <wp:wrapNone/>
                <wp:docPr id="8" name="Frame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ZOOM VIDEO COMMUNICATIONS,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1620" w:type="dxa"/>
        <w:jc w:val="center"/>
        <w:tblInd w:w="0" w:type="dxa"/>
        <w:tblLayout w:type="fixed"/>
        <w:tblCellMar>
          <w:top w:w="28" w:type="dxa"/>
          <w:left w:w="28" w:type="dxa"/>
          <w:bottom w:w="28" w:type="dxa"/>
          <w:right w:w="28" w:type="dxa"/>
        </w:tblCellMar>
      </w:tblPr>
      <w:tblGrid>
        <w:gridCol w:w="749"/>
        <w:gridCol w:w="210"/>
        <w:gridCol w:w="212"/>
        <w:gridCol w:w="109"/>
        <w:gridCol w:w="109"/>
        <w:gridCol w:w="109"/>
        <w:gridCol w:w="153"/>
        <w:gridCol w:w="153"/>
        <w:gridCol w:w="588"/>
        <w:gridCol w:w="463"/>
        <w:gridCol w:w="154"/>
        <w:gridCol w:w="109"/>
        <w:gridCol w:w="109"/>
        <w:gridCol w:w="109"/>
        <w:gridCol w:w="235"/>
        <w:gridCol w:w="505"/>
        <w:gridCol w:w="131"/>
        <w:gridCol w:w="109"/>
        <w:gridCol w:w="109"/>
        <w:gridCol w:w="109"/>
        <w:gridCol w:w="202"/>
        <w:gridCol w:w="900"/>
        <w:gridCol w:w="114"/>
        <w:gridCol w:w="109"/>
        <w:gridCol w:w="109"/>
        <w:gridCol w:w="109"/>
        <w:gridCol w:w="196"/>
        <w:gridCol w:w="661"/>
        <w:gridCol w:w="109"/>
        <w:gridCol w:w="109"/>
        <w:gridCol w:w="109"/>
        <w:gridCol w:w="109"/>
        <w:gridCol w:w="196"/>
        <w:gridCol w:w="871"/>
        <w:gridCol w:w="109"/>
        <w:gridCol w:w="109"/>
        <w:gridCol w:w="109"/>
        <w:gridCol w:w="109"/>
        <w:gridCol w:w="196"/>
        <w:gridCol w:w="871"/>
        <w:gridCol w:w="109"/>
        <w:gridCol w:w="109"/>
        <w:gridCol w:w="109"/>
        <w:gridCol w:w="109"/>
        <w:gridCol w:w="109"/>
        <w:gridCol w:w="109"/>
        <w:gridCol w:w="109"/>
        <w:gridCol w:w="109"/>
        <w:gridCol w:w="109"/>
        <w:gridCol w:w="109"/>
        <w:gridCol w:w="109"/>
        <w:gridCol w:w="109"/>
        <w:gridCol w:w="109"/>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24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July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1"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April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297,455,726 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4,391,418 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2,167,262 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6,524,107 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release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2,404,443 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262,177 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July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300,956,027 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4,689,521 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2,349,236 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7,002,352 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1003" w:type="dxa"/>
        <w:jc w:val="left"/>
        <w:tblInd w:w="0" w:type="dxa"/>
        <w:tblLayout w:type="fixed"/>
        <w:tblCellMar>
          <w:top w:w="28" w:type="dxa"/>
          <w:left w:w="28" w:type="dxa"/>
          <w:bottom w:w="28" w:type="dxa"/>
          <w:right w:w="28" w:type="dxa"/>
        </w:tblCellMar>
      </w:tblPr>
      <w:tblGrid>
        <w:gridCol w:w="749"/>
        <w:gridCol w:w="210"/>
        <w:gridCol w:w="212"/>
        <w:gridCol w:w="109"/>
        <w:gridCol w:w="109"/>
        <w:gridCol w:w="109"/>
        <w:gridCol w:w="153"/>
        <w:gridCol w:w="153"/>
        <w:gridCol w:w="588"/>
        <w:gridCol w:w="463"/>
        <w:gridCol w:w="154"/>
        <w:gridCol w:w="109"/>
        <w:gridCol w:w="109"/>
        <w:gridCol w:w="109"/>
        <w:gridCol w:w="235"/>
        <w:gridCol w:w="505"/>
        <w:gridCol w:w="131"/>
        <w:gridCol w:w="230"/>
        <w:gridCol w:w="230"/>
        <w:gridCol w:w="231"/>
        <w:gridCol w:w="202"/>
        <w:gridCol w:w="900"/>
        <w:gridCol w:w="114"/>
        <w:gridCol w:w="109"/>
        <w:gridCol w:w="109"/>
        <w:gridCol w:w="109"/>
        <w:gridCol w:w="196"/>
        <w:gridCol w:w="661"/>
        <w:gridCol w:w="109"/>
        <w:gridCol w:w="109"/>
        <w:gridCol w:w="109"/>
        <w:gridCol w:w="109"/>
        <w:gridCol w:w="196"/>
        <w:gridCol w:w="871"/>
        <w:gridCol w:w="109"/>
        <w:gridCol w:w="109"/>
        <w:gridCol w:w="109"/>
        <w:gridCol w:w="109"/>
        <w:gridCol w:w="196"/>
        <w:gridCol w:w="871"/>
        <w:gridCol w:w="109"/>
        <w:gridCol w:w="109"/>
        <w:gridCol w:w="109"/>
        <w:gridCol w:w="109"/>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60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July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1"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April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298,824,233 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3,831,060 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2,161,765 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5,947,887 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release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1,439,199 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(2,864,721)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(293,531)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256,715 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July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298,086,507 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3,830,745 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2,207,515 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5,990,397 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97205"/>
                <wp:effectExtent l="0" t="0" r="0" b="0"/>
                <wp:wrapNone/>
                <wp:docPr id="9" name="Frame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ZOOM VIDEO COMMUNICATIONS,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770"/>
        <w:gridCol w:w="239"/>
        <w:gridCol w:w="242"/>
        <w:gridCol w:w="109"/>
        <w:gridCol w:w="109"/>
        <w:gridCol w:w="109"/>
        <w:gridCol w:w="155"/>
        <w:gridCol w:w="155"/>
        <w:gridCol w:w="588"/>
        <w:gridCol w:w="463"/>
        <w:gridCol w:w="156"/>
        <w:gridCol w:w="109"/>
        <w:gridCol w:w="109"/>
        <w:gridCol w:w="109"/>
        <w:gridCol w:w="235"/>
        <w:gridCol w:w="505"/>
        <w:gridCol w:w="131"/>
        <w:gridCol w:w="109"/>
        <w:gridCol w:w="109"/>
        <w:gridCol w:w="109"/>
        <w:gridCol w:w="202"/>
        <w:gridCol w:w="900"/>
        <w:gridCol w:w="114"/>
        <w:gridCol w:w="109"/>
        <w:gridCol w:w="109"/>
        <w:gridCol w:w="109"/>
        <w:gridCol w:w="197"/>
        <w:gridCol w:w="669"/>
        <w:gridCol w:w="110"/>
        <w:gridCol w:w="109"/>
        <w:gridCol w:w="109"/>
        <w:gridCol w:w="109"/>
        <w:gridCol w:w="197"/>
        <w:gridCol w:w="879"/>
        <w:gridCol w:w="110"/>
        <w:gridCol w:w="109"/>
        <w:gridCol w:w="109"/>
        <w:gridCol w:w="109"/>
        <w:gridCol w:w="196"/>
        <w:gridCol w:w="871"/>
        <w:gridCol w:w="159"/>
      </w:tblGrid>
      <w:tr>
        <w:trPr/>
        <w:tc>
          <w:tcPr>
            <w:tcW w:w="77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1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July 31, 2023</w:t>
            </w:r>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 Equity</w:t>
            </w:r>
          </w:p>
        </w:tc>
        <w:tc>
          <w:tcPr>
            <w:tcW w:w="1553" w:type="dxa"/>
            <w:gridSpan w:val="6"/>
            <w:tcBorders/>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January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293,822,850 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4,104,880 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(50,385)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2,151,818 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6,206,607 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1,044,922 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release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5,535,351 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552,904 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544,450 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544,450 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197,418 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197,418 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July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300,956,027 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4,689,521 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(36,707)</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2,349,236 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7,002,352 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58" w:type="dxa"/>
        <w:jc w:val="left"/>
        <w:tblInd w:w="0" w:type="dxa"/>
        <w:tblLayout w:type="fixed"/>
        <w:tblCellMar>
          <w:top w:w="28" w:type="dxa"/>
          <w:left w:w="28" w:type="dxa"/>
          <w:bottom w:w="28" w:type="dxa"/>
          <w:right w:w="28" w:type="dxa"/>
        </w:tblCellMar>
      </w:tblPr>
      <w:tblGrid>
        <w:gridCol w:w="749"/>
        <w:gridCol w:w="210"/>
        <w:gridCol w:w="212"/>
        <w:gridCol w:w="109"/>
        <w:gridCol w:w="109"/>
        <w:gridCol w:w="109"/>
        <w:gridCol w:w="153"/>
        <w:gridCol w:w="153"/>
        <w:gridCol w:w="588"/>
        <w:gridCol w:w="463"/>
        <w:gridCol w:w="154"/>
        <w:gridCol w:w="109"/>
        <w:gridCol w:w="109"/>
        <w:gridCol w:w="109"/>
        <w:gridCol w:w="235"/>
        <w:gridCol w:w="505"/>
        <w:gridCol w:w="131"/>
        <w:gridCol w:w="230"/>
        <w:gridCol w:w="230"/>
        <w:gridCol w:w="231"/>
        <w:gridCol w:w="202"/>
        <w:gridCol w:w="900"/>
        <w:gridCol w:w="114"/>
        <w:gridCol w:w="109"/>
        <w:gridCol w:w="109"/>
        <w:gridCol w:w="109"/>
        <w:gridCol w:w="196"/>
        <w:gridCol w:w="661"/>
        <w:gridCol w:w="109"/>
        <w:gridCol w:w="109"/>
        <w:gridCol w:w="109"/>
        <w:gridCol w:w="109"/>
        <w:gridCol w:w="196"/>
        <w:gridCol w:w="871"/>
        <w:gridCol w:w="109"/>
        <w:gridCol w:w="109"/>
        <w:gridCol w:w="109"/>
        <w:gridCol w:w="109"/>
        <w:gridCol w:w="196"/>
        <w:gridCol w:w="871"/>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65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July 31, 2022</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1"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c>
          <w:tcPr>
            <w:tcW w:w="1548" w:type="dxa"/>
            <w:gridSpan w:val="6"/>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January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299,037,805 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3,749,514 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2,048,107 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5,780,018 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858,055 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release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1,906,359 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(4,088,971)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(425,942)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(425,946)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467,329 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July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298,086,507 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3,830,745 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2,207,515 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5,990,397 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97205"/>
                <wp:effectExtent l="0" t="0" r="0" b="0"/>
                <wp:wrapNone/>
                <wp:docPr id="10" name="Frame1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ZOOM VIDEO COMMUNICATIONS,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60"/>
        <w:gridCol w:w="2370"/>
        <w:gridCol w:w="2378"/>
        <w:gridCol w:w="196"/>
        <w:gridCol w:w="871"/>
        <w:gridCol w:w="109"/>
        <w:gridCol w:w="109"/>
        <w:gridCol w:w="109"/>
        <w:gridCol w:w="109"/>
        <w:gridCol w:w="196"/>
        <w:gridCol w:w="741"/>
        <w:gridCol w:w="157"/>
      </w:tblGrid>
      <w:tr>
        <w:trPr/>
        <w:tc>
          <w:tcPr>
            <w:tcW w:w="2860"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July 31, </w:t>
            </w:r>
          </w:p>
        </w:tc>
      </w:tr>
      <w:tr>
        <w:trPr/>
        <w:tc>
          <w:tcPr>
            <w:tcW w:w="7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159,408 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464,878 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deferred contract acquisition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119,502 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36,155 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(Gains) losses on strategic investments,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accounts receivable allowances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26,727 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foreign exchange losses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operating lease cost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discount/premium on marketable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(125,898)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(136,619)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contract acquisition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(157,005)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220,550 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(11,350)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754,458 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783,360 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marketable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(1,826,166)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(1,576,853)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Maturities of marketable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1,543,120 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1,306,676 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(52,870)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strategic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(61,550)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strategic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acquisition, net of cash acquired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(204,918)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(120,553)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intangible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(500,146)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(508,361)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 for employee stock purchase plan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employee equity transactions to be remitted (remitted) to employees and tax authorities,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repurchases of common stock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(425,946)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760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760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760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financing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(388,821)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 cash equivalents, and restricted cash</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(16,111)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cash equivalents, and restricted cash</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(129,933)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 beginning of period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1,100,243 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1,073,353 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1,392,232 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943,420 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Reconciliation of cash, cash equivalents, and restricted cash within the condensed consolidated balance sheets to the amounts shown in the condensed consolidated statements of cash flows above: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1,380,121 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937,443 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current included in 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noncurrent included in other assets,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cash equivalents, and restricted cash</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1,392,232 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943,420 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97205"/>
                <wp:effectExtent l="0" t="0" r="0" b="0"/>
                <wp:wrapNone/>
                <wp:docPr id="11" name="Frame1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ZOOM VIDEO COMMUNICATIONS,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1.</w:t>
      </w:r>
      <w:r>
        <w:rPr>
          <w:rFonts w:ascii="Times New Roman;sans-serif" w:hAnsi="Times New Roman;sans-serif"/>
          <w:b/>
          <w:color w:val="000000"/>
          <w:sz w:val="20"/>
        </w:rPr>
        <w:t>Summary of Business and Significant Accounting Policies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Description of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Zoom Video Communications, Inc. and its subsidiaries (collectively, “Zoom,” the “Company,” “we,” “us,” or “our”) connect people through our core unified communications and collaboration platform, which frictionlessly brings together video, phone, chat, webinars events, and contact center, and enables meaningful experiences across disparate devices and locations. We were incorporated in the state of Delaware in April 2011, and are headquartered in San Jose, California.</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Fiscal Year</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fiscal year ends on January 31. References to fiscal year 2024, for example, refer to the fiscal year ending January 31, 2024.</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accordance with generally accepted accounting principles in the United States of America (“GAAP”) and applicable regulations of the Securities and Exchange Commission (“SEC”) regarding interim financial reporting, and include the accounts of Zoom Video Communications, Inc., its subsidiaries, and variable interest entities for which we are the primary beneficiary. All intercompany balances and transactions have been eliminated in consolidation.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balance sheet as of January 31, 2023 included herein was derived from the audited financial statements as of that date, but does not include all disclosures, including certain notes required by GAAP on an annual reporting basis. The unaudited condensed consolidated financial statements reflect all normal recurring adjustments necessary to present fairly the balance sheets, statements of operations, statements of comprehensive income, statements of stockholders’ equity, and statements of cash flows for the interim periods, but are not necessarily indicative of the results of operations to be anticipated for the full fiscal year or any future period.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should be read in conjunction with the audited consolidated financial statements and notes included in our Annual Report on Form 10-K for the year ended January 31, 2023, filed with the SEC on March 3, 2023.</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condensed consolidated financial statements in conformity with GAAP requires management to make estimates and assumptions that affect the reported amounts of assets and liabilities, disclosure of contingent assets and liabilities at the date of the condensed consolidated financial statements, and the reported amounts of revenue and expenses during the reporting period. Significant items subject to such estimates and assumptions include, but are not limited to, the estimated expected benefit period for deferred contract acquisition costs, stock-based compensation expense, the fair value of marketable securities, acquired intangible assets and goodwill, the valuation of deferred income tax assets and uncertain tax positions, and accruals and contingencies. Actual results could materially differ from those estimates.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Summary of Significant Accounting Policies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significant accounting policies are discussed in Note 1. “Summary of Business and Significant Accounting Policies” in the notes to consolidated financial statements included in our Annual Report on Form 10-K for the year ended January 31, 2023, filed with the SEC on March 3, 2023. There have been no significant changes to these policies during the six months ended July 31,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97205"/>
                <wp:effectExtent l="0" t="0" r="0" b="0"/>
                <wp:wrapNone/>
                <wp:docPr id="12" name="Frame1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2.    Revenue Recognition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revenue by region based on the billing address of customers:</w:t>
      </w:r>
    </w:p>
    <w:tbl>
      <w:tblPr>
        <w:tblW w:w="12301" w:type="dxa"/>
        <w:jc w:val="left"/>
        <w:tblInd w:w="0" w:type="dxa"/>
        <w:tblLayout w:type="fixed"/>
        <w:tblCellMar>
          <w:top w:w="28" w:type="dxa"/>
          <w:left w:w="28" w:type="dxa"/>
          <w:bottom w:w="28" w:type="dxa"/>
          <w:right w:w="28" w:type="dxa"/>
        </w:tblCellMar>
      </w:tblPr>
      <w:tblGrid>
        <w:gridCol w:w="315"/>
        <w:gridCol w:w="277"/>
        <w:gridCol w:w="279"/>
        <w:gridCol w:w="211"/>
        <w:gridCol w:w="976"/>
        <w:gridCol w:w="109"/>
        <w:gridCol w:w="109"/>
        <w:gridCol w:w="109"/>
        <w:gridCol w:w="109"/>
        <w:gridCol w:w="247"/>
        <w:gridCol w:w="219"/>
        <w:gridCol w:w="508"/>
        <w:gridCol w:w="109"/>
        <w:gridCol w:w="109"/>
        <w:gridCol w:w="109"/>
        <w:gridCol w:w="211"/>
        <w:gridCol w:w="976"/>
        <w:gridCol w:w="109"/>
        <w:gridCol w:w="109"/>
        <w:gridCol w:w="109"/>
        <w:gridCol w:w="109"/>
        <w:gridCol w:w="247"/>
        <w:gridCol w:w="219"/>
        <w:gridCol w:w="508"/>
        <w:gridCol w:w="109"/>
        <w:gridCol w:w="109"/>
        <w:gridCol w:w="109"/>
        <w:gridCol w:w="211"/>
        <w:gridCol w:w="976"/>
        <w:gridCol w:w="109"/>
        <w:gridCol w:w="109"/>
        <w:gridCol w:w="109"/>
        <w:gridCol w:w="109"/>
        <w:gridCol w:w="247"/>
        <w:gridCol w:w="219"/>
        <w:gridCol w:w="508"/>
        <w:gridCol w:w="109"/>
        <w:gridCol w:w="109"/>
        <w:gridCol w:w="109"/>
        <w:gridCol w:w="211"/>
        <w:gridCol w:w="976"/>
        <w:gridCol w:w="109"/>
        <w:gridCol w:w="109"/>
        <w:gridCol w:w="109"/>
        <w:gridCol w:w="109"/>
        <w:gridCol w:w="235"/>
        <w:gridCol w:w="231"/>
        <w:gridCol w:w="569"/>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July 31, </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Revenue</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0"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 (“APAC”)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 (“EMEA”)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1,138,676 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1,099,458 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2,244,040 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2,173,258 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36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Contract Balances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receive payments from customers based on a billing schedule as established in our customer contracts. Accounts receivable are recorded when we contractually have the right to consideration. In some arrangements, a right to consideration for our performance under the customer contract may occur before invoicing to the customer, resulting in an unbilled accounts receivable. The amount of unbilled accounts receivable included within accounts receivable, net was $115.6 million and $91.6 million as of July 31, 2023 and January 31, 2023, respectively, and the amount of unbilled accounts receivable included within other assets, noncurrent was immaterial as of July 31, 2023 and January 31, 2023.</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Contract liabilities consist of deferred revenue. Revenue is deferred when we have the right to invoice in advance of performance under a customer contract. The current portion of deferred revenue balances is recognized over the next 12 months. The amount of revenue recognized during the three months ended July 31, 2023 and 2022 that was included in deferred revenue at the beginning of each period was $593.9 million and $572.7 million, respectively, and $939.2 million and $867.6 million during the six months ended July 31, 2023 and 2022, respectively.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terms of our subscription agreements are monthly, annual, and multiyear, and we may bill for the full term in advance or on an annual, quarterly, or monthly basis, depending on the billing terms with customers. As of July 31, 2023, the aggregate amount of the transaction price allocated to our remaining performance obligations was $3,504.4 million, which consists of both billed consideration in the amount of $1,369.8 million and unbilled consideration in the amount of $2,134.6 million that we expect to recognize as revenue. We expect to recognize 59% of our remaining performance obligations as revenue over the next 12 months and the remainder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97205"/>
                <wp:effectExtent l="0" t="0" r="0" b="0"/>
                <wp:wrapNone/>
                <wp:docPr id="13" name="Frame1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3.    Investments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Marketable Securities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July 31, 2023 and January 31, 2023, our marketable securities consisted of the following: </w:t>
      </w:r>
    </w:p>
    <w:tbl>
      <w:tblPr>
        <w:tblW w:w="8575" w:type="dxa"/>
        <w:jc w:val="left"/>
        <w:tblInd w:w="0" w:type="dxa"/>
        <w:tblLayout w:type="fixed"/>
        <w:tblCellMar>
          <w:top w:w="28" w:type="dxa"/>
          <w:left w:w="28" w:type="dxa"/>
          <w:bottom w:w="28" w:type="dxa"/>
          <w:right w:w="28" w:type="dxa"/>
        </w:tblCellMar>
      </w:tblPr>
      <w:tblGrid>
        <w:gridCol w:w="1070"/>
        <w:gridCol w:w="941"/>
        <w:gridCol w:w="944"/>
        <w:gridCol w:w="211"/>
        <w:gridCol w:w="976"/>
        <w:gridCol w:w="109"/>
        <w:gridCol w:w="109"/>
        <w:gridCol w:w="109"/>
        <w:gridCol w:w="109"/>
        <w:gridCol w:w="257"/>
        <w:gridCol w:w="495"/>
        <w:gridCol w:w="134"/>
        <w:gridCol w:w="109"/>
        <w:gridCol w:w="109"/>
        <w:gridCol w:w="109"/>
        <w:gridCol w:w="211"/>
        <w:gridCol w:w="796"/>
        <w:gridCol w:w="109"/>
        <w:gridCol w:w="109"/>
        <w:gridCol w:w="109"/>
        <w:gridCol w:w="109"/>
        <w:gridCol w:w="211"/>
        <w:gridCol w:w="976"/>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July 31, 2023</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w:t>
              <w:br/>
              <w:t>Value</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bonds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bills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4,696,810 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4,648,393 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75" w:type="dxa"/>
        <w:jc w:val="left"/>
        <w:tblInd w:w="0" w:type="dxa"/>
        <w:tblLayout w:type="fixed"/>
        <w:tblCellMar>
          <w:top w:w="28" w:type="dxa"/>
          <w:left w:w="28" w:type="dxa"/>
          <w:bottom w:w="28" w:type="dxa"/>
          <w:right w:w="28" w:type="dxa"/>
        </w:tblCellMar>
      </w:tblPr>
      <w:tblGrid>
        <w:gridCol w:w="1070"/>
        <w:gridCol w:w="941"/>
        <w:gridCol w:w="944"/>
        <w:gridCol w:w="211"/>
        <w:gridCol w:w="976"/>
        <w:gridCol w:w="109"/>
        <w:gridCol w:w="109"/>
        <w:gridCol w:w="109"/>
        <w:gridCol w:w="109"/>
        <w:gridCol w:w="237"/>
        <w:gridCol w:w="525"/>
        <w:gridCol w:w="124"/>
        <w:gridCol w:w="109"/>
        <w:gridCol w:w="109"/>
        <w:gridCol w:w="109"/>
        <w:gridCol w:w="211"/>
        <w:gridCol w:w="796"/>
        <w:gridCol w:w="109"/>
        <w:gridCol w:w="109"/>
        <w:gridCol w:w="109"/>
        <w:gridCol w:w="109"/>
        <w:gridCol w:w="211"/>
        <w:gridCol w:w="976"/>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 2023</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w:t>
              <w:br/>
              <w:t>Value</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bonds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550,894 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bills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4,392,058 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4,325,836 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Unrealized losses for securities that have been in an unrealized loss position for less than 12 months were $25.2 million and $24.8 million as of July 31, 2023 and January 31, 2023, respectively. Unrealized losses for securities that have been in an unrealized loss position for 12 months or longer were $23.3 million and $42.0 million as of July 31, 2023 and January 31, 2023, respectively. We review the individual securities that have unrealized losses on a regular basis to evaluate whether or not any security has experienced, or is expected to experience, credit losses resulting in the decline in fair value. We evaluate, among other factors, whether we have the intention to sell any of these marketable securities and whether it is more likely than not that we will be required to sell any of them before recovery of the amortized cost basis. We have not recorded an allowance for credit losses, as we believe any such losses would be immaterial based on the high-grade credit rating for each of our marketable securities as of the end of each period. There were no material realized gains or losses from available-for-sale securities that were reclassified out of accumulated other comprehensive loss for the three and six months ended July 31, 2023 and 2022.</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contractual maturities of our marketable securities as of July 31, 2023 and January 31, 2023:</w:t>
      </w:r>
    </w:p>
    <w:tbl>
      <w:tblPr>
        <w:tblW w:w="5102" w:type="dxa"/>
        <w:jc w:val="left"/>
        <w:tblInd w:w="0" w:type="dxa"/>
        <w:tblLayout w:type="fixed"/>
        <w:tblCellMar>
          <w:top w:w="28" w:type="dxa"/>
          <w:left w:w="28" w:type="dxa"/>
          <w:bottom w:w="28" w:type="dxa"/>
          <w:right w:w="28" w:type="dxa"/>
        </w:tblCellMar>
      </w:tblPr>
      <w:tblGrid>
        <w:gridCol w:w="738"/>
        <w:gridCol w:w="649"/>
        <w:gridCol w:w="653"/>
        <w:gridCol w:w="211"/>
        <w:gridCol w:w="976"/>
        <w:gridCol w:w="109"/>
        <w:gridCol w:w="109"/>
        <w:gridCol w:w="109"/>
        <w:gridCol w:w="109"/>
        <w:gridCol w:w="226"/>
        <w:gridCol w:w="1048"/>
        <w:gridCol w:w="165"/>
      </w:tblGrid>
      <w:tr>
        <w:trPr/>
        <w:tc>
          <w:tcPr>
            <w:tcW w:w="7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2023</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4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one year</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2,757,001 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2,743,677 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to five years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1,891,392 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1,582,159 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4,648,393 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4,325,836 </w:t>
            </w:r>
          </w:p>
        </w:tc>
        <w:tc>
          <w:tcPr>
            <w:tcW w:w="16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97205"/>
                <wp:effectExtent l="0" t="0" r="0" b="0"/>
                <wp:wrapNone/>
                <wp:docPr id="14" name="Frame1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Strategic Investments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Strategic investments by form and measurement category as of July 31, 2023 were as follows:</w:t>
      </w:r>
    </w:p>
    <w:tbl>
      <w:tblPr>
        <w:tblW w:w="8207" w:type="dxa"/>
        <w:jc w:val="left"/>
        <w:tblInd w:w="0" w:type="dxa"/>
        <w:tblLayout w:type="fixed"/>
        <w:tblCellMar>
          <w:top w:w="28" w:type="dxa"/>
          <w:left w:w="28" w:type="dxa"/>
          <w:bottom w:w="28" w:type="dxa"/>
          <w:right w:w="28" w:type="dxa"/>
        </w:tblCellMar>
      </w:tblPr>
      <w:tblGrid>
        <w:gridCol w:w="674"/>
        <w:gridCol w:w="591"/>
        <w:gridCol w:w="594"/>
        <w:gridCol w:w="211"/>
        <w:gridCol w:w="721"/>
        <w:gridCol w:w="109"/>
        <w:gridCol w:w="109"/>
        <w:gridCol w:w="109"/>
        <w:gridCol w:w="109"/>
        <w:gridCol w:w="359"/>
        <w:gridCol w:w="1406"/>
        <w:gridCol w:w="185"/>
        <w:gridCol w:w="109"/>
        <w:gridCol w:w="109"/>
        <w:gridCol w:w="109"/>
        <w:gridCol w:w="240"/>
        <w:gridCol w:w="821"/>
        <w:gridCol w:w="124"/>
        <w:gridCol w:w="109"/>
        <w:gridCol w:w="109"/>
        <w:gridCol w:w="109"/>
        <w:gridCol w:w="211"/>
        <w:gridCol w:w="826"/>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Measurement Category</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Measurement Alternative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Method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185,732 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95,070 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185,732 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95,070 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376,693 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Strategic investments by form and measurement category as of January 31, 2023 were as follows:</w:t>
      </w:r>
    </w:p>
    <w:tbl>
      <w:tblPr>
        <w:tblW w:w="8312" w:type="dxa"/>
        <w:jc w:val="left"/>
        <w:tblInd w:w="0" w:type="dxa"/>
        <w:tblLayout w:type="fixed"/>
        <w:tblCellMar>
          <w:top w:w="28" w:type="dxa"/>
          <w:left w:w="28" w:type="dxa"/>
          <w:bottom w:w="28" w:type="dxa"/>
          <w:right w:w="28" w:type="dxa"/>
        </w:tblCellMar>
      </w:tblPr>
      <w:tblGrid>
        <w:gridCol w:w="674"/>
        <w:gridCol w:w="591"/>
        <w:gridCol w:w="594"/>
        <w:gridCol w:w="211"/>
        <w:gridCol w:w="826"/>
        <w:gridCol w:w="109"/>
        <w:gridCol w:w="109"/>
        <w:gridCol w:w="109"/>
        <w:gridCol w:w="109"/>
        <w:gridCol w:w="359"/>
        <w:gridCol w:w="1406"/>
        <w:gridCol w:w="185"/>
        <w:gridCol w:w="109"/>
        <w:gridCol w:w="109"/>
        <w:gridCol w:w="109"/>
        <w:gridCol w:w="240"/>
        <w:gridCol w:w="821"/>
        <w:gridCol w:w="124"/>
        <w:gridCol w:w="109"/>
        <w:gridCol w:w="109"/>
        <w:gridCol w:w="109"/>
        <w:gridCol w:w="211"/>
        <w:gridCol w:w="826"/>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Measurement Category</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Measurement Alternative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Method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118,763 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93,854 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118,763 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93,854 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quarter of fiscal year 2024, we made a total of $51.0 million of strategic investments in equity securities of private companies. Based on the terms of these privately-held securities, we determined that we do not have a controlling interest nor the ability to exercise significant influence over the operating and financial policies of the investees. Therefore these investments are currently accounted for under the measurement alternative method.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fiscal year 2024, we sold a total of $107.2 million of strategic investments in equity securities of public companies. The gains on sale, which were not material, were recorded through gains (losses) on strategic investments, net in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4.    Fair Value Measurements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information about our financial instruments that are measured at fair value on a recurring basis and indicate the fair value hierarchy of the valuation inputs utilized to determine such fair value:</w:t>
      </w:r>
    </w:p>
    <w:tbl>
      <w:tblPr>
        <w:tblW w:w="10205" w:type="dxa"/>
        <w:jc w:val="left"/>
        <w:tblInd w:w="0" w:type="dxa"/>
        <w:tblLayout w:type="fixed"/>
        <w:tblCellMar>
          <w:top w:w="28" w:type="dxa"/>
          <w:left w:w="28" w:type="dxa"/>
          <w:bottom w:w="28" w:type="dxa"/>
          <w:right w:w="28" w:type="dxa"/>
        </w:tblCellMar>
      </w:tblPr>
      <w:tblGrid>
        <w:gridCol w:w="1654"/>
        <w:gridCol w:w="1420"/>
        <w:gridCol w:w="1430"/>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616"/>
        <w:gridCol w:w="155"/>
      </w:tblGrid>
      <w:tr>
        <w:trPr/>
        <w:tc>
          <w:tcPr>
            <w:tcW w:w="1654"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July 31, 2023</w:t>
            </w:r>
          </w:p>
        </w:tc>
      </w:tr>
      <w:tr>
        <w:trPr/>
        <w:tc>
          <w:tcPr>
            <w:tcW w:w="4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4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bills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50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872,596 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bonds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bills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4,648,393 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4,648,393 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50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 included in other assets, noncurrent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Publicly held equity securities included in strategic investments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Privately held debt securities included in strategic investments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5,617,135 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893,548 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4,719,835 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97205"/>
                <wp:effectExtent l="0" t="0" r="0" b="0"/>
                <wp:wrapNone/>
                <wp:docPr id="15" name="Frame1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619"/>
        <w:gridCol w:w="1385"/>
        <w:gridCol w:w="1395"/>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721"/>
        <w:gridCol w:w="155"/>
      </w:tblGrid>
      <w:tr>
        <w:trPr/>
        <w:tc>
          <w:tcPr>
            <w:tcW w:w="1619"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 2023</w:t>
            </w:r>
          </w:p>
        </w:tc>
      </w:tr>
      <w:tr>
        <w:trPr/>
        <w:tc>
          <w:tcPr>
            <w:tcW w:w="4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4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3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3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bonds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bills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3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 included in other assets, noncurrent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Publicly held equity securities included in strategic investments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Privately held debt securities included in strategic investments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4,823,054 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482,546 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4,326,108 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3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3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3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classify our highly liquid money market funds and publicly held equity securities within Level 1 of the fair value hierarchy because they are valued based on quoted market prices in active markets. We classify our commercial paper, agency bonds, corporate and other debt securities, U.S. government agency securities, treasury bills, and certificates of deposit within Level 2 because they are valued using inputs other than quoted prices that are directly or indirectly observable in the market, including readily available pricing sources for the identical underlying security, which may not be actively traded. We classify our privately held debt securities as Level 3 due to the lack of relevant observable market data over fair value inputs, such as the probability weighting of the various scenarios that can impact settlement of the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5.    Business Combinations</w:t>
      </w:r>
    </w:p>
    <w:p>
      <w:pPr>
        <w:pStyle w:val="TextBody"/>
        <w:bidi w:val="0"/>
        <w:spacing w:lineRule="auto" w:line="288" w:before="12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Solvvy, Inc.</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May 19, 2022, we acquired 100% of the issued and outstanding share capital of Solvvy, Inc., a private technology company specializing in customer support automation, for an all-cash purchase consideration of $121.2 million. The acquisition adds to our customer service capabilities and enhances our integrated platform by providing conversational AI capabilities. The acquisition has been accounted for as a business combination.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allocating the purchase consideration, $95.0 million was attributed to goodwill, $26.7 million to intangible assets (consisted of $12.0 million to developed technology and $14.7 million to customer relationships), and $0.5 million to other net liabilities acquired. The goodwill amount represents synergies related to our existing products expected to be realized from the acquisition and assembled workforce. The associated goodwill is not deductible for tax purposes.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the date of the acquisition, the developed technology and customer relationships both had an estimated useful life of 5.0 years, and both are amortized using the straight-line method over their respective estimated useful lives. As of July 31, 2023, the developed technology and customer relationships both had a remaining useful life of 3.8 years.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Transaction costs incurred in connection with the acquisition were immaterial. The results of operations of Solvvy, Inc., which are not material, have been included in our condensed consolidated financial statements from the date of the acquisition. Pro forma and historical results of operations of the company have not been presented, as the results do not have a material effect on any of the periods presented in our condensed consolidated statements of operations.</w:t>
      </w:r>
    </w:p>
    <w:p>
      <w:pPr>
        <w:pStyle w:val="TextBody"/>
        <w:bidi w:val="0"/>
        <w:spacing w:lineRule="auto" w:line="288" w:before="12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Workvivo Limited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April 21, 2023, we acquired 100% of the issued and outstanding share capital of Workvivo Limited (“Workvivo”), a private technology company that provides an employee experience platform, for an all-cash purchase consideration of $221.8 million. The acquisition extends our platform and offers our customers new ways to keep employees informed, engaged, and connected. The acquisition has been accounted for as a business combination.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allocating the purchase consideration, $184.7 million was attributed to goodwill, $28.0 million to intangible assets (primarily consisting of $10.8 million to developed technology and $17.0 million to customer relationships), and $9.1 million to other net assets acquired. The goodwill amount represents synergies related to our existing products expected to be realized from the acquisition and assembled workforce. The associated goodwill is not deductible for tax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97205"/>
                <wp:effectExtent l="0" t="0" r="0" b="0"/>
                <wp:wrapNone/>
                <wp:docPr id="16" name="Frame1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the date of the acquisition, the developed technology and customer relationships both had an estimated useful life of 5.0 years, and both are amortized using the straight-line method over their respective estimated useful lives. As of July 31, 2023, the developed technology and customer relationships both had a remaining useful life of 4.7 years.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Transaction costs incurred in connection with the acquisition were immaterial. The results of operations of Workvivo, which are not material, have been included in our condensed consolidated financial statements from the date of the acquisition. Pro forma and historical results of operations of the company have not been presented, as the results do not have a material effect on any of the periods presented in our condensed consolidated statements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Uncertain tax positions are initially established in connection with the acquisition as of the acquisition date. We continue to collect information and reevaluate these estimates and assumptions quarterly. We will record any adjustments to our preliminary estimates to goodwill, provided that it is within the one-year measurement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6.    Balance Sheet Components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Accounts Receivable, Net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are recorded for invoiced amounts and amounts for which revenue has been recognized, but not invoiced, net of allowances. Our short-term accounts receivable consist of the following:</w:t>
      </w:r>
    </w:p>
    <w:tbl>
      <w:tblPr>
        <w:tblW w:w="5627" w:type="dxa"/>
        <w:jc w:val="left"/>
        <w:tblInd w:w="0" w:type="dxa"/>
        <w:tblLayout w:type="fixed"/>
        <w:tblCellMar>
          <w:top w:w="28" w:type="dxa"/>
          <w:left w:w="28" w:type="dxa"/>
          <w:bottom w:w="28" w:type="dxa"/>
          <w:right w:w="28" w:type="dxa"/>
        </w:tblCellMar>
      </w:tblPr>
      <w:tblGrid>
        <w:gridCol w:w="982"/>
        <w:gridCol w:w="863"/>
        <w:gridCol w:w="869"/>
        <w:gridCol w:w="211"/>
        <w:gridCol w:w="826"/>
        <w:gridCol w:w="109"/>
        <w:gridCol w:w="109"/>
        <w:gridCol w:w="109"/>
        <w:gridCol w:w="109"/>
        <w:gridCol w:w="255"/>
        <w:gridCol w:w="999"/>
        <w:gridCol w:w="186"/>
      </w:tblGrid>
      <w:tr>
        <w:trPr/>
        <w:tc>
          <w:tcPr>
            <w:tcW w:w="98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2023</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gross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590,610 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returns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(8,306)</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571,049 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557,404 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rollforward of our allowance for credit losses for the six months ended July 31, 2023 and 2022:</w:t>
      </w:r>
    </w:p>
    <w:tbl>
      <w:tblPr>
        <w:tblW w:w="4659" w:type="dxa"/>
        <w:jc w:val="left"/>
        <w:tblInd w:w="0" w:type="dxa"/>
        <w:tblLayout w:type="fixed"/>
        <w:tblCellMar>
          <w:top w:w="28" w:type="dxa"/>
          <w:left w:w="28" w:type="dxa"/>
          <w:bottom w:w="28" w:type="dxa"/>
          <w:right w:w="28" w:type="dxa"/>
        </w:tblCellMar>
      </w:tblPr>
      <w:tblGrid>
        <w:gridCol w:w="799"/>
        <w:gridCol w:w="700"/>
        <w:gridCol w:w="706"/>
        <w:gridCol w:w="211"/>
        <w:gridCol w:w="721"/>
        <w:gridCol w:w="109"/>
        <w:gridCol w:w="109"/>
        <w:gridCol w:w="109"/>
        <w:gridCol w:w="109"/>
        <w:gridCol w:w="211"/>
        <w:gridCol w:w="721"/>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(in thousands)</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31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July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97205"/>
                <wp:effectExtent l="0" t="0" r="0" b="0"/>
                <wp:wrapNone/>
                <wp:docPr id="17" name="Frame1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Prepaid Expenses and Other Current Assets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consisted of the following:</w:t>
      </w:r>
    </w:p>
    <w:tbl>
      <w:tblPr>
        <w:tblW w:w="7532" w:type="dxa"/>
        <w:jc w:val="left"/>
        <w:tblInd w:w="0" w:type="dxa"/>
        <w:tblLayout w:type="fixed"/>
        <w:tblCellMar>
          <w:top w:w="28" w:type="dxa"/>
          <w:left w:w="28" w:type="dxa"/>
          <w:bottom w:w="28" w:type="dxa"/>
          <w:right w:w="28" w:type="dxa"/>
        </w:tblCellMar>
      </w:tblPr>
      <w:tblGrid>
        <w:gridCol w:w="1673"/>
        <w:gridCol w:w="1467"/>
        <w:gridCol w:w="1479"/>
        <w:gridCol w:w="211"/>
        <w:gridCol w:w="826"/>
        <w:gridCol w:w="109"/>
        <w:gridCol w:w="109"/>
        <w:gridCol w:w="109"/>
        <w:gridCol w:w="109"/>
        <w:gridCol w:w="255"/>
        <w:gridCol w:w="999"/>
        <w:gridCol w:w="186"/>
      </w:tblGrid>
      <w:tr>
        <w:trPr/>
        <w:tc>
          <w:tcPr>
            <w:tcW w:w="1673"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2023</w:t>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123,493 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from international employee stock sales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163,092 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consisted of the following:</w:t>
      </w:r>
    </w:p>
    <w:tbl>
      <w:tblPr>
        <w:tblW w:w="7023" w:type="dxa"/>
        <w:jc w:val="left"/>
        <w:tblInd w:w="0" w:type="dxa"/>
        <w:tblLayout w:type="fixed"/>
        <w:tblCellMar>
          <w:top w:w="28" w:type="dxa"/>
          <w:left w:w="28" w:type="dxa"/>
          <w:bottom w:w="28" w:type="dxa"/>
          <w:right w:w="28" w:type="dxa"/>
        </w:tblCellMar>
      </w:tblPr>
      <w:tblGrid>
        <w:gridCol w:w="1481"/>
        <w:gridCol w:w="1306"/>
        <w:gridCol w:w="1323"/>
        <w:gridCol w:w="211"/>
        <w:gridCol w:w="826"/>
        <w:gridCol w:w="109"/>
        <w:gridCol w:w="109"/>
        <w:gridCol w:w="109"/>
        <w:gridCol w:w="109"/>
        <w:gridCol w:w="255"/>
        <w:gridCol w:w="999"/>
        <w:gridCol w:w="186"/>
      </w:tblGrid>
      <w:tr>
        <w:trPr/>
        <w:tc>
          <w:tcPr>
            <w:tcW w:w="1481"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2023</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249,776 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84,082 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and office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48,325 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Furniture and fixtures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gross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412,503 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(159,682)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252,821 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was $22.6 million and $19.6 million for the three months ended July 31, 2023 and 2022, respectively, and $44.6 million and $34.7 million for the six months ended July 31, 2023 and 2022, respectively.</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Other Assets, Noncurrent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assets, noncurrent consisted of the following:</w:t>
      </w:r>
    </w:p>
    <w:tbl>
      <w:tblPr>
        <w:tblW w:w="6647" w:type="dxa"/>
        <w:jc w:val="left"/>
        <w:tblInd w:w="0" w:type="dxa"/>
        <w:tblLayout w:type="fixed"/>
        <w:tblCellMar>
          <w:top w:w="28" w:type="dxa"/>
          <w:left w:w="28" w:type="dxa"/>
          <w:bottom w:w="28" w:type="dxa"/>
          <w:right w:w="28" w:type="dxa"/>
        </w:tblCellMar>
      </w:tblPr>
      <w:tblGrid>
        <w:gridCol w:w="1351"/>
        <w:gridCol w:w="1188"/>
        <w:gridCol w:w="1195"/>
        <w:gridCol w:w="211"/>
        <w:gridCol w:w="826"/>
        <w:gridCol w:w="109"/>
        <w:gridCol w:w="109"/>
        <w:gridCol w:w="109"/>
        <w:gridCol w:w="109"/>
        <w:gridCol w:w="255"/>
        <w:gridCol w:w="999"/>
        <w:gridCol w:w="186"/>
      </w:tblGrid>
      <w:tr>
        <w:trPr/>
        <w:tc>
          <w:tcPr>
            <w:tcW w:w="1351"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2023</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noncurrent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92,031 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subject to amortization,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noncurrent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177,874 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97205"/>
                <wp:effectExtent l="0" t="0" r="0" b="0"/>
                <wp:wrapNone/>
                <wp:docPr id="18" name="Frame1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Accrued Expenses and Other Current Liabilities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consisted of the following:</w:t>
      </w:r>
    </w:p>
    <w:tbl>
      <w:tblPr>
        <w:tblW w:w="6738" w:type="dxa"/>
        <w:jc w:val="left"/>
        <w:tblInd w:w="0" w:type="dxa"/>
        <w:tblLayout w:type="fixed"/>
        <w:tblCellMar>
          <w:top w:w="28" w:type="dxa"/>
          <w:left w:w="28" w:type="dxa"/>
          <w:bottom w:w="28" w:type="dxa"/>
          <w:right w:w="28" w:type="dxa"/>
        </w:tblCellMar>
      </w:tblPr>
      <w:tblGrid>
        <w:gridCol w:w="1386"/>
        <w:gridCol w:w="1215"/>
        <w:gridCol w:w="1224"/>
        <w:gridCol w:w="211"/>
        <w:gridCol w:w="826"/>
        <w:gridCol w:w="109"/>
        <w:gridCol w:w="109"/>
        <w:gridCol w:w="109"/>
        <w:gridCol w:w="109"/>
        <w:gridCol w:w="255"/>
        <w:gridCol w:w="999"/>
        <w:gridCol w:w="186"/>
      </w:tblGrid>
      <w:tr>
        <w:trPr/>
        <w:tc>
          <w:tcPr>
            <w:tcW w:w="1386"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2023</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160,189 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139,105 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other non-income tax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deposit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33,640 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397,268 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457,716 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Other Liabilities, Noncurrent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 consisted of the following:</w:t>
      </w:r>
    </w:p>
    <w:tbl>
      <w:tblPr>
        <w:tblW w:w="6356" w:type="dxa"/>
        <w:jc w:val="left"/>
        <w:tblInd w:w="0" w:type="dxa"/>
        <w:tblLayout w:type="fixed"/>
        <w:tblCellMar>
          <w:top w:w="28" w:type="dxa"/>
          <w:left w:w="28" w:type="dxa"/>
          <w:bottom w:w="28" w:type="dxa"/>
          <w:right w:w="28" w:type="dxa"/>
        </w:tblCellMar>
      </w:tblPr>
      <w:tblGrid>
        <w:gridCol w:w="1266"/>
        <w:gridCol w:w="1113"/>
        <w:gridCol w:w="1116"/>
        <w:gridCol w:w="222"/>
        <w:gridCol w:w="759"/>
        <w:gridCol w:w="114"/>
        <w:gridCol w:w="109"/>
        <w:gridCol w:w="109"/>
        <w:gridCol w:w="109"/>
        <w:gridCol w:w="279"/>
        <w:gridCol w:w="956"/>
        <w:gridCol w:w="204"/>
      </w:tblGrid>
      <w:tr>
        <w:trPr/>
        <w:tc>
          <w:tcPr>
            <w:tcW w:w="126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2023</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other non-income tax liabilities</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42,321 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70,685 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67,195 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7.    Commitments and Contingencies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Non-cancelable Purchase Obligations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July 31, 2023, there have been no material changes to our non-cancelable purchase obligations from those disclosed in Note 8. “Commitments and Contingencies” in the notes to consolidated financial statements included in our Annual Report on Form 10-K for the year ended January 31, 2023, filed with the SEC on March 3, 2023.</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Contingencies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2020, we received a grand jury subpoena from the Department of Justice’s U.S. Attorney’s Office for Eastern District of New York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relating to the Tiananmen commemorations on Zoom. In July 2020, we received subpoenas from the Department of Justice’s U.S. Attorney’s Office for the Northern District of California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all of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reputational harm.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97205"/>
                <wp:effectExtent l="0" t="0" r="0" b="0"/>
                <wp:wrapNone/>
                <wp:docPr id="19" name="Frame1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June 11, 2020 and July 30, 2020, purported shareholder derivative complaints were filed in the United States District Court for the District of Delaware. The first complaint names as defendants nine of our officers and directors, and the second complaint names eight of our officers and directors. The lawsuits assert state and federal claims and are based on the same alleged misstatements as the shareholder class action complaint. The lawsuits accuse our board of directors of failing to exercise reasonable and prudent supervision over our management, policies, practices, and internal controls. The plaintiffs seek unspecified monetary damages on behalf of us as well as governance reforms. On September 25, 2020, the derivative cases were consolidated. On October 27, 2021, a third substantially identical lawsuit was filed in the same court against the same defendants, seeking unspecified monetary damages and governance reforms. On November 17, 2021, all three derivative lawsuits were consolidated. The consolidated case was stayed pending resolution of the motion to dismiss the securities class action. On April 11, 2023, the court entered a stipulated order that requires defendants to answer, move, or otherwise respond to the operative complaint by June 12, 2023. On June 12, 2023, defendants filed a motion to dismiss the consolidated case. On August 11, 2023, the plaintiff in the consolidated case filed an amended complaint.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vigorously defending ourselves against these lawsuits. Given the uncertainty of litigation, the preliminary stage of the cases, and the legal standards that must be met for, among other things, class certification and success on the merits, we cannot estimate the reasonably possible loss or range of loss that may result from these actions.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on March 30, 2020, multiple putative class actions were filed against us in various U.S. federal district courts and state courts relating to our alleged privacy and security practices, including alleged data sharing with third parties (the “U.S. Privacy Class Actions”). The plaintiffs claim violations of a variety of state consumer protection and privacy laws, and also assert state constitutional and common law claims, such as negligence and unjust enrichment. The U.S. Privacy Class Actions seek to certify both nationwide and state-specific classes of individuals using our services in certain time periods. The plaintiffs seek various forms of injunctive and monetary relief, including restitution, statutory and actual damages, punitive damages, and attorneys’ fees. The federal cases have been transferred to and consolidated in the NDCA with our consent; lead plaintiffs’ counsel have been appointed; and plaintiffs filed their first amended consolidated class action complaint on October 28, 2020. On March 11, 2021, the court granted in part, and denied in part, our motion to dismiss, and gave plaintiffs leave to amend. On July 30, 2021, we entered into a settlement agreement with plaintiffs to settle the action on a classwide basis, and plaintiffs filed a motion for preliminary approval of the settlement with the court on July 31, 2021. On October 21, 2021, the Court preliminarily approved the settlement. Under the terms of the settlement, we have paid $85.0 million into an escrow account that will be used to pay claims filed by settlement class members, attorneys’ fees and expenses, administrative costs, and service payments to plaintiffs. On April 21, 2022, the Court granted final approval of the settlement. On May 19, 2022, two objectors to the settlement appealed the Court's final approval order. On May 20, 2022, a third objector appealed the Court’s final approval order. On October 17, 2022, we, plaintiffs, and all three objector-appellants agreed to settle the appeals, and on October 27, 2022, we and plaintiffs initiated proceedings in the district court to obtain Court approval of the settlements, which the district court approved on December 16, 2022. On January 13, 2023, a new objector appealed the court’s December 16, 2022 approval of the settlements of the prior appeals, and on March 31, 2023, the Ninth Circuit dismissed the new appeal. With the appeals resolved, the class action settlement is final and the settlement administrator is in the process of making payments to claimants.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7, 2020 and April 8, 2020, securities class action complaints were filed against us and two of our officers in the United States District Court for the NDCA. The plaintiffs are purported stockholders of ours. The complaints allege, among other things, that we violated Sections 10(b) and 20(a) of the Exchange Act, and Rule 10b-5 by making false and misleading statements and omissions of material fact about our data privacy and security measures. The complaints seek unspecified damages, interest, fees, and costs. On May 18, 2020, the actions were consolidated. On November 4, 2020, the court appointed a lead plaintiff. On December 23, 2020, the lead plaintiff filed a consolidated complaint. We filed a motion to dismiss the consolidated complaint on May 20, 2021. Plaintiff filed an opposition to our motion to dismiss on July 9, 2021. Our reply in support of the motion to dismiss was filed on August 9, 2021. On February 16, 2022, the court granted in part, and denied in part, our motion to dismiss. On March 14, 2022, we moved for reconsideration of the court’s ruling on the motion to dismiss. On March 22, 2022, the court ordered plaintiff to respond to our motion, which plaintiff did on March 29, 2022. On April 22, 2022, we answered the complaint. On March 8, 2023, the court denied our motion for reconsideration. On April 6, 2023, the court entered a scheduling order. On July 17, 2023, the parties entered into a stipulation and agreement of settlement (the “Stipulation”) to resolve this matter. Under the terms of the stipulation, in exchange for the release and dismissal with prejudice of all claims against all defendants in the matter, we have agreed to pay and/or cause our insurance carriers to pay a total of $150.0 million. The Stipulation and settlement remain subject to preliminary and final approval by the court. On July 25, 2023, the court entered an order staying further proceedings in the matter pending the filing of a motion for preliminary approval of the settlement, which is to be filed no later than October 20, 2023. As a result of the settlement, we made net payments of $60.0 million ($150.0 million for the settlement net of $90.0 million covered by insurance) during the three months ended July 31, 2023, of which $7.5 million had been accrued during the year ended January 31, 2023 and $52.5 million was recorded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97205"/>
                <wp:effectExtent l="0" t="0" r="0" b="0"/>
                <wp:wrapNone/>
                <wp:docPr id="20" name="Frame2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in our condensed consolidated statement of operations for the six months ended July 31, 2023. No additional legal settlement charges were recorded for the three months ended July 31, 2023.</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from time to time, we are involved in various other legal proceedings arising from the normal course of business activities. We are not presently a party to any other such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8.    Stockholders’ Equity and Equity Incentive Plans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authorizes the issuance of 2,000,000,000 shares of Class A common stock, $0.001 par value per share, and 300,000,000 shares of Class B common stock, $0.001 par value per share. Class A and Class B common stock are referred to as common stock throughout the notes to the condensed consolidated financial statements, unless otherwise noted.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Stock Repurchase Plan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our Board of Directors authorized a stock repurchase program of up to $1.0 billion of our Class A common stock, which was completed in December 2022. During the three and six months ended July 31, 2022, we repurchased and subsequently retired 2,864,721 and 4,088,971 shares of our Class A common stock, respectively, for an aggregate amount of $293.5 million and $425.9 million, respectively.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two equity incentive plans: the 2011 Global Share Plan (“2011 Plan”) and the 2019 Equity Incentive Plan (“2019 Plan”). All shares that remain available for future grants are under the 2019 Plan.</w:t>
      </w:r>
    </w:p>
    <w:p>
      <w:pPr>
        <w:pStyle w:val="TextBody"/>
        <w:bidi w:val="0"/>
        <w:spacing w:lineRule="auto" w:line="276"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stock option activity under our equity incentive plan and related information is as follows:</w:t>
      </w:r>
    </w:p>
    <w:tbl>
      <w:tblPr>
        <w:tblW w:w="9553" w:type="dxa"/>
        <w:jc w:val="left"/>
        <w:tblInd w:w="0" w:type="dxa"/>
        <w:tblLayout w:type="fixed"/>
        <w:tblCellMar>
          <w:top w:w="28" w:type="dxa"/>
          <w:left w:w="28" w:type="dxa"/>
          <w:bottom w:w="28" w:type="dxa"/>
          <w:right w:w="28" w:type="dxa"/>
        </w:tblCellMar>
      </w:tblPr>
      <w:tblGrid>
        <w:gridCol w:w="1435"/>
        <w:gridCol w:w="1257"/>
        <w:gridCol w:w="1267"/>
        <w:gridCol w:w="524"/>
        <w:gridCol w:w="526"/>
        <w:gridCol w:w="336"/>
        <w:gridCol w:w="109"/>
        <w:gridCol w:w="109"/>
        <w:gridCol w:w="109"/>
        <w:gridCol w:w="211"/>
        <w:gridCol w:w="616"/>
        <w:gridCol w:w="109"/>
        <w:gridCol w:w="109"/>
        <w:gridCol w:w="109"/>
        <w:gridCol w:w="109"/>
        <w:gridCol w:w="330"/>
        <w:gridCol w:w="330"/>
        <w:gridCol w:w="331"/>
        <w:gridCol w:w="109"/>
        <w:gridCol w:w="109"/>
        <w:gridCol w:w="109"/>
        <w:gridCol w:w="211"/>
        <w:gridCol w:w="826"/>
        <w:gridCol w:w="109"/>
        <w:gridCol w:w="154"/>
      </w:tblGrid>
      <w:tr>
        <w:trPr/>
        <w:tc>
          <w:tcPr>
            <w:tcW w:w="1435"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w:t>
              <w:br/>
              <w:t>Stock</w:t>
              <w:br/>
              <w:t>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Life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life, and per share data)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31, 2023</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4,800,616 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(1,044,922)</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Canceled/forfeited/expired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(20,667)</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July 31, 2023</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3,735,027 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as of July 31, 2023</w:t>
            </w:r>
          </w:p>
        </w:tc>
        <w:tc>
          <w:tcPr>
            <w:tcW w:w="105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3,735,027 </w:t>
            </w:r>
          </w:p>
        </w:tc>
        <w:tc>
          <w:tcPr>
            <w:tcW w:w="3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July 31, 2023</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3,734,578 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July 31, 2023, unrecognized stock-based compensation expense related to outstanding unvested stock options was not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97205"/>
                <wp:effectExtent l="0" t="0" r="0" b="0"/>
                <wp:wrapNone/>
                <wp:docPr id="21" name="Frame2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restricted stock unit (“RSU”) activity under our equity incentive plan and related information is as follows:</w:t>
      </w:r>
    </w:p>
    <w:tbl>
      <w:tblPr>
        <w:tblW w:w="6898" w:type="dxa"/>
        <w:jc w:val="left"/>
        <w:tblInd w:w="0" w:type="dxa"/>
        <w:tblLayout w:type="fixed"/>
        <w:tblCellMar>
          <w:top w:w="28" w:type="dxa"/>
          <w:left w:w="28" w:type="dxa"/>
          <w:bottom w:w="28" w:type="dxa"/>
          <w:right w:w="28" w:type="dxa"/>
        </w:tblCellMar>
      </w:tblPr>
      <w:tblGrid>
        <w:gridCol w:w="994"/>
        <w:gridCol w:w="874"/>
        <w:gridCol w:w="877"/>
        <w:gridCol w:w="540"/>
        <w:gridCol w:w="541"/>
        <w:gridCol w:w="166"/>
        <w:gridCol w:w="109"/>
        <w:gridCol w:w="109"/>
        <w:gridCol w:w="109"/>
        <w:gridCol w:w="501"/>
        <w:gridCol w:w="1713"/>
        <w:gridCol w:w="365"/>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RSUs</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 Fair Value Per Share</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January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21,868,533 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109.31 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13,450,561 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68.93 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(5,535,351)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110.16 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Canceled/forfeited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105.91 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July 31, 2023</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26,837,710 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89.28 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July 31, 2023, unrecognized stock-based compensation expense related to RSUs was $2,091.1 million, which is expected to be recognized over a weighted-average period of 2.6 years.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2019 Employee Stock Purchase Plan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2019, we adopted the 2019 Employee Stock Purchase Plan (“ESPP”). As of July 31, 2023, unrecognized stock-based compensation expense related to the ESPP was $62.0 million, which is expected to be recognized over a weighted-average period of 1.4 years.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stock-based compensation expense by line item in the accompanying condensed consolidated statements of operations is summarized as follows:</w:t>
      </w:r>
    </w:p>
    <w:tbl>
      <w:tblPr>
        <w:tblW w:w="10205" w:type="dxa"/>
        <w:jc w:val="left"/>
        <w:tblInd w:w="0" w:type="dxa"/>
        <w:tblLayout w:type="fixed"/>
        <w:tblCellMar>
          <w:top w:w="28" w:type="dxa"/>
          <w:left w:w="28" w:type="dxa"/>
          <w:bottom w:w="28" w:type="dxa"/>
          <w:right w:w="28" w:type="dxa"/>
        </w:tblCellMar>
      </w:tblPr>
      <w:tblGrid>
        <w:gridCol w:w="1687"/>
        <w:gridCol w:w="1468"/>
        <w:gridCol w:w="143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687"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July 31, </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464,878 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 recorded to 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367,846 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9.    Restructuring Activities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7, 2023, we announced a restructuring plan (the “Plan”) intended to reduce operating costs and continue advancing our ongoing commitment to profitable growth. The Plan included a reduction of our current workforce by approximately 15%.</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July 31, 2023, we recorded net restructuring costs (benefits) of $(0.2) million, which consisted of $(0.4) million related to employee transition, severance payments, and employee benefits; and $0.2 million for other related expenses. For the six months ended July 31, 2023, we recorded net restructuring costs of $73.0 million, which consisted of $54.4 million related to employee transition, severance payments, and employee benefits; $17.3 million related to stock-based compensation awards; and $1.3 million for other related expenses. The execution of the Plan was completed as of July 31, 2023.</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restructuring expenses that were recorded as an operating expense in the condensed consolidated statement of operations for the three and six months ended July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97205"/>
                <wp:effectExtent l="0" t="0" r="0" b="0"/>
                <wp:wrapNone/>
                <wp:docPr id="22" name="Frame2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tbl>
      <w:tblPr>
        <w:tblW w:w="7054" w:type="dxa"/>
        <w:jc w:val="left"/>
        <w:tblInd w:w="0" w:type="dxa"/>
        <w:tblLayout w:type="fixed"/>
        <w:tblCellMar>
          <w:top w:w="28" w:type="dxa"/>
          <w:left w:w="28" w:type="dxa"/>
          <w:bottom w:w="28" w:type="dxa"/>
          <w:right w:w="28" w:type="dxa"/>
        </w:tblCellMar>
      </w:tblPr>
      <w:tblGrid>
        <w:gridCol w:w="873"/>
        <w:gridCol w:w="769"/>
        <w:gridCol w:w="772"/>
        <w:gridCol w:w="393"/>
        <w:gridCol w:w="1009"/>
        <w:gridCol w:w="203"/>
        <w:gridCol w:w="109"/>
        <w:gridCol w:w="109"/>
        <w:gridCol w:w="109"/>
        <w:gridCol w:w="495"/>
        <w:gridCol w:w="1694"/>
        <w:gridCol w:w="256"/>
        <w:gridCol w:w="109"/>
        <w:gridCol w:w="154"/>
      </w:tblGrid>
      <w:tr>
        <w:trPr/>
        <w:tc>
          <w:tcPr>
            <w:tcW w:w="87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w:t>
            </w:r>
          </w:p>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16"/>
              </w:rPr>
              <w:t>July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 July 31,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restructuring expenses</w:t>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72,993 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restructuring liability that is included in accrued expenses and other current liabilities on the condensed consolidated balance sheet:</w:t>
      </w:r>
    </w:p>
    <w:tbl>
      <w:tblPr>
        <w:tblW w:w="6683" w:type="dxa"/>
        <w:jc w:val="left"/>
        <w:tblInd w:w="0" w:type="dxa"/>
        <w:tblLayout w:type="fixed"/>
        <w:tblCellMar>
          <w:top w:w="28" w:type="dxa"/>
          <w:left w:w="28" w:type="dxa"/>
          <w:bottom w:w="28" w:type="dxa"/>
          <w:right w:w="28" w:type="dxa"/>
        </w:tblCellMar>
      </w:tblPr>
      <w:tblGrid>
        <w:gridCol w:w="956"/>
        <w:gridCol w:w="838"/>
        <w:gridCol w:w="845"/>
        <w:gridCol w:w="771"/>
        <w:gridCol w:w="1484"/>
        <w:gridCol w:w="400"/>
        <w:gridCol w:w="109"/>
        <w:gridCol w:w="109"/>
        <w:gridCol w:w="109"/>
        <w:gridCol w:w="235"/>
        <w:gridCol w:w="455"/>
        <w:gridCol w:w="109"/>
        <w:gridCol w:w="109"/>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Severance and termination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31, 2023</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expenses</w:t>
            </w:r>
          </w:p>
        </w:tc>
        <w:tc>
          <w:tcPr>
            <w:tcW w:w="2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54,361 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2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(54,361)</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July 31, 2023</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10.    Income Taxes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We compute our provision for income taxes by applying the estimated annual effective tax rate to year-to-date ordinary income and adjust the provision for discrete tax items recorded in the period. </w:t>
      </w:r>
      <w:r>
        <w:rPr>
          <w:rFonts w:ascii="Times New Roman;sans-serif" w:hAnsi="Times New Roman;sans-serif"/>
          <w:b w:val="false"/>
          <w:color w:val="000000"/>
          <w:sz w:val="20"/>
        </w:rPr>
        <w:t>In each quarter, we update the estimated annual effective tax rate and make a year-to-date adjustment to the provision. The estimated annual effective tax rate is subject to significant volatility due to several factors, including our ability to accurately predict the proportion of our pretax income in multiple jurisdictions and certain book-tax differences.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The</w:t>
      </w:r>
      <w:r>
        <w:rPr>
          <w:color w:val="000000"/>
        </w:rPr>
        <w:t xml:space="preserve"> </w:t>
      </w:r>
      <w:r>
        <w:rPr>
          <w:rFonts w:ascii="Times New Roman;sans-serif" w:hAnsi="Times New Roman;sans-serif"/>
          <w:b w:val="false"/>
          <w:color w:val="000000"/>
          <w:sz w:val="20"/>
        </w:rPr>
        <w:t>following table provides details of the provision for income taxes:</w:t>
      </w:r>
    </w:p>
    <w:tbl>
      <w:tblPr>
        <w:tblW w:w="9632" w:type="dxa"/>
        <w:jc w:val="left"/>
        <w:tblInd w:w="0" w:type="dxa"/>
        <w:tblLayout w:type="fixed"/>
        <w:tblCellMar>
          <w:top w:w="28" w:type="dxa"/>
          <w:left w:w="28" w:type="dxa"/>
          <w:bottom w:w="28" w:type="dxa"/>
          <w:right w:w="28" w:type="dxa"/>
        </w:tblCellMar>
      </w:tblPr>
      <w:tblGrid>
        <w:gridCol w:w="1259"/>
        <w:gridCol w:w="1108"/>
        <w:gridCol w:w="1112"/>
        <w:gridCol w:w="211"/>
        <w:gridCol w:w="826"/>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316"/>
      </w:tblGrid>
      <w:tr>
        <w:trPr/>
        <w:tc>
          <w:tcPr>
            <w:tcW w:w="125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July 31, </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234,071 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74,663 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We</w:t>
      </w:r>
      <w:r>
        <w:rPr>
          <w:color w:val="000000"/>
        </w:rPr>
        <w:t xml:space="preserve"> </w:t>
      </w:r>
      <w:r>
        <w:rPr>
          <w:rFonts w:ascii="Times New Roman;sans-serif" w:hAnsi="Times New Roman;sans-serif"/>
          <w:b w:val="false"/>
          <w:color w:val="000000"/>
          <w:sz w:val="20"/>
        </w:rPr>
        <w:t>had a provision for income taxes of $68.4 million and $44.6 million for the three months ended July 31, 2023 and 2022, respectively. The provision for income taxes was $96.2 million and $74.7 million for the six months ended July 31, 2023 and 2022, respectively. The year-over-year change in effective tax rate for the three and six months ended July 31, 2023 was due primarily to changes in the valuation allowance, tax shortfalls and windfalls on stock-based compensation, and the foreign-derived intangible income deduction. For both the three and six months ended July 31, 2023 and July 31, 2022, the effective tax rate differed from the U.S. federal statutory rate due primarily to the foreign-derived intangible income deduction and research credits, offset by tax shortfalls on stock-based compensation, the valuation allowance recorded on certain deferred tax assets, and other compensation-related permanent differences.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July 31, 2023, there were no material changes to the total amount of unrecognized tax benefits and we do not expect any significant changes in the next 12 months.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required by the 2017 Tax Cuts and Jobs Act, we started capitalizing research and development expenses incurred beginning in fiscal year 2023. These expenses are capitalized and amortized over five years for domestic research and fifteen years for international research. The mandatory capitalization requirement increases our cash tax liabilities but also decreases our effective tax rate due to increasing the foreign-derived intangible income deduction. The cash flow impact will decrease over time as capitalized research and development expenditures continue to amortize.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Inflation Reduction Act was signed into law in August 2022. The act included tax provisions for a 15% corporate book income minimum tax effective for tax years beginning after December 31, 2022. We do not expect the Inflation Reduction Act to have a material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97205"/>
                <wp:effectExtent l="0" t="0" r="0" b="0"/>
                <wp:wrapNone/>
                <wp:docPr id="23" name="Frame2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11.    Net Income Per Share Attributable to Common Stockholders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income per share attributable to common stockholders for the periods presented:</w:t>
      </w:r>
    </w:p>
    <w:tbl>
      <w:tblPr>
        <w:tblW w:w="12650" w:type="dxa"/>
        <w:jc w:val="left"/>
        <w:tblInd w:w="0" w:type="dxa"/>
        <w:tblLayout w:type="fixed"/>
        <w:tblCellMar>
          <w:top w:w="28" w:type="dxa"/>
          <w:left w:w="28" w:type="dxa"/>
          <w:bottom w:w="28" w:type="dxa"/>
          <w:right w:w="28" w:type="dxa"/>
        </w:tblCellMar>
      </w:tblPr>
      <w:tblGrid>
        <w:gridCol w:w="773"/>
        <w:gridCol w:w="311"/>
        <w:gridCol w:w="312"/>
        <w:gridCol w:w="221"/>
        <w:gridCol w:w="830"/>
        <w:gridCol w:w="109"/>
        <w:gridCol w:w="109"/>
        <w:gridCol w:w="109"/>
        <w:gridCol w:w="109"/>
        <w:gridCol w:w="223"/>
        <w:gridCol w:w="738"/>
        <w:gridCol w:w="109"/>
        <w:gridCol w:w="109"/>
        <w:gridCol w:w="109"/>
        <w:gridCol w:w="109"/>
        <w:gridCol w:w="244"/>
        <w:gridCol w:w="807"/>
        <w:gridCol w:w="109"/>
        <w:gridCol w:w="109"/>
        <w:gridCol w:w="109"/>
        <w:gridCol w:w="109"/>
        <w:gridCol w:w="250"/>
        <w:gridCol w:w="711"/>
        <w:gridCol w:w="109"/>
        <w:gridCol w:w="109"/>
        <w:gridCol w:w="109"/>
        <w:gridCol w:w="109"/>
        <w:gridCol w:w="221"/>
        <w:gridCol w:w="830"/>
        <w:gridCol w:w="109"/>
        <w:gridCol w:w="109"/>
        <w:gridCol w:w="109"/>
        <w:gridCol w:w="109"/>
        <w:gridCol w:w="223"/>
        <w:gridCol w:w="738"/>
        <w:gridCol w:w="109"/>
        <w:gridCol w:w="109"/>
        <w:gridCol w:w="109"/>
        <w:gridCol w:w="109"/>
        <w:gridCol w:w="221"/>
        <w:gridCol w:w="830"/>
        <w:gridCol w:w="109"/>
        <w:gridCol w:w="109"/>
        <w:gridCol w:w="109"/>
        <w:gridCol w:w="109"/>
        <w:gridCol w:w="223"/>
        <w:gridCol w:w="738"/>
        <w:gridCol w:w="154"/>
      </w:tblGrid>
      <w:tr>
        <w:trPr/>
        <w:tc>
          <w:tcPr>
            <w:tcW w:w="77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July 31, </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4" w:type="dxa"/>
            <w:gridSpan w:val="45"/>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Numerator:</w:t>
            </w:r>
          </w:p>
        </w:tc>
        <w:tc>
          <w:tcPr>
            <w:tcW w:w="11254" w:type="dxa"/>
            <w:gridSpan w:val="45"/>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undistributed earnings attributable to participating securities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common stockholders, basic</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Reallocation of net income attributable to common stockholders</w:t>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common stockholders, diluted</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Denominator:</w:t>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used in computing net income per share attributable to common stockholders, basic</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252,413,018 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46,680,434 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251,878,556 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46,674,823 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250,603,102 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46,678,744 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251,400,283 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47,465,393 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used in computing net income per share attributable to common stockholders, diluted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255,717,521 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50,215,075 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255,661,184 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51,499,656 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254,587,009 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50,467,762 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254,389,537 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52,513,427 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per share attributable to common stockholders, basic</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per share attributable to common stockholders, diluted</w:t>
            </w:r>
          </w:p>
        </w:tc>
        <w:tc>
          <w:tcPr>
            <w:tcW w:w="2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0.52 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potential shares of common stock that were excluded from the computation of diluted net income per share attributable to common stockholders for the periods presented, because including them would have been anti-dilutive, are as follows:</w:t>
      </w:r>
    </w:p>
    <w:tbl>
      <w:tblPr>
        <w:tblW w:w="10205" w:type="dxa"/>
        <w:jc w:val="left"/>
        <w:tblInd w:w="0" w:type="dxa"/>
        <w:tblLayout w:type="fixed"/>
        <w:tblCellMar>
          <w:top w:w="28" w:type="dxa"/>
          <w:left w:w="28" w:type="dxa"/>
          <w:bottom w:w="28" w:type="dxa"/>
          <w:right w:w="28" w:type="dxa"/>
        </w:tblCellMar>
      </w:tblPr>
      <w:tblGrid>
        <w:gridCol w:w="556"/>
        <w:gridCol w:w="336"/>
        <w:gridCol w:w="338"/>
        <w:gridCol w:w="479"/>
        <w:gridCol w:w="482"/>
        <w:gridCol w:w="167"/>
        <w:gridCol w:w="109"/>
        <w:gridCol w:w="109"/>
        <w:gridCol w:w="109"/>
        <w:gridCol w:w="209"/>
        <w:gridCol w:w="198"/>
        <w:gridCol w:w="166"/>
        <w:gridCol w:w="109"/>
        <w:gridCol w:w="109"/>
        <w:gridCol w:w="109"/>
        <w:gridCol w:w="435"/>
        <w:gridCol w:w="436"/>
        <w:gridCol w:w="167"/>
        <w:gridCol w:w="109"/>
        <w:gridCol w:w="109"/>
        <w:gridCol w:w="109"/>
        <w:gridCol w:w="209"/>
        <w:gridCol w:w="198"/>
        <w:gridCol w:w="166"/>
        <w:gridCol w:w="109"/>
        <w:gridCol w:w="109"/>
        <w:gridCol w:w="109"/>
        <w:gridCol w:w="480"/>
        <w:gridCol w:w="481"/>
        <w:gridCol w:w="167"/>
        <w:gridCol w:w="109"/>
        <w:gridCol w:w="109"/>
        <w:gridCol w:w="109"/>
        <w:gridCol w:w="209"/>
        <w:gridCol w:w="198"/>
        <w:gridCol w:w="166"/>
        <w:gridCol w:w="109"/>
        <w:gridCol w:w="109"/>
        <w:gridCol w:w="109"/>
        <w:gridCol w:w="435"/>
        <w:gridCol w:w="436"/>
        <w:gridCol w:w="167"/>
        <w:gridCol w:w="109"/>
        <w:gridCol w:w="109"/>
        <w:gridCol w:w="109"/>
        <w:gridCol w:w="203"/>
        <w:gridCol w:w="203"/>
        <w:gridCol w:w="229"/>
      </w:tblGrid>
      <w:tr>
        <w:trPr/>
        <w:tc>
          <w:tcPr>
            <w:tcW w:w="55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July 31, </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RSUs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9,214,305 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6,451,823 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10,083,918 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5,113,608 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rights committed under the ESPP</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2,347,590 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1,757,812 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2,208,209 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995,341 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108,647 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103,406 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116,349 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51,703 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11,670,542 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8,313,041 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12,408,476 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6,160,652 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table above does not include 405,156 shares of issued Class A common stock held by us as of July 31, 2023 and 2022 that are reserved for the sole purpose of being transferred to nonprofit organizations.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97205"/>
                <wp:effectExtent l="0" t="0" r="0" b="0"/>
                <wp:wrapNone/>
                <wp:docPr id="24" name="Frame2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hanging="144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of our financial condition and results of operations together with the unaudited condensed consolidated financial statements and related notes included elsewhere in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the section titled “Risk Factors” and in other parts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mission is to make communications frictionless and secure.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Zoom enables people to connect to others, share ideas, make plans, and build toward a future limited only by their imagination. Our frictionless communications and collaboration platform started with video as its foundation, and we have set the standard for innovation ever since. That is why Zoom is an intuitive, scalable, and secure choice for large enterprises, small businesses, and individuals alike. We provide a unified communications and collaboration platform that delivers happiness and fundamentally changes how people interact, connecting them through frictionless and secure meetings, phone, chat, content sharing and more. Our Developer Platform enables customers, developers, and service providers to easily build apps and integrations on top of Zoom’s industry-leading video communications and collaboration platform, with opportunities for global discovery and distribution. Our virtual and hybrid event solutions allow users to seamlessly create and manage engaging events.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face-to-face communications build greater empathy and trust. We strive to live up to the trust our customers place in us by delivering a communications solution while prioritizing their privacy and security. Our 29 co-located data centers worldwide and the public cloud in conjunction with our proprietary adaptive rate codec enable us to provide both high-quality and high-definition, real-time video to our customers even in low-bandwidth environments.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revenue from the sale of subscriptions to our unified communications and collaboration platform. Subscription revenue is driven primarily by the number of paid hosts as well as purchases of additional products, including Zoom Phone, Zoom Spaces, Zoom Events, Zoom Contact Center and Zoom IQ for Sales. A host is any user of our unified communications and collaboration platform who initiates a Zoom Meeting and invites one or more participants to join that meeting. We refer to hosts who subscribe to a paid Zoom Meeting plan as “paid hosts.” We define a customer as a separate and distinct buying entity, which can be a single paid user or host or an organization of any size (including a distinct unit of an organization) that has multiple paid hosts. Our Zoom One Basic offering is free and gives hosts access to Zoom Meetings with core features but with the limitation that meetings time-out at 40 minutes. Our core paid offerings are available with our Zoom One bundles: Zoom One Pro, Business, Business Plus, Enterprise, and Enterprise Plus. The Zoom One bundles are designed for different business needs and are composed of Zoom Meetings, Zoom Team Chat, Zoom Whiteboard and Mail and Calendar as well as Zoom Phone, Zoom Webinars and Zoom Rooms for our Enterprise plans. We also offer vertical-specific plans for Education, Healthcare and Government which provide incremental features and functionality, such as different participant limits, administrative controls, and reporting.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Zoom Phone, plans include Zoom Phone Pro, which provides extension-to-extension calling or can be used with the Bring Your Own Carrier model wherein the customer connects Zoom Phone to an existing carrier. We also offer Regional Unlimited and Regional Metered calling plans in four specific markets (Australia/New Zealand, Japan, United Kingdom/Ireland and United States/Canada). In addition, we introduced the Global Select plan in August 2020, which allows customers to select from local numbers and domestic calling in more than 45 countries and territories where Zoom has local public switched telephone network (“PSTN”) coverage.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was $1,138.7 million and $1,099.5 million for the three months ended July 31, 2023 and 2022, respectively, representing period-over-period growth of 3.6%. We had net income of $182.0 million and $45.8 million for the three months ended July 31, 2023 and 2022, respectively. Our revenue was $2,244.0 million and $2,173.3 million for the six months ended July 31, 2023 and 2022, respectively, representing period-over-period growth of 3.3%. We had net income of $197.4 million and $159.4 million for the six months ended July 31, 2023 and 2022, respectively. Net cash provided by operating activities was $754.5 million and $783.4 million for the six months ended July 31, 2023 and 2022, respectively.</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Macroeconomic Conditions and Other Factors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Recent changes in macroeconomic conditions such as high inflation, potential recessionary environments, bank failures, and fluctuations in foreign currency exchange rates, have and may continue to cause uncertainty in our business. For the three and six months ended July 31, 2023, compared to the three and six months ended July 31, 2022, we continued to experience growth in total revenue and revenue from Enterprise customers. However, macroeconomic conditions have and may continue to impact the future demand for subscriptions to our unified communications and collaboration platform. For example, we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97205"/>
                <wp:effectExtent l="0" t="0" r="0" b="0"/>
                <wp:wrapNone/>
                <wp:docPr id="25" name="Frame2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recently experienced elongated sales cycles as well as a decrease in overall corporate spending. In addition, for the three and six months ended July 31, 2023, we experienced unfavorable foreign currency impact as a result of the continued strengthening of the U.S. dollar compared to certain foreign jurisdictions where we do a significant amount of business, which resulted in a $10.2 million and $28.7 million negative impact on revenue during the three and six months ended July 31, 2023, respectively. Many factors may contribute to declines in our growth rate as compared to prior fiscal years, among other things, higher market penetration, increased competition, slowing demand for our platform, a slower than anticipated capitalization on growth opportunities, and the maturation of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continuously monitoring the impact of these circumstances on our business and financial results, as well as the overall global economy and geopolitical landscape. The implications of macroeconomic conditions on our business, results of operations and overall financial position, particularly in the long term, remain uncertain. On February 7, 2023, as a result of the uncertain economic environment, we announced a restructuring plan intended to reduce operating costs and continue advancing our ongoing commitment to profitable growth. The restructuring plan included a reduction of our current workforce by approximately 15%. The execution of the restructuring plan was completed as of July 31, 2023.</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global impacts of the Russian invasion of Ukraine, including various sanctions and export restrictions on Russia and Belarus by the United States, the United Kingdom, the European Union, and other governmental authorities remain highly uncertain. The Russia-Ukraine war impacted our EMEA revenue for the three and six months ended July 31, 2023. Our customers in Russia, Belarus, and Ukraine represented less than 1% of our net assets and total consolidated revenue as of and for the three and six months ended July 31, 2023. If the Russia-Ukraine war continues or worsens, leading to additional sanctions, tightened export restrictions, and greater global economic disruptions and uncertainty, our business and results of operations could be materially impacted. Refer to “Part II—Other Information, Item 1A. Risk Factors” of this Quarterly Report on Form 10-Q for further discussions of the potential impacts of the current macroeconomic conditions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Key Factors Affecting Our Performance</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Acquiring New Customers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focused on continuing to grow the number of customers that use our platform. Our operating results and growth prospects will depend, in part, on our ability to attract new customers. While we believe there is a significant market opportunity that our platform addresses, it is difficult to predict customer adoption rates or the future growth rate and size of the market for our platform. We will need to continue to invest in sales and marketing in order to address this opportunity by hiring, developing, and retaining talented sales personnel who are able to achieve desired productivity levels in a reasonable period of time.</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Expansion of Zoom Across Existing Enterprise Customers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there is a large opportunity for growth with many of our existing customers. Many customers have increased the size of their subscriptions as they have expanded their use of our platform across their operations. Some of our larger customers start with a deployment of Zoom Meetings with one team, location, or geography, before rolling out our platform throughout their organization. Several of our largest customers have deployed our platform globally to their entire workforce following smaller initial deployments. This expansion in the use of our platform also provides us with opportunities to market and sell additional products to our customers, such as Zoom Phone, Spaces, Contact Center, IQ for Sales, Events and Developer Platform Solutions. In order for us to address this opportunity and expand the use of our products with our existing customers, we will need to maintain the reliability of our platform and produce new features and functionality that are responsive to our customers’ requirements for enterprise-grade solutions.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quantify our expansion across existing Enterprise customers through our net dollar expansion rate. We define Enterprise customers as distinct business units who have been engaged by either our direct sales team, resellers, or strategic partners. Revenue from Enterprise customers represented 57.9% and 54.4% of total revenue for the three months ended July 31, 2023 and 2022, respectively, and 57.6% and 53.3% of total revenue for the six months ended July 31, 2023 and 2022, respectively. Our net dollar expansion rate includes the increase in user adoption within our Enterprise customers, as our subscription revenue is primarily driven by the number of paid hosts within a customer and the purchase of additional products, and compares our subscription revenue from the same set of Enterprise customers across comparable periods. We calculate net dollar expansion rate as of a period end by starting with the annual recurring revenue (“ARR”) from all Enterprise customers as of 12 months prior (“Prior Period ARR”). We define ARR as the annualized revenue run rate of subscription agreements from all customers at a point in time. We calculate ARR by taking the monthly recurring revenue (“MRR”) and multiplying it by 12. MRR is defined as the recurring revenue run-rate of subscription agreements from all Enterprise customers for the last month of the period, including revenue from monthly subscribers who have not provided any indication that they intend to cancel their subscriptions. We then calculate the ARR from these Enterprise customers as of the current period end (“Current Period ARR”), which includes any upsells, contraction, and attrition. We divide the Current Period ARR by the Prior Period ARR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97205"/>
                <wp:effectExtent l="0" t="0" r="0" b="0"/>
                <wp:wrapNone/>
                <wp:docPr id="26" name="Frame2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arrive at the net dollar expansion rate. For the trailing 12-months calculation, we take an average of the net dollar expansion rate over the trailing 12 months. Our net dollar expansion rate may fluctuate as a result of a number of factors, including the level of penetration within our customer base, expansion of products and features, and our ability to retain our Enterprise customers. Our trailing 12-month net dollar expansion rate for Enterprise customers as of July 31, 2023 and 2022 was 109% and 120%, respectively.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Retention of Online Customers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Enterprise customers, we also have a significant number of customers that subscribe to our services directly through our website (“Online customers”). Online customers represent a diverse customer base, ranging from individual consumers to small and medium size businesses. We continue to focus on acquisition and retention of our Online customer base through various strategies to improve the features and functionalities of our products and services. Revenue from Online customers represented 42.1% and 45.6% of total revenue for the three months ended July 31, 2023 and 2022, respectively, and 42.4% and 46.7% of total revenue for the six months ended July 31, 2023 and 2022, respectively. The ability to retain these Online customers will have an impact on our future revenue. The online monthly average churn for our Online customers was 3.2% and 3.6% per month for the three months ended July 31, 2023 and 2022, respectively, and 3.2% and 3.6% of total revenue for the six months ended July 31, 2023 and 2022, respectively. One of the dynamics in the Online portion of the business is the MRR contribution from customers that have retained Zoom services for a certain portion of time as these customers tend to maintain their subscriptions and contribute meaningfully to the Online business. As of July 31, 2023 and 2022, the percentage of total Online MRR from Online customers with a continual term of service of at least 16 months was 72.8% and 69.4%, respectively.</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We calculate our online average monthly churn by starting with the Online customer MRR as of the beginning of the applicable quarter (“Entry MRR”). We define Entry MRR as the recurring revenue run-rate of subscription agreements from all Online customers except for subscriptions that we recorded as churn in a previous quarter based on the customers' earlier indication to us of their intention to cancel that subscription. We then determine the MRR related to customers who canceled or downgraded their subscription or notified us of that intention during the applicable quarter (“Applicable Quarter MRR Churn”) and divide the Applicable Quarter MRR Churn by the applicable quarter Entry MRR to arrive at the MRR churn rate for Online Customers for the applicable quarter. We then divided that amount by three to calculate the online average monthly churn.</w:t>
      </w:r>
      <w:r>
        <w:rPr>
          <w:color w:val="000000"/>
        </w:rPr>
        <w:t xml:space="preserve">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Innovation and Expansion of Our Platform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invest resources to enhance the capabilities of our platform. For example, we have recently introduced a number of product enhancements including a new trial for Zoom AI (Meeting Summary and Team Chat Compose), a new appointment planning tool (Zoom Scheduler), new features for Zoom Contact Center (Workforce Engagement Management), and ongoing enhancements for Zoom Phone, Meetings, Webinars, and Zoom Events. We also deliver Zoom Phone calling plans in more than 45 countries and territories as of July 31, 2023.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Third-party developers are also a key component of our strategy for platform innovation to make it easier for customers and developers to extend our product portfolio with new functionalities. We believe that as more developers and other third parties use our platform to integrate major third-party applications, we will become the ubiquitous platform for communications and collaboration. We will need to expend additional resources to continue introducing new products, features, and functionality, and supporting the efforts of third parties to enhance the value of our platform with their own applications.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An end-to-end encryption (“E2EE”) option is available to free and paid Zoom customers globally who host meetings with up to 200 participants as well as on Zoom Phone. Zoom’s E2EE uses the same AES-256-GCM encryption that secures Zoom meetings by default, but with Zoom’s E2EE, the meeting host, or originating caller in the case of Zoom Phone, as opposed to Zoom's servers, generates encryption keys and uses public key cryptography to distribute these keys to the other meeting participants or call recipient.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2023, we acquired Workvivo. Workvivo provides an employee experience platform that combines internal communication and engagement tools, a social intranet, and an employee app. With the acquisition, we continue our evolution to provide a collaboration platform that enables modern work and powers the digital-first workplace, offering our customers new ways to keep employees informed, engaged, and connected.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International Opportunity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platform addresses the communications and collaboration needs of users worldwide, and we see international expansion as a major opportunity. Our revenue from the rest of world (APAC and EMEA) represented 29% and 31% of our total revenue for the three months ended July 31, 2023 and 2022, respectively, and 29% and 31% of our total revenue for the six months ended July 31, 2023 and 2022, respectively. The decrease in revenue from the rest of the world for the three months ended July 31, 2023 was due to the impact of the strengthening of the U.S dollar along with macroeconomic conditions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97205"/>
                <wp:effectExtent l="0" t="0" r="0" b="0"/>
                <wp:wrapNone/>
                <wp:docPr id="27" name="Frame2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APAC and EMEA regions. We plan to add local sales support in further select international markets over time. We use strategic partners and resellers to sell in certain international markets where we have limited or no direct sales presence. While we believe global demand for our platform will continue to increase as international market awareness of Zoom grows, our ability to conduct our operations internationally will require considerable management attention and resources, and is subject to the particular challenges of supporting a rapidly growing business in an environment of multiple languages, cultures, customs, legal and regulatory systems, alternative dispute systems, and commercial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Key Business Metrics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review the following key business metrics to measure our performance, identify trends, formulate financial projections, and make strategic decisions.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Number of Enterprise Customers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ability to increase the number of Enterprise customers is an indicator of our potential future business opportunities, the growth of our business, and an indicator of our market penetration. Increasing awareness of our platform and capabilities, coupled with the mainstream adoption of our technology, has expanded the diversity of our customer base to include organizations of all sizes across all industries. Over time, we expect Enterprise customers to represent a larger share of our business. As of July 31, 2023 and 2022, we had approximately 218,100 and 204,100 Enterprise customers, respectively.</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Customers Contributing More Than $100,000 of Trailing 12 Months Revenue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focus on growing the number of customers that contribute more than $100,000 of trailing 12 months revenue as it is a measure of our ability to scale with our customers and attract larger organizations to Zoom. Revenue from these customers represented 29% and 26% of total revenue for the three months ended July 31, 2023 and 2022, respectively, and 29% and 26% of total revenue for the six months ended July 31, 2023 and 2022, respectively. As of July 31, 2023 and 2022, we had 3,672 and 3,116 customers, respectively, that contributed more than $100,000 of trailing 12 months revenue, demonstrating our rapid penetration of larger organizations, including enterprises. These customers are a subset of Enterprise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determined in accordance with GAAP, we believe that free cash flow (“FCF”) is a non-GAAP financial measure that is useful in evaluating our liquidity.</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Free Cash Flow</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define FCF as GAAP net cash provided by operating activities less purchases of property and equipment. We believe that FCF is a useful indicator of liquidity that provides information to management and investors about the amount of cash generated from our operations that, after investments in property and equipment, can be used for future growth. FCF is presented for supplemental informational purposes only and has limitations as an analytical tool, and should not be considered in isolation or as a substitute for analysis of other GAAP financial measures, such as net cash provided by operating activities. It is important to note that other companies, including companies in our industry, may not use this metric, may calculate this metric differently, or may use other financial measures to evaluate their liquidity, all of which could reduce the usefulness of the non-GAAP metric as a comparative measure.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our cash flows for the periods presented and a reconciliation of FCF to net cash provided by operating activities, the most directly comparable financial measure calculated in accordance with GAAP:</w:t>
      </w:r>
    </w:p>
    <w:tbl>
      <w:tblPr>
        <w:tblW w:w="7028" w:type="dxa"/>
        <w:jc w:val="left"/>
        <w:tblInd w:w="0" w:type="dxa"/>
        <w:tblLayout w:type="fixed"/>
        <w:tblCellMar>
          <w:top w:w="28" w:type="dxa"/>
          <w:left w:w="28" w:type="dxa"/>
          <w:bottom w:w="28" w:type="dxa"/>
          <w:right w:w="28" w:type="dxa"/>
        </w:tblCellMar>
      </w:tblPr>
      <w:tblGrid>
        <w:gridCol w:w="1525"/>
        <w:gridCol w:w="1343"/>
        <w:gridCol w:w="1346"/>
        <w:gridCol w:w="211"/>
        <w:gridCol w:w="901"/>
        <w:gridCol w:w="109"/>
        <w:gridCol w:w="109"/>
        <w:gridCol w:w="109"/>
        <w:gridCol w:w="109"/>
        <w:gridCol w:w="211"/>
        <w:gridCol w:w="901"/>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July 31, </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purchases of property and equipment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730,490 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(500,146)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(508,361)</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(388,821)</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97205"/>
                <wp:effectExtent l="0" t="0" r="0" b="0"/>
                <wp:wrapNone/>
                <wp:docPr id="28" name="Frame2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derive our revenue from subscription agreements with customers for access to our unified communications and collaboration platform. Our customers generally do not have the ability to take possession of our software. We also provide services, which include professional services, consulting services, and online event hosting, which are generally considered distinct from the access to our unified communications and collaboration platform. The amount of revenue recognized reflects the consideration that we expect to receive in exchange for these services over the contract term which can include a free period discount.</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primarily consists of costs related to hosting our unified communications and collaboration platform and providing general operating support services to our customers. These costs are related to our co-located data centers, third-party cloud hosting, integrated third-party PSTN services, personnel-related expenses, amortization of capitalized software development and acquired intangible assets, royalty payments, and allocated overhead.</w:t>
      </w:r>
    </w:p>
    <w:p>
      <w:pPr>
        <w:pStyle w:val="TextBody"/>
        <w:bidi w:val="0"/>
        <w:spacing w:lineRule="auto" w:line="288" w:before="36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primarily consist of personnel-related expenses directly associated with our research and development organization, depreciation of equipment used in research and development, and allocated overhead. Research and development costs are expensed as incurred.</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primarily consist of personnel-related expenses directly associated with our sales and marketing organization. Other sales and marketing expenses include advertising and promotional events to promote our brand, such as awareness programs, digital programs, public relations, tradeshows, and our user conference, Zoomtopia, and allocated overhead. Sales and marketing expenses also include credit card processing fees related to sales and amortization of deferred contract acquisition costs.</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primarily consist of personnel-related expenses associated with our finance and legal organizations; professional fees for external legal, accounting, and other consulting services; expected credit losses; insurance; certain indirect taxes; litigation settlements; corporate security and regulatory expenses; and allocated overhead.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Gains (Losses) on Strategic Investments, Net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Gains (losses) on strategic investments, net consist primarily of remeasurement gains or losses on our equity investments.</w:t>
      </w:r>
    </w:p>
    <w:p>
      <w:pPr>
        <w:pStyle w:val="TextBody"/>
        <w:bidi w:val="0"/>
        <w:spacing w:lineRule="auto" w:line="288" w:before="240" w:after="283"/>
        <w:ind w:left="0" w:right="0" w:firstLine="540"/>
        <w:jc w:val="both"/>
        <w:rPr/>
      </w:pPr>
      <w:r>
        <w:rPr>
          <w:rFonts w:ascii="Times New Roman;sans-serif" w:hAnsi="Times New Roman;sans-serif"/>
          <w:b/>
          <w:i/>
          <w:color w:val="000000"/>
          <w:sz w:val="20"/>
        </w:rPr>
        <w:t>Other Income (Expense),</w:t>
      </w:r>
      <w:r>
        <w:rPr>
          <w:color w:val="000000"/>
        </w:rPr>
        <w:t xml:space="preserve"> </w:t>
      </w:r>
      <w:r>
        <w:rPr>
          <w:rFonts w:ascii="Times New Roman;sans-serif" w:hAnsi="Times New Roman;sans-serif"/>
          <w:b/>
          <w:i/>
          <w:color w:val="000000"/>
          <w:sz w:val="20"/>
        </w:rPr>
        <w:t>Net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income, net consists primarily of interest income and net accretion on our marketable securities and effect of changes in foreign currency exchange rates.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 consists primarily of income taxes related to federal, state, and foreign jurisdictions where we conduct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97205"/>
                <wp:effectExtent l="0" t="0" r="0" b="0"/>
                <wp:wrapNone/>
                <wp:docPr id="29" name="Frame2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selected condensed consolidated statements of operations data and such data as a percentage of revenue for each of the periods indicated:</w:t>
      </w:r>
    </w:p>
    <w:tbl>
      <w:tblPr>
        <w:tblW w:w="10205" w:type="dxa"/>
        <w:jc w:val="left"/>
        <w:tblInd w:w="0" w:type="dxa"/>
        <w:tblLayout w:type="fixed"/>
        <w:tblCellMar>
          <w:top w:w="28" w:type="dxa"/>
          <w:left w:w="28" w:type="dxa"/>
          <w:bottom w:w="28" w:type="dxa"/>
          <w:right w:w="28" w:type="dxa"/>
        </w:tblCellMar>
      </w:tblPr>
      <w:tblGrid>
        <w:gridCol w:w="1509"/>
        <w:gridCol w:w="1241"/>
        <w:gridCol w:w="1243"/>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509"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July 31, </w:t>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2,173,258 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Cost of revenue </w:t>
            </w:r>
            <w:r>
              <w:rPr>
                <w:rFonts w:ascii="Times New Roman;sans-serif" w:hAnsi="Times New Roman;sans-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535,432 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1,637,826 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Research and development </w:t>
            </w:r>
            <w:r>
              <w:rPr>
                <w:rFonts w:ascii="Times New Roman;sans-serif" w:hAnsi="Times New Roman;sans-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316,855 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Sales and marketing</w:t>
            </w:r>
            <w:r>
              <w:rPr>
                <w:color w:val="000000"/>
              </w:rPr>
              <w:t xml:space="preserve"> </w:t>
            </w:r>
            <w:r>
              <w:rPr>
                <w:rFonts w:ascii="Times New Roman;sans-serif" w:hAnsi="Times New Roman;sans-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763,257 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General and administrative</w:t>
            </w:r>
            <w:r>
              <w:rPr>
                <w:color w:val="000000"/>
              </w:rPr>
              <w:t xml:space="preserve"> </w:t>
            </w:r>
            <w:r>
              <w:rPr>
                <w:rFonts w:ascii="Times New Roman;sans-serif" w:hAnsi="Times New Roman;sans-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704,104 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1,329,018 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(losses) on strategic investments,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234,071 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159,408 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Includes stock-based compensation expense as follows: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37,177 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75,624 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68,327 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125,452 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93,918 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110,161 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206,511 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203,956 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67,143 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261,509 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255,515 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543,854 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464,878 </w:t>
            </w:r>
          </w:p>
        </w:tc>
        <w:tc>
          <w:tcPr>
            <w:tcW w:w="15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tbl>
      <w:tblPr>
        <w:tblW w:w="9333" w:type="dxa"/>
        <w:jc w:val="left"/>
        <w:tblInd w:w="0" w:type="dxa"/>
        <w:tblLayout w:type="fixed"/>
        <w:tblCellMar>
          <w:top w:w="28" w:type="dxa"/>
          <w:left w:w="28" w:type="dxa"/>
          <w:bottom w:w="28" w:type="dxa"/>
          <w:right w:w="28" w:type="dxa"/>
        </w:tblCellMar>
      </w:tblPr>
      <w:tblGrid>
        <w:gridCol w:w="1296"/>
        <w:gridCol w:w="1143"/>
        <w:gridCol w:w="1146"/>
        <w:gridCol w:w="308"/>
        <w:gridCol w:w="308"/>
        <w:gridCol w:w="473"/>
        <w:gridCol w:w="190"/>
        <w:gridCol w:w="190"/>
        <w:gridCol w:w="190"/>
        <w:gridCol w:w="308"/>
        <w:gridCol w:w="308"/>
        <w:gridCol w:w="473"/>
        <w:gridCol w:w="109"/>
        <w:gridCol w:w="109"/>
        <w:gridCol w:w="109"/>
        <w:gridCol w:w="308"/>
        <w:gridCol w:w="308"/>
        <w:gridCol w:w="427"/>
        <w:gridCol w:w="172"/>
        <w:gridCol w:w="172"/>
        <w:gridCol w:w="172"/>
        <w:gridCol w:w="308"/>
        <w:gridCol w:w="308"/>
        <w:gridCol w:w="498"/>
      </w:tblGrid>
      <w:tr>
        <w:trPr/>
        <w:tc>
          <w:tcPr>
            <w:tcW w:w="129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July 31, </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a percentage of revenue)</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4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4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(losses) on strategic investments,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4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4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4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4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4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97205"/>
                <wp:effectExtent l="0" t="0" r="0" b="0"/>
                <wp:wrapNone/>
                <wp:docPr id="30" name="Frame3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Comparison of the Three Months Ended July 31, 2023 and 2022</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Revenue</w:t>
      </w:r>
    </w:p>
    <w:tbl>
      <w:tblPr>
        <w:tblW w:w="5037" w:type="dxa"/>
        <w:jc w:val="left"/>
        <w:tblInd w:w="0" w:type="dxa"/>
        <w:tblLayout w:type="fixed"/>
        <w:tblCellMar>
          <w:top w:w="28" w:type="dxa"/>
          <w:left w:w="28" w:type="dxa"/>
          <w:bottom w:w="28" w:type="dxa"/>
          <w:right w:w="28" w:type="dxa"/>
        </w:tblCellMar>
      </w:tblPr>
      <w:tblGrid>
        <w:gridCol w:w="304"/>
        <w:gridCol w:w="268"/>
        <w:gridCol w:w="269"/>
        <w:gridCol w:w="211"/>
        <w:gridCol w:w="976"/>
        <w:gridCol w:w="109"/>
        <w:gridCol w:w="109"/>
        <w:gridCol w:w="109"/>
        <w:gridCol w:w="109"/>
        <w:gridCol w:w="211"/>
        <w:gridCol w:w="976"/>
        <w:gridCol w:w="109"/>
        <w:gridCol w:w="109"/>
        <w:gridCol w:w="109"/>
        <w:gridCol w:w="109"/>
        <w:gridCol w:w="203"/>
        <w:gridCol w:w="203"/>
        <w:gridCol w:w="54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July 31, </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4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1,138,676 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1,099,458 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540"/>
        <w:jc w:val="both"/>
        <w:rPr/>
      </w:pPr>
      <w:r>
        <w:rPr>
          <w:rFonts w:ascii="Times New Roman;sans-serif" w:hAnsi="Times New Roman;sans-serif"/>
          <w:b w:val="false"/>
          <w:color w:val="231F20"/>
          <w:sz w:val="20"/>
        </w:rPr>
        <w:t>Revenue for the three months ended July 31, 2023 increased by $39.2 million, or 3.6%, compared to the three months ended July 31, 2022. The</w:t>
      </w:r>
      <w:r>
        <w:rPr>
          <w:color w:val="000000"/>
        </w:rPr>
        <w:t xml:space="preserve"> </w:t>
      </w:r>
      <w:r>
        <w:rPr>
          <w:rFonts w:ascii="Times New Roman;sans-serif" w:hAnsi="Times New Roman;sans-serif"/>
          <w:b w:val="false"/>
          <w:color w:val="000000"/>
          <w:sz w:val="20"/>
        </w:rPr>
        <w:t>increase in revenue was due to a 10.2% increase in revenue from subscription services provided to Enterprise customers, of which 57.9% and 42.1% were from existing and new customers, respectively. This increase was partially offset by a 4.3% decline in revenue from subscription services provided to Online customers.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Cost of Revenue</w:t>
      </w:r>
    </w:p>
    <w:tbl>
      <w:tblPr>
        <w:tblW w:w="5688" w:type="dxa"/>
        <w:jc w:val="left"/>
        <w:tblInd w:w="0" w:type="dxa"/>
        <w:tblLayout w:type="fixed"/>
        <w:tblCellMar>
          <w:top w:w="28" w:type="dxa"/>
          <w:left w:w="28" w:type="dxa"/>
          <w:bottom w:w="28" w:type="dxa"/>
          <w:right w:w="28" w:type="dxa"/>
        </w:tblCellMar>
      </w:tblPr>
      <w:tblGrid>
        <w:gridCol w:w="504"/>
        <w:gridCol w:w="444"/>
        <w:gridCol w:w="446"/>
        <w:gridCol w:w="211"/>
        <w:gridCol w:w="826"/>
        <w:gridCol w:w="271"/>
        <w:gridCol w:w="109"/>
        <w:gridCol w:w="109"/>
        <w:gridCol w:w="109"/>
        <w:gridCol w:w="211"/>
        <w:gridCol w:w="826"/>
        <w:gridCol w:w="271"/>
        <w:gridCol w:w="109"/>
        <w:gridCol w:w="109"/>
        <w:gridCol w:w="109"/>
        <w:gridCol w:w="239"/>
        <w:gridCol w:w="241"/>
        <w:gridCol w:w="54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July 31, </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266,559 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273,611 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872,117 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825,847 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2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2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231F20"/>
          <w:sz w:val="20"/>
        </w:rPr>
      </w:pPr>
      <w:r>
        <w:rPr>
          <w:rFonts w:ascii="Times New Roman;sans-serif" w:hAnsi="Times New Roman;sans-serif"/>
          <w:b w:val="false"/>
          <w:color w:val="231F20"/>
          <w:sz w:val="20"/>
        </w:rPr>
        <w:t>Cost of revenue for the three months ended July 31, 2023 decreased by $7.1 million, or 2.6%, compared to the three months ended July 31, 2022. The decrease was primarily due to a decrease of $8.5 million in costs mainly driven by the net impact of the transition from third-party cloud hosting to internal data centers and cloud optimization.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Gross margin increased to 76.6% for the three months ended </w:t>
      </w:r>
      <w:r>
        <w:rPr>
          <w:rFonts w:ascii="Times New Roman;sans-serif" w:hAnsi="Times New Roman;sans-serif"/>
          <w:b w:val="false"/>
          <w:color w:val="231F20"/>
          <w:sz w:val="20"/>
        </w:rPr>
        <w:t>July 31, 2023</w:t>
      </w:r>
      <w:r>
        <w:rPr>
          <w:color w:val="000000"/>
        </w:rPr>
        <w:t xml:space="preserve"> </w:t>
      </w:r>
      <w:r>
        <w:rPr>
          <w:rFonts w:ascii="Times New Roman;sans-serif" w:hAnsi="Times New Roman;sans-serif"/>
          <w:b w:val="false"/>
          <w:color w:val="000000"/>
          <w:sz w:val="20"/>
        </w:rPr>
        <w:t xml:space="preserve">from 75.1% for the three months ended </w:t>
      </w:r>
      <w:r>
        <w:rPr>
          <w:rFonts w:ascii="Times New Roman;sans-serif" w:hAnsi="Times New Roman;sans-serif"/>
          <w:b w:val="false"/>
          <w:color w:val="231F20"/>
          <w:sz w:val="20"/>
        </w:rPr>
        <w:t>July 31, 2022</w:t>
      </w:r>
      <w:r>
        <w:rPr>
          <w:rFonts w:ascii="Times New Roman;sans-serif" w:hAnsi="Times New Roman;sans-serif"/>
          <w:b w:val="false"/>
          <w:color w:val="000000"/>
          <w:sz w:val="20"/>
        </w:rPr>
        <w:t>. The increase in gross margin was mainly due to increased efficiencies as we expanded our internal data center capacity.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2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tbl>
      <w:tblPr>
        <w:tblW w:w="6310" w:type="dxa"/>
        <w:jc w:val="left"/>
        <w:tblInd w:w="0" w:type="dxa"/>
        <w:tblLayout w:type="fixed"/>
        <w:tblCellMar>
          <w:top w:w="28" w:type="dxa"/>
          <w:left w:w="28" w:type="dxa"/>
          <w:bottom w:w="28" w:type="dxa"/>
          <w:right w:w="28" w:type="dxa"/>
        </w:tblCellMar>
      </w:tblPr>
      <w:tblGrid>
        <w:gridCol w:w="837"/>
        <w:gridCol w:w="734"/>
        <w:gridCol w:w="738"/>
        <w:gridCol w:w="211"/>
        <w:gridCol w:w="826"/>
        <w:gridCol w:w="109"/>
        <w:gridCol w:w="109"/>
        <w:gridCol w:w="109"/>
        <w:gridCol w:w="109"/>
        <w:gridCol w:w="211"/>
        <w:gridCol w:w="826"/>
        <w:gridCol w:w="109"/>
        <w:gridCol w:w="109"/>
        <w:gridCol w:w="109"/>
        <w:gridCol w:w="109"/>
        <w:gridCol w:w="255"/>
        <w:gridCol w:w="256"/>
        <w:gridCol w:w="54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July 31, </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191,802 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172,564 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540"/>
        <w:jc w:val="both"/>
        <w:rPr/>
      </w:pPr>
      <w:r>
        <w:rPr>
          <w:rFonts w:ascii="Times New Roman;sans-serif" w:hAnsi="Times New Roman;sans-serif"/>
          <w:b w:val="false"/>
          <w:color w:val="231F20"/>
          <w:sz w:val="20"/>
        </w:rPr>
        <w:t xml:space="preserve">Research and development expense for the three months ended July 31, 2023 increased by $19.2 million, or 11.1%, compared to the three months ended July 31, 2022. </w:t>
      </w:r>
      <w:r>
        <w:rPr>
          <w:rFonts w:ascii="Times New Roman;sans-serif" w:hAnsi="Times New Roman;sans-serif"/>
          <w:b w:val="false"/>
          <w:color w:val="000000"/>
          <w:sz w:val="20"/>
        </w:rPr>
        <w:t xml:space="preserve">The increase was primarily due to higher personnel-related expenses of </w:t>
      </w:r>
      <w:r>
        <w:rPr>
          <w:rFonts w:ascii="Times New Roman;sans-serif" w:hAnsi="Times New Roman;sans-serif"/>
          <w:b w:val="false"/>
          <w:color w:val="231F20"/>
          <w:sz w:val="20"/>
        </w:rPr>
        <w:t xml:space="preserve">$16.4 million, which includes </w:t>
      </w:r>
      <w:r>
        <w:rPr>
          <w:rFonts w:ascii="Times New Roman;sans-serif" w:hAnsi="Times New Roman;sans-serif"/>
          <w:b w:val="false"/>
          <w:color w:val="000000"/>
          <w:sz w:val="20"/>
        </w:rPr>
        <w:t xml:space="preserve">a </w:t>
      </w:r>
      <w:r>
        <w:rPr>
          <w:rFonts w:ascii="Times New Roman;sans-serif" w:hAnsi="Times New Roman;sans-serif"/>
          <w:b w:val="false"/>
          <w:color w:val="231F20"/>
          <w:sz w:val="20"/>
        </w:rPr>
        <w:t>$12.3 million</w:t>
      </w:r>
      <w:r>
        <w:rPr>
          <w:color w:val="000000"/>
        </w:rPr>
        <w:t xml:space="preserve"> </w:t>
      </w:r>
      <w:r>
        <w:rPr>
          <w:rFonts w:ascii="Times New Roman;sans-serif" w:hAnsi="Times New Roman;sans-serif"/>
          <w:b w:val="false"/>
          <w:color w:val="000000"/>
          <w:sz w:val="20"/>
        </w:rPr>
        <w:t xml:space="preserve">increase in stock-based compensation and a </w:t>
      </w:r>
      <w:r>
        <w:rPr>
          <w:rFonts w:ascii="Times New Roman;sans-serif" w:hAnsi="Times New Roman;sans-serif"/>
          <w:b w:val="false"/>
          <w:color w:val="231F20"/>
          <w:sz w:val="20"/>
        </w:rPr>
        <w:t>$3.8 million increase in salaries, payroll taxes and benefits.</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tbl>
      <w:tblPr>
        <w:tblW w:w="5724" w:type="dxa"/>
        <w:jc w:val="left"/>
        <w:tblInd w:w="0" w:type="dxa"/>
        <w:tblLayout w:type="fixed"/>
        <w:tblCellMar>
          <w:top w:w="28" w:type="dxa"/>
          <w:left w:w="28" w:type="dxa"/>
          <w:bottom w:w="28" w:type="dxa"/>
          <w:right w:w="28" w:type="dxa"/>
        </w:tblCellMar>
      </w:tblPr>
      <w:tblGrid>
        <w:gridCol w:w="634"/>
        <w:gridCol w:w="558"/>
        <w:gridCol w:w="562"/>
        <w:gridCol w:w="211"/>
        <w:gridCol w:w="826"/>
        <w:gridCol w:w="109"/>
        <w:gridCol w:w="109"/>
        <w:gridCol w:w="109"/>
        <w:gridCol w:w="109"/>
        <w:gridCol w:w="211"/>
        <w:gridCol w:w="826"/>
        <w:gridCol w:w="109"/>
        <w:gridCol w:w="109"/>
        <w:gridCol w:w="109"/>
        <w:gridCol w:w="109"/>
        <w:gridCol w:w="239"/>
        <w:gridCol w:w="241"/>
        <w:gridCol w:w="54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July 31, </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373,373 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400,474 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540"/>
        <w:jc w:val="both"/>
        <w:rPr>
          <w:rFonts w:ascii="Times New Roman;sans-serif" w:hAnsi="Times New Roman;sans-serif"/>
          <w:b w:val="false"/>
          <w:color w:val="231F20"/>
          <w:sz w:val="20"/>
        </w:rPr>
      </w:pPr>
      <w:r>
        <w:rPr>
          <w:rFonts w:ascii="Times New Roman;sans-serif" w:hAnsi="Times New Roman;sans-serif"/>
          <w:b w:val="false"/>
          <w:color w:val="231F20"/>
          <w:sz w:val="20"/>
        </w:rPr>
        <w:t>Sales and marketing expense for the three months ended July 31, 2023 decreased by $27.1 million, or 6.8%, compared to the three months ended July 31, 2022. The decrease in sales and marketing expense was primarily due to lower personnel-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97205"/>
                <wp:effectExtent l="0" t="0" r="0" b="0"/>
                <wp:wrapNone/>
                <wp:docPr id="31" name="Frame3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pPr>
      <w:r>
        <w:rPr>
          <w:rFonts w:ascii="Times New Roman;sans-serif" w:hAnsi="Times New Roman;sans-serif"/>
          <w:b w:val="false"/>
          <w:color w:val="231F20"/>
          <w:sz w:val="20"/>
        </w:rPr>
        <w:t xml:space="preserve">related expenses of $27.6 million, which includes a $16.2 million decrease in </w:t>
      </w:r>
      <w:r>
        <w:rPr>
          <w:rFonts w:ascii="Times New Roman;sans-serif" w:hAnsi="Times New Roman;sans-serif"/>
          <w:b w:val="false"/>
          <w:color w:val="000000"/>
          <w:sz w:val="20"/>
        </w:rPr>
        <w:t xml:space="preserve">stock-based compensation and a decrease of </w:t>
      </w:r>
      <w:r>
        <w:rPr>
          <w:rFonts w:ascii="Times New Roman;sans-serif" w:hAnsi="Times New Roman;sans-serif"/>
          <w:b w:val="false"/>
          <w:color w:val="231F20"/>
          <w:sz w:val="20"/>
        </w:rPr>
        <w:t>$8.5 million in salaries, payroll taxes and benefits.</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tbl>
      <w:tblPr>
        <w:tblW w:w="6279" w:type="dxa"/>
        <w:jc w:val="left"/>
        <w:tblInd w:w="0" w:type="dxa"/>
        <w:tblLayout w:type="fixed"/>
        <w:tblCellMar>
          <w:top w:w="28" w:type="dxa"/>
          <w:left w:w="28" w:type="dxa"/>
          <w:bottom w:w="28" w:type="dxa"/>
          <w:right w:w="28" w:type="dxa"/>
        </w:tblCellMar>
      </w:tblPr>
      <w:tblGrid>
        <w:gridCol w:w="837"/>
        <w:gridCol w:w="735"/>
        <w:gridCol w:w="737"/>
        <w:gridCol w:w="211"/>
        <w:gridCol w:w="826"/>
        <w:gridCol w:w="109"/>
        <w:gridCol w:w="109"/>
        <w:gridCol w:w="109"/>
        <w:gridCol w:w="109"/>
        <w:gridCol w:w="211"/>
        <w:gridCol w:w="826"/>
        <w:gridCol w:w="109"/>
        <w:gridCol w:w="109"/>
        <w:gridCol w:w="109"/>
        <w:gridCol w:w="109"/>
        <w:gridCol w:w="239"/>
        <w:gridCol w:w="241"/>
        <w:gridCol w:w="54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July 31, </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129,324 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131,066 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540"/>
        <w:jc w:val="both"/>
        <w:rPr/>
      </w:pPr>
      <w:r>
        <w:rPr>
          <w:rFonts w:ascii="Times New Roman;sans-serif" w:hAnsi="Times New Roman;sans-serif"/>
          <w:b w:val="false"/>
          <w:color w:val="231F20"/>
          <w:sz w:val="20"/>
        </w:rPr>
        <w:t xml:space="preserve">General and administrative expense for the three months ended July 31, 2023 decreased by $1.7 million, or 1.3%, compared to the three months ended July 31, 2022. The decrease in general and administrative expense was primarily </w:t>
      </w:r>
      <w:r>
        <w:rPr>
          <w:rFonts w:ascii="Times New Roman;sans-serif" w:hAnsi="Times New Roman;sans-serif"/>
          <w:b w:val="false"/>
          <w:color w:val="000000"/>
          <w:sz w:val="20"/>
        </w:rPr>
        <w:t xml:space="preserve">due to a decrease of </w:t>
      </w:r>
      <w:r>
        <w:rPr>
          <w:rFonts w:ascii="Times New Roman;sans-serif" w:hAnsi="Times New Roman;sans-serif"/>
          <w:b w:val="false"/>
          <w:color w:val="231F20"/>
          <w:sz w:val="20"/>
        </w:rPr>
        <w:t xml:space="preserve">$11.2 million in legal expenses, including legal settlement and a $4.3 million decrease in bad debt expense, partially offset by an </w:t>
      </w:r>
      <w:r>
        <w:rPr>
          <w:rFonts w:ascii="Times New Roman;sans-serif" w:hAnsi="Times New Roman;sans-serif"/>
          <w:b w:val="false"/>
          <w:color w:val="000000"/>
          <w:sz w:val="20"/>
        </w:rPr>
        <w:t xml:space="preserve">increase of </w:t>
      </w:r>
      <w:r>
        <w:rPr>
          <w:rFonts w:ascii="Times New Roman;sans-serif" w:hAnsi="Times New Roman;sans-serif"/>
          <w:b w:val="false"/>
          <w:color w:val="231F20"/>
          <w:sz w:val="20"/>
        </w:rPr>
        <w:t>$12.7 million</w:t>
      </w:r>
      <w:r>
        <w:rPr>
          <w:color w:val="000000"/>
        </w:rPr>
        <w:t xml:space="preserve"> </w:t>
      </w:r>
      <w:r>
        <w:rPr>
          <w:rFonts w:ascii="Times New Roman;sans-serif" w:hAnsi="Times New Roman;sans-serif"/>
          <w:b w:val="false"/>
          <w:color w:val="000000"/>
          <w:sz w:val="20"/>
        </w:rPr>
        <w:t xml:space="preserve">in personnel-related expenses, which includes an increase of </w:t>
      </w:r>
      <w:r>
        <w:rPr>
          <w:rFonts w:ascii="Times New Roman;sans-serif" w:hAnsi="Times New Roman;sans-serif"/>
          <w:b w:val="false"/>
          <w:color w:val="231F20"/>
          <w:sz w:val="20"/>
        </w:rPr>
        <w:t>$9.5 million in s</w:t>
      </w:r>
      <w:r>
        <w:rPr>
          <w:rFonts w:ascii="Times New Roman;sans-serif" w:hAnsi="Times New Roman;sans-serif"/>
          <w:b w:val="false"/>
          <w:color w:val="000000"/>
          <w:sz w:val="20"/>
        </w:rPr>
        <w:t>tock-based compensation expense</w:t>
      </w:r>
      <w:r>
        <w:rPr>
          <w:color w:val="231F20"/>
        </w:rPr>
        <w:t xml:space="preserve"> </w:t>
      </w:r>
      <w:r>
        <w:rPr>
          <w:rFonts w:ascii="Times New Roman;sans-serif" w:hAnsi="Times New Roman;sans-serif"/>
          <w:b w:val="false"/>
          <w:color w:val="231F20"/>
          <w:sz w:val="20"/>
        </w:rPr>
        <w:t>and an increase of $2.8 million in salaries, payroll taxes and benefits.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Gains (Losses) on Strategic Investments, Net</w:t>
      </w:r>
    </w:p>
    <w:tbl>
      <w:tblPr>
        <w:tblW w:w="7556" w:type="dxa"/>
        <w:jc w:val="left"/>
        <w:tblInd w:w="0" w:type="dxa"/>
        <w:tblLayout w:type="fixed"/>
        <w:tblCellMar>
          <w:top w:w="28" w:type="dxa"/>
          <w:left w:w="28" w:type="dxa"/>
          <w:bottom w:w="28" w:type="dxa"/>
          <w:right w:w="28" w:type="dxa"/>
        </w:tblCellMar>
      </w:tblPr>
      <w:tblGrid>
        <w:gridCol w:w="1298"/>
        <w:gridCol w:w="1140"/>
        <w:gridCol w:w="1147"/>
        <w:gridCol w:w="211"/>
        <w:gridCol w:w="721"/>
        <w:gridCol w:w="109"/>
        <w:gridCol w:w="109"/>
        <w:gridCol w:w="109"/>
        <w:gridCol w:w="109"/>
        <w:gridCol w:w="211"/>
        <w:gridCol w:w="796"/>
        <w:gridCol w:w="109"/>
        <w:gridCol w:w="109"/>
        <w:gridCol w:w="109"/>
        <w:gridCol w:w="109"/>
        <w:gridCol w:w="308"/>
        <w:gridCol w:w="308"/>
        <w:gridCol w:w="544"/>
      </w:tblGrid>
      <w:tr>
        <w:trPr/>
        <w:tc>
          <w:tcPr>
            <w:tcW w:w="129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July 31, </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5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(losses) on strategic investments, net</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191.2 </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540"/>
        <w:jc w:val="both"/>
        <w:rPr>
          <w:rFonts w:ascii="Times New Roman;sans-serif" w:hAnsi="Times New Roman;sans-serif"/>
          <w:b w:val="false"/>
          <w:color w:val="231F20"/>
          <w:sz w:val="20"/>
        </w:rPr>
      </w:pPr>
      <w:r>
        <w:rPr>
          <w:rFonts w:ascii="Times New Roman;sans-serif" w:hAnsi="Times New Roman;sans-serif"/>
          <w:b w:val="false"/>
          <w:color w:val="231F20"/>
          <w:sz w:val="20"/>
        </w:rPr>
        <w:t>Gains on strategic investments, net of $31.7 million recognized during the three months ended July 31, 2023 was driven by net realized and unrealized gains recognized on our publicly held securities, while losses on strategic investments, net, of $34.7 million recognized during the three months ended July 31, 2022 was mainly driven by unrealized losses recognized on our publicly held securities.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Other Income (Expense), Net</w:t>
      </w:r>
    </w:p>
    <w:tbl>
      <w:tblPr>
        <w:tblW w:w="6326" w:type="dxa"/>
        <w:jc w:val="left"/>
        <w:tblInd w:w="0" w:type="dxa"/>
        <w:tblLayout w:type="fixed"/>
        <w:tblCellMar>
          <w:top w:w="28" w:type="dxa"/>
          <w:left w:w="28" w:type="dxa"/>
          <w:bottom w:w="28" w:type="dxa"/>
          <w:right w:w="28" w:type="dxa"/>
        </w:tblCellMar>
      </w:tblPr>
      <w:tblGrid>
        <w:gridCol w:w="863"/>
        <w:gridCol w:w="760"/>
        <w:gridCol w:w="762"/>
        <w:gridCol w:w="211"/>
        <w:gridCol w:w="721"/>
        <w:gridCol w:w="109"/>
        <w:gridCol w:w="109"/>
        <w:gridCol w:w="109"/>
        <w:gridCol w:w="109"/>
        <w:gridCol w:w="211"/>
        <w:gridCol w:w="616"/>
        <w:gridCol w:w="109"/>
        <w:gridCol w:w="109"/>
        <w:gridCol w:w="109"/>
        <w:gridCol w:w="109"/>
        <w:gridCol w:w="383"/>
        <w:gridCol w:w="383"/>
        <w:gridCol w:w="544"/>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July 31, </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3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41,085 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1,119.9 </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540"/>
        <w:jc w:val="both"/>
        <w:rPr>
          <w:rFonts w:ascii="Times New Roman;sans-serif" w:hAnsi="Times New Roman;sans-serif"/>
          <w:b w:val="false"/>
          <w:color w:val="231F20"/>
          <w:sz w:val="20"/>
        </w:rPr>
      </w:pPr>
      <w:r>
        <w:rPr>
          <w:rFonts w:ascii="Times New Roman;sans-serif" w:hAnsi="Times New Roman;sans-serif"/>
          <w:b w:val="false"/>
          <w:color w:val="231F20"/>
          <w:sz w:val="20"/>
        </w:rPr>
        <w:t>Other income (expense), net for the three months ended July 31, 2023 increased by $37.7 million, or 1119.9%, compared to the three months ended July 31, 2022. The increase was mainly due to $29.3 million in investment yield and an increase of $4.3 million related to changes in foreign currency exchange rates.</w: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Provision for Income Taxes</w:t>
      </w:r>
    </w:p>
    <w:tbl>
      <w:tblPr>
        <w:tblW w:w="6071" w:type="dxa"/>
        <w:jc w:val="left"/>
        <w:tblInd w:w="0" w:type="dxa"/>
        <w:tblLayout w:type="fixed"/>
        <w:tblCellMar>
          <w:top w:w="28" w:type="dxa"/>
          <w:left w:w="28" w:type="dxa"/>
          <w:bottom w:w="28" w:type="dxa"/>
          <w:right w:w="28" w:type="dxa"/>
        </w:tblCellMar>
      </w:tblPr>
      <w:tblGrid>
        <w:gridCol w:w="825"/>
        <w:gridCol w:w="726"/>
        <w:gridCol w:w="729"/>
        <w:gridCol w:w="211"/>
        <w:gridCol w:w="721"/>
        <w:gridCol w:w="109"/>
        <w:gridCol w:w="109"/>
        <w:gridCol w:w="109"/>
        <w:gridCol w:w="109"/>
        <w:gridCol w:w="211"/>
        <w:gridCol w:w="721"/>
        <w:gridCol w:w="109"/>
        <w:gridCol w:w="109"/>
        <w:gridCol w:w="109"/>
        <w:gridCol w:w="109"/>
        <w:gridCol w:w="255"/>
        <w:gridCol w:w="256"/>
        <w:gridCol w:w="54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July 31, </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8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44,649 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Provision for income taxes for the three months ended July 31, 2023 increased by $23.8 million, or 53.2%, compared to the three months ended July 31, 2022. The year-over-year change was</w:t>
      </w:r>
      <w:r>
        <w:rPr>
          <w:color w:val="231F20"/>
          <w:shd w:fill="FFFFFF" w:val="clear"/>
        </w:rPr>
        <w:t xml:space="preserve"> </w:t>
      </w:r>
      <w:r>
        <w:rPr>
          <w:rFonts w:ascii="Times New Roman;sans-serif" w:hAnsi="Times New Roman;sans-serif"/>
          <w:b w:val="false"/>
          <w:color w:val="231F20"/>
          <w:sz w:val="20"/>
          <w:shd w:fill="FFFFFF" w:val="clear"/>
        </w:rPr>
        <w:t xml:space="preserve">due </w:t>
      </w:r>
      <w:r>
        <w:rPr>
          <w:rFonts w:ascii="Times New Roman;sans-serif" w:hAnsi="Times New Roman;sans-serif"/>
          <w:b w:val="false"/>
          <w:color w:val="000000"/>
          <w:sz w:val="20"/>
          <w:shd w:fill="FFFFFF" w:val="clear"/>
        </w:rPr>
        <w:t>primarily to the increase in income before taxes, an increase in the tax shortfalls on stock-based compensation, and other compensation-related permanent differences.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97205"/>
                <wp:effectExtent l="0" t="0" r="0" b="0"/>
                <wp:wrapNone/>
                <wp:docPr id="32" name="Frame3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Comparison of the Six Months Ended July 31, 2023 and 2022</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Revenue</w:t>
      </w:r>
    </w:p>
    <w:tbl>
      <w:tblPr>
        <w:tblW w:w="5037" w:type="dxa"/>
        <w:jc w:val="left"/>
        <w:tblInd w:w="0" w:type="dxa"/>
        <w:tblLayout w:type="fixed"/>
        <w:tblCellMar>
          <w:top w:w="28" w:type="dxa"/>
          <w:left w:w="28" w:type="dxa"/>
          <w:bottom w:w="28" w:type="dxa"/>
          <w:right w:w="28" w:type="dxa"/>
        </w:tblCellMar>
      </w:tblPr>
      <w:tblGrid>
        <w:gridCol w:w="304"/>
        <w:gridCol w:w="268"/>
        <w:gridCol w:w="269"/>
        <w:gridCol w:w="211"/>
        <w:gridCol w:w="976"/>
        <w:gridCol w:w="109"/>
        <w:gridCol w:w="109"/>
        <w:gridCol w:w="109"/>
        <w:gridCol w:w="109"/>
        <w:gridCol w:w="211"/>
        <w:gridCol w:w="976"/>
        <w:gridCol w:w="109"/>
        <w:gridCol w:w="109"/>
        <w:gridCol w:w="109"/>
        <w:gridCol w:w="109"/>
        <w:gridCol w:w="203"/>
        <w:gridCol w:w="203"/>
        <w:gridCol w:w="54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July 31, </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4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2,244,040 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2,173,258 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540"/>
        <w:jc w:val="both"/>
        <w:rPr/>
      </w:pPr>
      <w:r>
        <w:rPr>
          <w:rFonts w:ascii="Times New Roman;sans-serif" w:hAnsi="Times New Roman;sans-serif"/>
          <w:b w:val="false"/>
          <w:color w:val="231F20"/>
          <w:sz w:val="20"/>
        </w:rPr>
        <w:t>Revenue for the six months ended July 31, 2023 increased by $70.8 million, or 3.3%, compared to the six months ended July 31, 2022. The</w:t>
      </w:r>
      <w:r>
        <w:rPr>
          <w:color w:val="000000"/>
        </w:rPr>
        <w:t xml:space="preserve"> </w:t>
      </w:r>
      <w:r>
        <w:rPr>
          <w:rFonts w:ascii="Times New Roman;sans-serif" w:hAnsi="Times New Roman;sans-serif"/>
          <w:b w:val="false"/>
          <w:color w:val="000000"/>
          <w:sz w:val="20"/>
        </w:rPr>
        <w:t>increase in revenue was due to a 11.4% increase in revenue from subscription services provided to Enterprise customers, of which 60.4% and 39.6% were from existing and new customers, respectively. This increase was partially offset by a 6.1% decline in revenue from subscription services provided to Online customers.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Cost of Revenue</w:t>
      </w:r>
    </w:p>
    <w:tbl>
      <w:tblPr>
        <w:tblW w:w="5988" w:type="dxa"/>
        <w:jc w:val="left"/>
        <w:tblInd w:w="0" w:type="dxa"/>
        <w:tblLayout w:type="fixed"/>
        <w:tblCellMar>
          <w:top w:w="28" w:type="dxa"/>
          <w:left w:w="28" w:type="dxa"/>
          <w:bottom w:w="28" w:type="dxa"/>
          <w:right w:w="28" w:type="dxa"/>
        </w:tblCellMar>
      </w:tblPr>
      <w:tblGrid>
        <w:gridCol w:w="504"/>
        <w:gridCol w:w="444"/>
        <w:gridCol w:w="446"/>
        <w:gridCol w:w="211"/>
        <w:gridCol w:w="976"/>
        <w:gridCol w:w="271"/>
        <w:gridCol w:w="109"/>
        <w:gridCol w:w="109"/>
        <w:gridCol w:w="109"/>
        <w:gridCol w:w="211"/>
        <w:gridCol w:w="976"/>
        <w:gridCol w:w="271"/>
        <w:gridCol w:w="109"/>
        <w:gridCol w:w="109"/>
        <w:gridCol w:w="109"/>
        <w:gridCol w:w="239"/>
        <w:gridCol w:w="241"/>
        <w:gridCol w:w="54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July 31, </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530,506 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535,432 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1,713,534 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1,637,826 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2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2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pPr>
      <w:r>
        <w:rPr>
          <w:rFonts w:ascii="Times New Roman;sans-serif" w:hAnsi="Times New Roman;sans-serif"/>
          <w:b w:val="false"/>
          <w:color w:val="231F20"/>
          <w:sz w:val="20"/>
        </w:rPr>
        <w:t>Cost of revenue for the six months ended July 31, 2023 decreased by $4.9 million, or 0.9%, compared to the six months ended July 31, 2022. The decrease</w:t>
      </w:r>
      <w:r>
        <w:rPr>
          <w:color w:val="000000"/>
        </w:rPr>
        <w:t xml:space="preserve"> </w:t>
      </w:r>
      <w:r>
        <w:rPr>
          <w:rFonts w:ascii="Times New Roman;sans-serif" w:hAnsi="Times New Roman;sans-serif"/>
          <w:b w:val="false"/>
          <w:color w:val="000000"/>
          <w:sz w:val="20"/>
        </w:rPr>
        <w:t>was due to</w:t>
      </w:r>
      <w:r>
        <w:rPr>
          <w:color w:val="231F20"/>
        </w:rPr>
        <w:t xml:space="preserve"> </w:t>
      </w:r>
      <w:r>
        <w:rPr>
          <w:rFonts w:ascii="Times New Roman;sans-serif" w:hAnsi="Times New Roman;sans-serif"/>
          <w:b w:val="false"/>
          <w:color w:val="231F20"/>
          <w:sz w:val="20"/>
        </w:rPr>
        <w:t>a decrease of $26.8 million in costs mainly driven by the net impact of the transition from third-party cloud hosting to internal data centers and cloud optimization partially offset by an increase of $20.0 million in personnel-related expenses, which includes an increase of $7.5 million in salaries, payroll taxes and benefits, restructuring and related expenses of $7.1 million, and an increase of $5.5 million</w:t>
      </w:r>
      <w:r>
        <w:rPr>
          <w:color w:val="000000"/>
        </w:rPr>
        <w:t xml:space="preserve"> </w:t>
      </w:r>
      <w:r>
        <w:rPr>
          <w:rFonts w:ascii="Times New Roman;sans-serif" w:hAnsi="Times New Roman;sans-serif"/>
          <w:b w:val="false"/>
          <w:color w:val="000000"/>
          <w:sz w:val="20"/>
        </w:rPr>
        <w:t>in stock-based compensation expense.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Gross margin increased to 76.4% for the six months ended </w:t>
      </w:r>
      <w:r>
        <w:rPr>
          <w:rFonts w:ascii="Times New Roman;sans-serif" w:hAnsi="Times New Roman;sans-serif"/>
          <w:b w:val="false"/>
          <w:color w:val="231F20"/>
          <w:sz w:val="20"/>
        </w:rPr>
        <w:t>July 31, 2023</w:t>
      </w:r>
      <w:r>
        <w:rPr>
          <w:color w:val="000000"/>
        </w:rPr>
        <w:t xml:space="preserve"> </w:t>
      </w:r>
      <w:r>
        <w:rPr>
          <w:rFonts w:ascii="Times New Roman;sans-serif" w:hAnsi="Times New Roman;sans-serif"/>
          <w:b w:val="false"/>
          <w:color w:val="000000"/>
          <w:sz w:val="20"/>
        </w:rPr>
        <w:t xml:space="preserve">from 75.4% for the six months ended </w:t>
      </w:r>
      <w:r>
        <w:rPr>
          <w:rFonts w:ascii="Times New Roman;sans-serif" w:hAnsi="Times New Roman;sans-serif"/>
          <w:b w:val="false"/>
          <w:color w:val="231F20"/>
          <w:sz w:val="20"/>
        </w:rPr>
        <w:t>July 31, 2022</w:t>
      </w:r>
      <w:r>
        <w:rPr>
          <w:rFonts w:ascii="Times New Roman;sans-serif" w:hAnsi="Times New Roman;sans-serif"/>
          <w:b w:val="false"/>
          <w:color w:val="000000"/>
          <w:sz w:val="20"/>
        </w:rPr>
        <w:t>. The increase in gross margin was mainly due to increased efficiencies as we expanded our internal data center capacity.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2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tbl>
      <w:tblPr>
        <w:tblW w:w="6310" w:type="dxa"/>
        <w:jc w:val="left"/>
        <w:tblInd w:w="0" w:type="dxa"/>
        <w:tblLayout w:type="fixed"/>
        <w:tblCellMar>
          <w:top w:w="28" w:type="dxa"/>
          <w:left w:w="28" w:type="dxa"/>
          <w:bottom w:w="28" w:type="dxa"/>
          <w:right w:w="28" w:type="dxa"/>
        </w:tblCellMar>
      </w:tblPr>
      <w:tblGrid>
        <w:gridCol w:w="837"/>
        <w:gridCol w:w="734"/>
        <w:gridCol w:w="738"/>
        <w:gridCol w:w="211"/>
        <w:gridCol w:w="826"/>
        <w:gridCol w:w="109"/>
        <w:gridCol w:w="109"/>
        <w:gridCol w:w="109"/>
        <w:gridCol w:w="109"/>
        <w:gridCol w:w="211"/>
        <w:gridCol w:w="826"/>
        <w:gridCol w:w="109"/>
        <w:gridCol w:w="109"/>
        <w:gridCol w:w="109"/>
        <w:gridCol w:w="109"/>
        <w:gridCol w:w="255"/>
        <w:gridCol w:w="256"/>
        <w:gridCol w:w="54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July 31, </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401,073 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316,855 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540"/>
        <w:jc w:val="both"/>
        <w:rPr/>
      </w:pPr>
      <w:r>
        <w:rPr>
          <w:rFonts w:ascii="Times New Roman;sans-serif" w:hAnsi="Times New Roman;sans-serif"/>
          <w:b w:val="false"/>
          <w:color w:val="231F20"/>
          <w:sz w:val="20"/>
        </w:rPr>
        <w:t xml:space="preserve">Research and development expense for the six months ended July 31, 2023 increased by $84.2 million, or 26.6%, compared to the six months ended July 31, 2022. </w:t>
      </w:r>
      <w:r>
        <w:rPr>
          <w:rFonts w:ascii="Times New Roman;sans-serif" w:hAnsi="Times New Roman;sans-serif"/>
          <w:b w:val="false"/>
          <w:color w:val="000000"/>
          <w:sz w:val="20"/>
        </w:rPr>
        <w:t xml:space="preserve">The increase was primarily due to higher personnel-related expenses of </w:t>
      </w:r>
      <w:r>
        <w:rPr>
          <w:rFonts w:ascii="Times New Roman;sans-serif" w:hAnsi="Times New Roman;sans-serif"/>
          <w:b w:val="false"/>
          <w:color w:val="231F20"/>
          <w:sz w:val="20"/>
        </w:rPr>
        <w:t xml:space="preserve">$76.8 million, which includes </w:t>
      </w:r>
      <w:r>
        <w:rPr>
          <w:rFonts w:ascii="Times New Roman;sans-serif" w:hAnsi="Times New Roman;sans-serif"/>
          <w:b w:val="false"/>
          <w:color w:val="000000"/>
          <w:sz w:val="20"/>
        </w:rPr>
        <w:t xml:space="preserve">a </w:t>
      </w:r>
      <w:r>
        <w:rPr>
          <w:rFonts w:ascii="Times New Roman;sans-serif" w:hAnsi="Times New Roman;sans-serif"/>
          <w:b w:val="false"/>
          <w:color w:val="231F20"/>
          <w:sz w:val="20"/>
        </w:rPr>
        <w:t>$33.8 million</w:t>
      </w:r>
      <w:r>
        <w:rPr>
          <w:color w:val="000000"/>
        </w:rPr>
        <w:t xml:space="preserve"> </w:t>
      </w:r>
      <w:r>
        <w:rPr>
          <w:rFonts w:ascii="Times New Roman;sans-serif" w:hAnsi="Times New Roman;sans-serif"/>
          <w:b w:val="false"/>
          <w:color w:val="000000"/>
          <w:sz w:val="20"/>
        </w:rPr>
        <w:t xml:space="preserve">increase in stock-based compensation expense, a </w:t>
      </w:r>
      <w:r>
        <w:rPr>
          <w:rFonts w:ascii="Times New Roman;sans-serif" w:hAnsi="Times New Roman;sans-serif"/>
          <w:b w:val="false"/>
          <w:color w:val="231F20"/>
          <w:sz w:val="20"/>
        </w:rPr>
        <w:t>$23.4 million</w:t>
      </w:r>
      <w:r>
        <w:rPr>
          <w:color w:val="000000"/>
        </w:rPr>
        <w:t xml:space="preserve"> </w:t>
      </w:r>
      <w:r>
        <w:rPr>
          <w:rFonts w:ascii="Times New Roman;sans-serif" w:hAnsi="Times New Roman;sans-serif"/>
          <w:b w:val="false"/>
          <w:color w:val="000000"/>
          <w:sz w:val="20"/>
        </w:rPr>
        <w:t xml:space="preserve">increase in salaries, payroll taxes and benefits, and </w:t>
      </w:r>
      <w:r>
        <w:rPr>
          <w:rFonts w:ascii="Times New Roman;sans-serif" w:hAnsi="Times New Roman;sans-serif"/>
          <w:b w:val="false"/>
          <w:color w:val="231F20"/>
          <w:sz w:val="20"/>
        </w:rPr>
        <w:t>$19.6 million in restructuring and related expenses.</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tbl>
      <w:tblPr>
        <w:tblW w:w="5650" w:type="dxa"/>
        <w:jc w:val="left"/>
        <w:tblInd w:w="0" w:type="dxa"/>
        <w:tblLayout w:type="fixed"/>
        <w:tblCellMar>
          <w:top w:w="28" w:type="dxa"/>
          <w:left w:w="28" w:type="dxa"/>
          <w:bottom w:w="28" w:type="dxa"/>
          <w:right w:w="28" w:type="dxa"/>
        </w:tblCellMar>
      </w:tblPr>
      <w:tblGrid>
        <w:gridCol w:w="634"/>
        <w:gridCol w:w="558"/>
        <w:gridCol w:w="562"/>
        <w:gridCol w:w="211"/>
        <w:gridCol w:w="826"/>
        <w:gridCol w:w="109"/>
        <w:gridCol w:w="109"/>
        <w:gridCol w:w="109"/>
        <w:gridCol w:w="109"/>
        <w:gridCol w:w="211"/>
        <w:gridCol w:w="826"/>
        <w:gridCol w:w="109"/>
        <w:gridCol w:w="109"/>
        <w:gridCol w:w="109"/>
        <w:gridCol w:w="109"/>
        <w:gridCol w:w="203"/>
        <w:gridCol w:w="203"/>
        <w:gridCol w:w="54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July 31, </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795,877 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763,257 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54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Sales and marketing expense for the six months ended July 31, 2023 increased by $32.6 million, or 4.3%, compared to the six months ended July 31, 2022. The increase in sales and marketing expense was primarily due to higher personnel-related expenses of $26.1 million, which includes $32.9 million in restructuring and related expenses, an increase of $7.5 million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97205"/>
                <wp:effectExtent l="0" t="0" r="0" b="0"/>
                <wp:wrapNone/>
                <wp:docPr id="33" name="Frame3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231F20"/>
          <w:sz w:val="20"/>
        </w:rPr>
      </w:pPr>
      <w:r>
        <w:rPr>
          <w:rFonts w:ascii="Times New Roman;sans-serif" w:hAnsi="Times New Roman;sans-serif"/>
          <w:b w:val="false"/>
          <w:color w:val="231F20"/>
          <w:sz w:val="20"/>
        </w:rPr>
        <w:t>commissions expense, offset by a $8.7 million decrease in salaries, payroll taxes and benefits and a $5.6 million decrease in stock-based compensation expense; and an increase of $12.1 million in channel partner referral fees.</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tbl>
      <w:tblPr>
        <w:tblW w:w="6310" w:type="dxa"/>
        <w:jc w:val="left"/>
        <w:tblInd w:w="0" w:type="dxa"/>
        <w:tblLayout w:type="fixed"/>
        <w:tblCellMar>
          <w:top w:w="28" w:type="dxa"/>
          <w:left w:w="28" w:type="dxa"/>
          <w:bottom w:w="28" w:type="dxa"/>
          <w:right w:w="28" w:type="dxa"/>
        </w:tblCellMar>
      </w:tblPr>
      <w:tblGrid>
        <w:gridCol w:w="837"/>
        <w:gridCol w:w="735"/>
        <w:gridCol w:w="737"/>
        <w:gridCol w:w="211"/>
        <w:gridCol w:w="826"/>
        <w:gridCol w:w="109"/>
        <w:gridCol w:w="109"/>
        <w:gridCol w:w="109"/>
        <w:gridCol w:w="109"/>
        <w:gridCol w:w="211"/>
        <w:gridCol w:w="826"/>
        <w:gridCol w:w="109"/>
        <w:gridCol w:w="109"/>
        <w:gridCol w:w="109"/>
        <w:gridCol w:w="109"/>
        <w:gridCol w:w="255"/>
        <w:gridCol w:w="256"/>
        <w:gridCol w:w="54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July 31, </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329,224 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248,906 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540"/>
        <w:jc w:val="both"/>
        <w:rPr/>
      </w:pPr>
      <w:r>
        <w:rPr>
          <w:rFonts w:ascii="Times New Roman;sans-serif" w:hAnsi="Times New Roman;sans-serif"/>
          <w:b w:val="false"/>
          <w:color w:val="231F20"/>
          <w:sz w:val="20"/>
        </w:rPr>
        <w:t xml:space="preserve">General and administrative expense for the six months ended July 31, 2023 increased by $80.3 million, or 32.3%, compared to the six months ended July 31, 2022. The increase in general and administrative expenses was primarily due to </w:t>
      </w:r>
      <w:r>
        <w:rPr>
          <w:rFonts w:ascii="Times New Roman;sans-serif" w:hAnsi="Times New Roman;sans-serif"/>
          <w:b w:val="false"/>
          <w:color w:val="000000"/>
          <w:sz w:val="20"/>
        </w:rPr>
        <w:t xml:space="preserve">an increase of </w:t>
      </w:r>
      <w:r>
        <w:rPr>
          <w:rFonts w:ascii="Times New Roman;sans-serif" w:hAnsi="Times New Roman;sans-serif"/>
          <w:b w:val="false"/>
          <w:color w:val="231F20"/>
          <w:sz w:val="20"/>
        </w:rPr>
        <w:t>$43.8 million</w:t>
      </w:r>
      <w:r>
        <w:rPr>
          <w:color w:val="000000"/>
        </w:rPr>
        <w:t xml:space="preserve"> </w:t>
      </w:r>
      <w:r>
        <w:rPr>
          <w:rFonts w:ascii="Times New Roman;sans-serif" w:hAnsi="Times New Roman;sans-serif"/>
          <w:b w:val="false"/>
          <w:color w:val="000000"/>
          <w:sz w:val="20"/>
        </w:rPr>
        <w:t xml:space="preserve">in personnel-related expenses, </w:t>
      </w:r>
      <w:r>
        <w:rPr>
          <w:rFonts w:ascii="Times New Roman;sans-serif" w:hAnsi="Times New Roman;sans-serif"/>
          <w:b w:val="false"/>
          <w:color w:val="231F20"/>
          <w:sz w:val="20"/>
        </w:rPr>
        <w:t>which includes a $28.1 million</w:t>
      </w:r>
      <w:r>
        <w:rPr>
          <w:color w:val="000000"/>
        </w:rPr>
        <w:t xml:space="preserve"> </w:t>
      </w:r>
      <w:r>
        <w:rPr>
          <w:rFonts w:ascii="Times New Roman;sans-serif" w:hAnsi="Times New Roman;sans-serif"/>
          <w:b w:val="false"/>
          <w:color w:val="000000"/>
          <w:sz w:val="20"/>
        </w:rPr>
        <w:t xml:space="preserve">increase in stock-based compensation expense and </w:t>
      </w:r>
      <w:r>
        <w:rPr>
          <w:rFonts w:ascii="Times New Roman;sans-serif" w:hAnsi="Times New Roman;sans-serif"/>
          <w:b w:val="false"/>
          <w:color w:val="231F20"/>
          <w:sz w:val="20"/>
        </w:rPr>
        <w:t>$13.3 million in restructuring expense; and an increase of $36.8 million in legal expense, including litigation settlements.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Gains (Losses) on Strategic Investments, Net</w:t>
      </w:r>
    </w:p>
    <w:tbl>
      <w:tblPr>
        <w:tblW w:w="7556" w:type="dxa"/>
        <w:jc w:val="left"/>
        <w:tblInd w:w="0" w:type="dxa"/>
        <w:tblLayout w:type="fixed"/>
        <w:tblCellMar>
          <w:top w:w="28" w:type="dxa"/>
          <w:left w:w="28" w:type="dxa"/>
          <w:bottom w:w="28" w:type="dxa"/>
          <w:right w:w="28" w:type="dxa"/>
        </w:tblCellMar>
      </w:tblPr>
      <w:tblGrid>
        <w:gridCol w:w="1298"/>
        <w:gridCol w:w="1140"/>
        <w:gridCol w:w="1147"/>
        <w:gridCol w:w="211"/>
        <w:gridCol w:w="721"/>
        <w:gridCol w:w="109"/>
        <w:gridCol w:w="109"/>
        <w:gridCol w:w="109"/>
        <w:gridCol w:w="109"/>
        <w:gridCol w:w="211"/>
        <w:gridCol w:w="796"/>
        <w:gridCol w:w="109"/>
        <w:gridCol w:w="109"/>
        <w:gridCol w:w="109"/>
        <w:gridCol w:w="109"/>
        <w:gridCol w:w="308"/>
        <w:gridCol w:w="308"/>
        <w:gridCol w:w="544"/>
      </w:tblGrid>
      <w:tr>
        <w:trPr/>
        <w:tc>
          <w:tcPr>
            <w:tcW w:w="129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July 31, </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5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(losses) on strategic investments, net</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33,945 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(71,116)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147.7 </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540"/>
        <w:jc w:val="both"/>
        <w:rPr>
          <w:rFonts w:ascii="Times New Roman;sans-serif" w:hAnsi="Times New Roman;sans-serif"/>
          <w:b w:val="false"/>
          <w:color w:val="231F20"/>
          <w:sz w:val="20"/>
        </w:rPr>
      </w:pPr>
      <w:r>
        <w:rPr>
          <w:rFonts w:ascii="Times New Roman;sans-serif" w:hAnsi="Times New Roman;sans-serif"/>
          <w:b w:val="false"/>
          <w:color w:val="231F20"/>
          <w:sz w:val="20"/>
        </w:rPr>
        <w:t>Gains on strategic investments, net of $33.9 million recognized during the six months ended July 31, 2023 was driven by net realized and unrealized gains recognized on our publicly and privately held securities, while losses on strategic investments, net, of $71.1 million recognized during the six months ended July 31, 2022 was mainly driven by unrealized losses recognized on our publicly held securities.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Other Expense, Net</w:t>
      </w:r>
    </w:p>
    <w:tbl>
      <w:tblPr>
        <w:tblW w:w="5636" w:type="dxa"/>
        <w:jc w:val="left"/>
        <w:tblInd w:w="0" w:type="dxa"/>
        <w:tblLayout w:type="fixed"/>
        <w:tblCellMar>
          <w:top w:w="28" w:type="dxa"/>
          <w:left w:w="28" w:type="dxa"/>
          <w:bottom w:w="28" w:type="dxa"/>
          <w:right w:w="28" w:type="dxa"/>
        </w:tblCellMar>
      </w:tblPr>
      <w:tblGrid>
        <w:gridCol w:w="586"/>
        <w:gridCol w:w="516"/>
        <w:gridCol w:w="518"/>
        <w:gridCol w:w="211"/>
        <w:gridCol w:w="721"/>
        <w:gridCol w:w="109"/>
        <w:gridCol w:w="109"/>
        <w:gridCol w:w="109"/>
        <w:gridCol w:w="109"/>
        <w:gridCol w:w="211"/>
        <w:gridCol w:w="691"/>
        <w:gridCol w:w="109"/>
        <w:gridCol w:w="109"/>
        <w:gridCol w:w="109"/>
        <w:gridCol w:w="109"/>
        <w:gridCol w:w="383"/>
        <w:gridCol w:w="383"/>
        <w:gridCol w:w="544"/>
      </w:tblGrid>
      <w:tr>
        <w:trPr/>
        <w:tc>
          <w:tcPr>
            <w:tcW w:w="58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July 31, </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62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72,298 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2,096.6 </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540"/>
        <w:jc w:val="both"/>
        <w:rPr>
          <w:rFonts w:ascii="Times New Roman;sans-serif" w:hAnsi="Times New Roman;sans-serif"/>
          <w:b w:val="false"/>
          <w:color w:val="231F20"/>
          <w:sz w:val="20"/>
        </w:rPr>
      </w:pPr>
      <w:r>
        <w:rPr>
          <w:rFonts w:ascii="Times New Roman;sans-serif" w:hAnsi="Times New Roman;sans-serif"/>
          <w:b w:val="false"/>
          <w:color w:val="231F20"/>
          <w:sz w:val="20"/>
        </w:rPr>
        <w:t>Other expense, net for the six months ended July 31, 2023 increased by $75.9 million, or 2,096.6%, compared to the six months ended July 31, 2022. The increase was primarily due to an increase of $55.7 million in investment yield and an increase of $11.7 million related to changes in foreign currency exchange rates.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Provision for Income Taxes</w:t>
      </w:r>
    </w:p>
    <w:tbl>
      <w:tblPr>
        <w:tblW w:w="6071" w:type="dxa"/>
        <w:jc w:val="left"/>
        <w:tblInd w:w="0" w:type="dxa"/>
        <w:tblLayout w:type="fixed"/>
        <w:tblCellMar>
          <w:top w:w="28" w:type="dxa"/>
          <w:left w:w="28" w:type="dxa"/>
          <w:bottom w:w="28" w:type="dxa"/>
          <w:right w:w="28" w:type="dxa"/>
        </w:tblCellMar>
      </w:tblPr>
      <w:tblGrid>
        <w:gridCol w:w="825"/>
        <w:gridCol w:w="726"/>
        <w:gridCol w:w="729"/>
        <w:gridCol w:w="211"/>
        <w:gridCol w:w="721"/>
        <w:gridCol w:w="109"/>
        <w:gridCol w:w="109"/>
        <w:gridCol w:w="109"/>
        <w:gridCol w:w="109"/>
        <w:gridCol w:w="211"/>
        <w:gridCol w:w="721"/>
        <w:gridCol w:w="109"/>
        <w:gridCol w:w="109"/>
        <w:gridCol w:w="109"/>
        <w:gridCol w:w="109"/>
        <w:gridCol w:w="255"/>
        <w:gridCol w:w="256"/>
        <w:gridCol w:w="54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July 31, </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8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96,185 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74,663 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540"/>
        <w:jc w:val="both"/>
        <w:rPr/>
      </w:pPr>
      <w:r>
        <w:rPr>
          <w:rFonts w:ascii="Times New Roman;sans-serif" w:hAnsi="Times New Roman;sans-serif"/>
          <w:b w:val="false"/>
          <w:color w:val="231F20"/>
          <w:sz w:val="20"/>
          <w:shd w:fill="FFFFFF" w:val="clear"/>
        </w:rPr>
        <w:t xml:space="preserve">Provision for income taxes for the six months ended July 31, 2023 increased by $21.5 million, or 28.8%, compared to the six months ended July 31, 2022. </w:t>
      </w:r>
      <w:r>
        <w:rPr>
          <w:rFonts w:ascii="Times New Roman;sans-serif" w:hAnsi="Times New Roman;sans-serif"/>
          <w:b w:val="false"/>
          <w:color w:val="000000"/>
          <w:sz w:val="20"/>
          <w:shd w:fill="FFFFFF" w:val="clear"/>
        </w:rPr>
        <w:t>The year-over-year change was</w:t>
      </w:r>
      <w:r>
        <w:rPr>
          <w:color w:val="231F20"/>
          <w:shd w:fill="FFFFFF" w:val="clear"/>
        </w:rPr>
        <w:t xml:space="preserve"> </w:t>
      </w:r>
      <w:r>
        <w:rPr>
          <w:rFonts w:ascii="Times New Roman;sans-serif" w:hAnsi="Times New Roman;sans-serif"/>
          <w:b w:val="false"/>
          <w:color w:val="231F20"/>
          <w:sz w:val="20"/>
          <w:shd w:fill="FFFFFF" w:val="clear"/>
        </w:rPr>
        <w:t xml:space="preserve">due </w:t>
      </w:r>
      <w:r>
        <w:rPr>
          <w:rFonts w:ascii="Times New Roman;sans-serif" w:hAnsi="Times New Roman;sans-serif"/>
          <w:b w:val="false"/>
          <w:color w:val="000000"/>
          <w:sz w:val="20"/>
          <w:shd w:fill="FFFFFF" w:val="clear"/>
        </w:rPr>
        <w:t>primarily to the increase in income before taxes, an increase in the tax shortfalls on stock-based compensation, and other compensation-related permanent differences.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July 31, 2023, our principal sources of liquidity were cash, cash equivalents, and marketable securities of $6.0 billion, which were held for working capital purposes and for investment in growth opportunities. Our marketable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97205"/>
                <wp:effectExtent l="0" t="0" r="0" b="0"/>
                <wp:wrapNone/>
                <wp:docPr id="34" name="Frame3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securities generally consist of high-grade commercial paper, corporate bonds, agency bonds, corporate and other debt securities, U.S. government agency securities, and treasury bills.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financed our operations primarily through income from operations and sales of equity securities. Cash from operations could also be affected by various risks and uncertainties, including, but not limited to, the recent changes in macroeconomic conditions such as high inflation, recessionary environments, and the fluctuations in foreign currency exchange rates, could impact the timing of cash collections from our customers and other risks detailed in the section titled “Risk Factors.” However, based on our current business plan and revenue prospects, we believe our existing cash, cash equivalents, and marketable securities, together with net cash provided by operations, will be sufficient to meet our needs for at least the next 12 months and allow us to capitalize on growth opportunities. We believe we will meet longer-term expected future cash requirements and obligations through a combination of cash flows from operating activities and available cash balances. Our future capital requirements will depend on many factors, including our revenue growth rate, subscription renewal activity, billing frequency, the timing and extent of spending to support further sales and marketing and research and development efforts, as well as expenses associated with our international expansion, and the timing and extent of additional capital expenditures to invest in existing and new office spaces as well as data center infrastructure. We may, in the future, enter into arrangements to acquire or invest in complementary businesses, services, and technologies, including intellectual property rights. We may choose or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material cash requirements from known contractual and other obligations from those disclosed in our Management’s Discussion and Analysis of Financial Condition and Results of Operations, included in our Annual Report on Form 10-K for the year ended January 31, 2023, filed with the SEC on March 3,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presented:</w:t>
      </w:r>
    </w:p>
    <w:tbl>
      <w:tblPr>
        <w:tblW w:w="7028" w:type="dxa"/>
        <w:jc w:val="left"/>
        <w:tblInd w:w="0" w:type="dxa"/>
        <w:tblLayout w:type="fixed"/>
        <w:tblCellMar>
          <w:top w:w="28" w:type="dxa"/>
          <w:left w:w="28" w:type="dxa"/>
          <w:bottom w:w="28" w:type="dxa"/>
          <w:right w:w="28" w:type="dxa"/>
        </w:tblCellMar>
      </w:tblPr>
      <w:tblGrid>
        <w:gridCol w:w="1525"/>
        <w:gridCol w:w="1343"/>
        <w:gridCol w:w="1346"/>
        <w:gridCol w:w="211"/>
        <w:gridCol w:w="901"/>
        <w:gridCol w:w="109"/>
        <w:gridCol w:w="109"/>
        <w:gridCol w:w="109"/>
        <w:gridCol w:w="109"/>
        <w:gridCol w:w="211"/>
        <w:gridCol w:w="901"/>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July 31, </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(508,361)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largest source of operating cash is cash collections from our customers for subscriptions to our platform. Our primary uses of cash from operating activities are for employee-related expenditures, costs related to hosting our platform, and marketing expenses. Net cash provided by operating activities is impacted by our net income adjusted for certain non-cash items, such as stock-based compensation expense, depreciation and amortization expenses, as well as the effect of changes in operating assets and liabilities.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was $754.5 million for the six months ended July 31, 2023, compared to $783.4 million for the six months ended July 31, 2022. The decrease in operating cash flow was primarily due to the negative impact from changes in operating assets and liabilities of $42.3 million.</w:t>
      </w:r>
    </w:p>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Net cash used in investing activities of $500.1 million</w:t>
      </w:r>
      <w:r>
        <w:rPr>
          <w:color w:val="231F20"/>
        </w:rPr>
        <w:t xml:space="preserve"> </w:t>
      </w:r>
      <w:r>
        <w:rPr>
          <w:rFonts w:ascii="Times New Roman;sans-serif" w:hAnsi="Times New Roman;sans-serif"/>
          <w:b w:val="false"/>
          <w:color w:val="000000"/>
          <w:sz w:val="20"/>
        </w:rPr>
        <w:t>for the six months ended July 31, 2023 was due to net purchases of marketable securities of $283.0 million, cash paid for acquisition, net of cash acquired, of $204.9 million, purchases of property and equipment of $68.4 million, and purchases of strategic investments of $51.0 million, offset by proceeds from strategic investments of $107.2 million.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of $508.4 million for the six months ended July 31, 2022 was primarily due to net purchases of marketable securities of $270.2 million, cash paid for acquisition, net of cash acquired, of $120.6 million, purchases of strategic investments of $61.6 million, and purchases of property and equipment of $52.9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97205"/>
                <wp:effectExtent l="0" t="0" r="0" b="0"/>
                <wp:wrapNone/>
                <wp:docPr id="35" name="Frame3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of $41.5 million for the six months ended July 31, 2023 was primarily due to proceeds from issuance of common stock under our ESPP of $32.5 million and proceeds from the exercise of stock options of $7.7 million.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of $388.8 million for the six months ended July 31, 2022 was primarily due to cash paid for repurchases of common stock of $425.9 million offset by proceeds from issuance of common stock under our ESPP of $34.6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Critical accounting estimates are those accounting estimates that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are material due to the levels of subjectivity and judgment necessary to account for highly uncertain matters or the susceptibility of such matters to change and the impact of the estimates on financial condition or operating performance is material.</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critical accounting estimates as compared to the critical accounting estimates described in our Management’s Discussion and Analysis of Financial Condition and Results of Operations, included in our Annual Report on Form 10-K for the year ended January 31, 2023, filed with the SEC on March 3,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both"/>
        <w:rPr>
          <w:rFonts w:ascii="Times New Roman;sans-serif" w:hAnsi="Times New Roman;sans-serif"/>
          <w:b/>
          <w:color w:val="000000"/>
          <w:sz w:val="20"/>
        </w:rPr>
      </w:pPr>
      <w:r>
        <w:rPr>
          <w:rFonts w:ascii="Times New Roman;sans-serif" w:hAnsi="Times New Roman;sans-serif"/>
          <w:b/>
          <w:color w:val="000000"/>
          <w:sz w:val="20"/>
        </w:rPr>
        <w:t>Item 3.    QUALITATIVE AND QUANTITATIVE DISCLOSURES ABOUT MARKET RISK</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Foreign Currency and Exchange Risk</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majority of our cash generated from revenue is denominated in U.S. dollars, with a portion of our revenue from amounts denominated in foreign currencies. Our expenses are generally denominated in the currencies of the jurisdictions in which we conduct our operations, which are primarily in the United States, China, Europe, and Australia. Our results of current and future operations and cash flows are, therefore, subject to fluctuations due to changes in foreign currency exchange rates. For the six months ended </w:t>
      </w:r>
      <w:r>
        <w:rPr>
          <w:rFonts w:ascii="Times New Roman;sans-serif" w:hAnsi="Times New Roman;sans-serif"/>
          <w:b w:val="false"/>
          <w:color w:val="231F20"/>
          <w:sz w:val="20"/>
        </w:rPr>
        <w:t>July 31, 2023</w:t>
      </w:r>
      <w:r>
        <w:rPr>
          <w:color w:val="000000"/>
        </w:rPr>
        <w:t xml:space="preserve"> </w:t>
      </w:r>
      <w:r>
        <w:rPr>
          <w:rFonts w:ascii="Times New Roman;sans-serif" w:hAnsi="Times New Roman;sans-serif"/>
          <w:b w:val="false"/>
          <w:color w:val="000000"/>
          <w:sz w:val="20"/>
        </w:rPr>
        <w:t>and 2022, 19.3% and 20.7% of our revenue, respectively and 13.3% and 12.6% of our expenses, respectively, were denominated in currencies other than the U.S. dollar. The effect of a hypothetical 10% change in foreign currency exchange rates applicable to our business would not have had a material impact on our historical condensed consolidated financial statements for the three and six months ended July 31, 2023 and 2022. As the impact of foreign currency exchange rates has not been material to our historical operating results, we have not entered into derivative or hedging transactions, but we may do so in the future if our exposure to foreign currency becomes more significant.</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had cash and cash equivalents of $1,380.1 million and marketable securities of $4,648.4 million as of July 31, 2023. Cash and cash equivalents consist of bank deposits, money market funds, and high-grade commercial paper, and agency bonds. Our marketable securities generally consist of high-grade commercial paper, agency bonds, corporate and other debt securities, U.S. government agency securities, and treasury bills. The cash and cash equivalents and marketable securities are held for working capital purposes. Such interest-earning instruments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historical condensed consolidated financial statements for the three and six months ended July 31,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97205"/>
                <wp:effectExtent l="0" t="0" r="0" b="0"/>
                <wp:wrapNone/>
                <wp:docPr id="36" name="Frame3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pPr>
      <w:r>
        <w:rPr>
          <w:rFonts w:ascii="Times New Roman;sans-serif" w:hAnsi="Times New Roman;sans-serif"/>
          <w:b w:val="false"/>
          <w:color w:val="000000"/>
          <w:sz w:val="20"/>
        </w:rPr>
        <w:t xml:space="preserve">executive officer and principal financial officer have concluded that as of </w:t>
      </w:r>
      <w:r>
        <w:rPr>
          <w:rFonts w:ascii="Times New Roman;sans-serif" w:hAnsi="Times New Roman;sans-serif"/>
          <w:b w:val="false"/>
          <w:color w:val="231F20"/>
          <w:sz w:val="20"/>
        </w:rPr>
        <w:t>July 31, 2023</w:t>
      </w:r>
      <w:r>
        <w:rPr>
          <w:rFonts w:ascii="Times New Roman;sans-serif" w:hAnsi="Times New Roman;sans-serif"/>
          <w:b w:val="false"/>
          <w:color w:val="000000"/>
          <w:sz w:val="20"/>
        </w:rPr>
        <w:t>, our disclosure controls and procedures were effective at a reasonable assurance level.</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There has been no change in our internal control over financial reporting (as defined in Rules 13a-15(d) and 15d-15(d) under the Exchange Act) that occurred during the quarter ended </w:t>
      </w:r>
      <w:r>
        <w:rPr>
          <w:rFonts w:ascii="Times New Roman;sans-serif" w:hAnsi="Times New Roman;sans-serif"/>
          <w:b w:val="false"/>
          <w:color w:val="231F20"/>
          <w:sz w:val="20"/>
        </w:rPr>
        <w:t xml:space="preserve">July 31, 2023 </w:t>
      </w:r>
      <w:r>
        <w:rPr>
          <w:rFonts w:ascii="Times New Roman;sans-serif" w:hAnsi="Times New Roman;sans-serif"/>
          <w:b w:val="false"/>
          <w:color w:val="000000"/>
          <w:sz w:val="20"/>
        </w:rPr>
        <w:t>that has materially affected, or is reasonably likely to materially affect, our internal control over financial reporting.</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Inherent Limitations on Effectiveness of Disclosure Controls and Procedures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97205"/>
                <wp:effectExtent l="0" t="0" r="0" b="0"/>
                <wp:wrapNone/>
                <wp:docPr id="37" name="Frame3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62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with respect to this item may be found in Note 7 - “Commitments and Contingencies” in the accompanying notes to the condensed consolidated financial statements included in Part I, Item 1, “Financial Statements” of this Quarterly Report on Form 10-Q, under “Legal Proceedings,”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62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in our securities involves a high degree of risk.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before making a decision to invest in our securities. The risks and uncertainties described below may not be the only ones we face. If any of the risks actually occur, our business could be materially and adversely affected. In that event, the market price of our Class A common stock could decline, and you could lose part or all of your investment.</w:t>
      </w:r>
    </w:p>
    <w:p>
      <w:pPr>
        <w:pStyle w:val="TextBody"/>
        <w:bidi w:val="0"/>
        <w:spacing w:lineRule="auto" w:line="288" w:before="12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Risks Related to Our Business and Our Industry</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business depends on our ability to attract new customers, retain and upsell additional products and new product categories to existing customers, and upgrade free hosts to our paid offerings. Any decline in new customers, renewals, or upgrades would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depends upon our ability to attract new customers, and maintain and expand our relationships with our existing customers, including upselling additional products and new product categories to our existing customers and upgrading hosts to a paid Zoom Meeting plan. A host is any user of our unified communications and collaboration platform who initiates a Zoom Meeting and invites one or more participants to join that meeting. We refer to hosts who subscribe to a paid Zoom Meeting plan as “paid hosts.”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subscription based, and customers are not obligated to, and may choose not to, renew their subscriptions after their existing subscriptions expire. As a result, we cannot provide assurance that customers will renew their subscriptions utilizing the same tier of their Zoom Meeting plan, upgrade to a higher-priced tier, or purchase additional products, if they renew at all. Renewals of subscriptions to our platform may decline or fluctuate because of several factors, such as dissatisfaction with our products and support, a customer or host no longer having a need for our products, including any new customers or hosts that have subscribed to our services during the COVID-19 pandemic that may subsequently reduce or discontinue their use after the impact of the pandemic have tapered, a reduction in customer information technology spending budgets, or a consolidation of spending budgets on our competitors' platforms, during periods of high inflation or recessionary or uncertain economic environments or the perception that competitive products provide better, more secure, or less expensive options. In addition, some customers downgrade their Zoom Meeting plan or do not renew their subscriptions. Furthermore, as a result of the increased usage of our platform during the COVID-19 pandemic, our customer base has shifted largely from businesses and enterprises to a mix of businesses, enterprises, and consumers. This shift in mix could result in higher non-renewal rates than we have experienced in the past. We must continually add new customers and hosts to grow our business beyond our current user base and to replace customers and hosts who choose not to continue to use our platform. Finally, any decrease in user satisfaction with our products or support would harm our brand, word-of-mouth referrals, and ability to grow.</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encourage customers to purchase additional products and encourage hosts to upgrade to our paid offerings by recommending additional features and through in-product prompts and notifications. Additionally, we seek to expand within organizations by adding new hosts, having workplaces purchase additional products, or expanding the use of our platform into other teams and departments within an organization. At the same time, we encourage hosts that subscribe to our free Zoom Meeting plan to upgrade to a paid Zoom Meeting plan. However, a majority of these hosts, including those that initially subscribed to our free plan during the COVID-19 pandemic as a result of shelter-in-place and work-from-home mandates, may never upgrade to a paid Zoom Meeting plan. If we fail to upsell our customers or upgrade hosts of our free Zoom Meeting plan to paid subscriptions or expand the number of paid hosts within organizations, our business would be harmed.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user growth rate may slow or decline in the future as our market penetration rates increase. If we are not able to continue to expand our user base, our revenue may grow more slowly than expected or decline. While we continue to add paid users to our customer base, we expect our user growth rate to continue to slow or decline during the COVID-19 pandemic recovery, particularly as users return to work or school or are otherwise no longer subject to limitations on in-person meetings.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97205"/>
                <wp:effectExtent l="0" t="0" r="0" b="0"/>
                <wp:wrapNone/>
                <wp:docPr id="38" name="Frame3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revenue growth rate has fluctuated in prior periods, and may decline in future periods.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growth has fluctuated in prior periods. You should not rely on the revenue growth of any prior quarterly or annual period as an indication of our future performance. Our revenue growth rate over the past year has stabilized but there are no assurances we will be able to sustain or increase it in future periods, and our revenue growth rate may decline in future periods. Many factors may contribute to declines in our growth rate, including higher market penetration, increased competition, macroeconomic conditions, such as high inflation, recessionary or uncertain environments and fluctuating foreign currency exchange rates, slowing demand for our platform, a lower than anticipated capitalization on growth opportunities, and the maturation of our business, among others. Our growth rate could adversely affect investors’ perceptions of our business and the trading price of our Class A common stock could be adversely affected.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Interruptions, delays, or outages in service from our co-located data centers and a variety of other factors, would impair the delivery of our services, require us to issue credits or pay penalties, and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serve our users from various co-located data centers located throughout the world. We also utilize Amazon Web Services and Oracle Cloud for the hosting of certain critical aspects of our business, as well as Microsoft Azure for limited customer-specified managed services. As part of our distributed meeting architecture, we establish private links between data centers that automatically transfer data between various data centers. Damage to, or failure of, these data centers has in the past resulted in and could in the future result in interruptions or delays in our services. In addition, we have experienced, and may in the future experience, other interruptions and delays in our services caused by a variety of other factors, including, but not limited to, infrastructure changes, vendor issues, human or software errors, viruses, security attacks, ransomware or cyber extortion, fraud, general internet availability issues, spikes in usage, local administrative actions, changes to legal or permitting requirements, and denial of service issues. In some instances, we may not be able to identify the cause or causes of these problems within an acceptable period of time. For example, we have experienced partial outages in our services that impacted a subset of our users for a limited number of hours. Additionally, in connection with the addition of new data centers or expansion or consolidation of our existing data center facilities or other reasons, we may move or transfer our data and our users’ metadata to other data centers, not including our China data center. Despite precautions that we take during this process, any unsuccessful data transfers may impair or cause disruptions in the delivery of our service, and we may incur significant costs in connection with any such move or transfer. Interruptions, delays, or outages in our services would reduce our revenue; may require us to issue credits or pay penalties; may subject us to claims and litigation; and may cause customers and hosts to terminate their subscriptions and adversely affect our ability to attract new customers and hosts. Our ability to attract and retain customers and hosts depends on our ability to provide customers and hosts with a highly reliable platform and even minor interruptions or delays in our services could harm our business.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Additionally, if our data centers are unable to keep up with our increasing needs for capacity, customers may experience delays or interruptions in service as we seek to obtain additional capacity, which could result in the loss of customers who use our unified communications and collaboration platform because of its reliability and performance. We plan to continue our practice of opening new data centers throughout the world to meet increased demand, but we may be unable to bring additional data centers online in a timely manner, including as a result of current shortages for certain parts, such as servers.</w:t>
      </w:r>
      <w:r>
        <w:rPr>
          <w:color w:val="000000"/>
        </w:rPr>
        <w:t xml:space="preserve"> </w:t>
      </w:r>
      <w:r>
        <w:rPr>
          <w:rFonts w:ascii="Times New Roman;sans-serif" w:hAnsi="Times New Roman;sans-serif"/>
          <w:b w:val="false"/>
          <w:color w:val="000000"/>
          <w:sz w:val="20"/>
        </w:rPr>
        <w:t>In addition, to meet short-term capacity needs, we may need to rely increasingly on public cloud providers, including Amazon Web Services and Oracle Cloud, which may result in higher variable costs, harming our business, financial condition, and operating results.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do not control, or in some cases have limited control over, the operation of the co-located data center facilities we use, and they are vulnerable to damage or interruption from human error; intentional bad acts; earthquakes; floods; fires; hurricanes; war; terrorist attacks; power losses; hardware failures; systems failures; telecommunications failures; disease, such as the COVID-19 pandemic; and other public health related measures, any of which could disrupt our service. In the event of significant physical damage to one of these data centers, it may take a significant period of time to achieve full resumption of our services and our disaster recovery planning may not account for all eventualities. Despite precautions taken at these facilities, the occurrence of a natural disaster, an act of terrorism, or other act of malfeasance, a decision to close the facilities without adequate notice or other unanticipated problems at the facilities would harm our business.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operate in competitive markets, and we must continue to compete effectively.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for communication and collaboration technologies platforms is competitive and rapidly changing, and new market entrants, particularly established companies with greater resources than we do, that provide technologies to improve communication and collaboration technologies platforms, such as AI and machine learning, could also increase the level of competition in the market. Certain features of our current platform compete in the communication and collaboration technologies market with products offered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legacy web-based meeting providers, including Cisco Webex and GoTo;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97205"/>
                <wp:effectExtent l="0" t="0" r="0" b="0"/>
                <wp:wrapNone/>
                <wp:docPr id="39" name="Frame3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bundled productivity solutions providers with video functionality, including Microsoft Teams and Google G Suite and Meet products;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UCaaS and legacy PBX providers, including Avaya, RingCentral, and 8x8;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consumer-facing platforms that can support small- or medium-sized businesses, including Amazon, Apple, and Facebook.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large established companies may also make investments in video communications tools. In addition, as we introduce new products and services into our platform, and with the introduction of new technologies and market entrants, including AI, we expect competition to intensify in the future.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we launched Zoom Contact Center, an omnichannel contact center solution that is optimized for video, which, as we build out our offering, may result in increased competition against companies that offer similar services, such as Five9, Inc., Genesys and NICE inContact, and new competitors that may enter that market in the future. As we continue to build out our platform, we may face increased competition against companies that offer similar services and new competitors that may enter that market in the future. During the COVID-19 pandemic, we saw a significant increase in usage and subscriptions from smaller customers, many of whom are consumers or small and medium sized businesses. With respect to these smaller customers, we face competition from more consumer-oriented platforms, most of which have more experience with the consumer market than we do. Further, many of our actual and potential competitors benefit from competitive advantages over us, such as greater name recognition; longer operating histories; more varied products and services; larger marketing budgets; more established marketing relationships; more third-party integration; greater accessibility across devices or applications; greater access to larger user bases; major distribution agreements with hardware manufacturers and resellers; and greater financial, technical, and other resources. Some of our competitors may make acquisitions or strategic investments or enter into strategic relationships to offer a broader range of products and services than we do, which may prevent us from using such third parties' technology or offering such products or services. These combinations may make it more difficult for us to compete effectively. We expect these trends to continue as competitors attempt to strengthen or maintain their market positions.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Demand for our platform is also price sensitive. Many factors, including our marketing, user acquisition, and technology costs, and our current and future competitors’ pricing and marketing strategies, can significantly affect our pricing strategies. Certain competitors offer, or may in the future offer, lower-priced or free products, or services that compete with our platform, or may bundle and offer a broader range of products and services than we do. Similarly, certain competitors may use marketing strategies that enable them to acquire customers at a lower cost than we can. Furthermore, third parties could build products similar to ours that rely on open source software. Even if such products do not include all the features and functionality that our platform provides, we could face pricing pressure from these third parties to the extent that users find such alternative products to be sufficient to meet their video communications needs. There can be no assurance that we will not be forced to engage in price-cutting initiatives or other discounts or to increase our marketing and other expenses to attract and retain customers in response to competitive pressures, either of which would harm our business. We, on occasion, offer customers a free period of time at the beginning of the subscription term that can result in deferred billings or long-term accounts receivable and increase the risk of loss on uncollected accounts receivable.</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results have fluctuated and may in the future fluctuate significantly and may not fully reflect the underlying performance of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have fluctuated and may in the future fluctuate significantly, and period-to-period comparisons of our results of operations may not be meaningful. Accordingly, the results of any one quarter should not be relied upon as an indication of future performance. Our results of operations may fluctuate as a result of a variety of factors, many of which are outside of our control, and as a result, may not fully reflect the underlying performance of our business. For example, during fiscal year 2021, we experienced rapid growth in usage of our unified communications and collaboration platform largely due to the COVID-19 pandemic, a significant portion of which was attributable to free Basic accounts, which do not generate any revenue. To meet this increased demand, we have incurred and expect to continue to incur significant costs associated with upgrading our infrastructure and expanding our capacity, including higher variable costs to the extent we have had to rely on public cloud providers rather than our own data centers. Fluctuation in our results may negatively impact the value of our securities. Factors that may cause fluctuations in our results of operations include, without limitation, those listed below:</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retain and upgrade customers to higher-priced tiers of Zoom Meeting plans;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attract new hosts and upgrade hosts that subscribe to our free Zoom Meeting plan to one of our paid Zoom Meeting plans;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hire and retain employees, in particular those responsible for the selling or marketing of our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97205"/>
                <wp:effectExtent l="0" t="0" r="0" b="0"/>
                <wp:wrapNone/>
                <wp:docPr id="40" name="Frame4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hire, develop, and retain talented sales personnel who are able to achieve desired productivity levels in a reasonable period of time and provide sales leadership in areas in which we are expanding our sales and marketing efforts;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the way we organize and compensate our sales teams;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timing of expenses and recognition of revenue;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increase sales to large organizations;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length of our sales cycles and linearity of our bookings, especially with respect to sales to large enterprises and highly regulated industries, including financial services and U.S. federal and state and foreign governmental agencies;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amount and timing of operating expenses related to the maintenance and expansion of our business, operations, and infrastructure, as well as international expansion and entry into operating leases, and the hiring and retention of personnel who can build, manage, and maintain our expanded business operations and infrastructure;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timing and effectiveness of new sales and marketing initiatives;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our pricing policies or those of our competitors;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hire and retain experienced research and development personnel to design new products, features, and functionality that meet our privacy and security standards;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timing and success of new products, features, and functionality by us or our competitors;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interruptions or delays in our service, network outages, or actual, alleged, or perceived privacy violations or issues or security vulnerabilities, incidents, or breaches;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lawsuits, regulatory actions or investigations, legislator scrutiny, or negative publicity arising from actual, alleged, or perceived privacy violations or issues or security vulnerabilities, incidents, or breaches;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the competitive dynamics of our industry, including consolidation among competitors;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laws and regulations that impact our business;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any large indemnification payments to our users or other third parties;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timing of expenses related to any future acquisitions;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general economic and market conditions.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business may be significantly affected by changes in the economy, including any resulting effect on consumer or business spending.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may be significantly affected by changes in the economy, such as high inflation, recessionary or uncertain environments, bank failures, U.S. federal debt ceiling negotiations, fluctuations in the foreign currency exchange rates and global impacts, including the Russian invasion of Ukraine and the United States' ongoing trade disputes with China and other countries. Some customers may view a subscription to our platform as a cost-saving purchase, decreasing the need for business travel, others may view a subscription to our platform as a discretionary purchase, and our customers may reduce their information technology spending on our platform during an economic downturn or during times of economic uncertainty. Given current economic conditions, including inflation, we could experience a reduction in demand and loss of customers, especially if the effects of the current economic environment have a prolonged impact on various industries that our unified communications and collaboration platform addresses. In addition to the foregoing, adverse developments that affect financial institutions, transactional counterparties or other third parties, such as bank failures, or concerns or speculation about any similar events or risks, could lead to market-wide liquidity problems, which in turn may cause third parties, including customers, to become unable to meet their obligations under various types of financial arrangements as well as general disruptions or instability in the financial markets. We would lose customers as a result of customers ceasing to do business, and we could experience a material increase in longer payment cycles and greater difficulty in collecting accounts receivable from certain customers.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As we increase sales to large organizations, our sales cycles have and could continue to lengthen, and we could experience greater deployment challenges.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begun investing more resources into sales to large organizations. Large organizations typically undertake a significant evaluation and negotiation process due to their leverage, size, organizational structure, and approval requirements, all of which have and may continue to lengthen our sales cycle. We may also face unexpected deployment challenges with large organizations or more complicated deployment of our platform. Large organizations may demand additional features, support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97205"/>
                <wp:effectExtent l="0" t="0" r="0" b="0"/>
                <wp:wrapNone/>
                <wp:docPr id="41" name="Frame4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services and pricing concessions, or require additional security management or control features. We may spend substantial time, effort, and money on sales efforts to large organizations without any assurance that our efforts will produce any sales or that these customers will deploy our platform widely enough across their organization to justify our substantial up-front investment. As a result, we anticipate increased sales to large organizations will lead to higher up-front sales costs and greater unpredictability in our business, results of operations, and financial condition.</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generate revenue from sales of subscriptions to our platform, and any decline in demand for our platform or for communications and collaboration technologies in general would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and expect to continue to generate, revenue from the sale of subscriptions to our platform. As a result, widespread acceptance and use of communications and collaboration technologies in general, and our platform in particular, is critical to our future growth and success. If the communications and collaboration technologies market fails to grow, or grows more slowly than we currently anticipate, demand for our platform could be negatively affected.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user preferences for communications and collaboration technologies may have a disproportionately greater impact on us than if we offered multiple platforms or disparate products. Demand for communications and collaboration technologies in general, and our platform in particular, is affected by a number of factors, many of which are beyond our control. Some of these potential factors include: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general awareness of the communications and collaboration technologies category;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availability of products and services that compete with ours;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new modes of communications and collaboration that may be developed in the future;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 reduction in customer information technology spending budgets, or a consolidation of spending budgets on our competitors' platforms, during periods of high inflation or recessionary or uncertain economic environments;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ease of adoption and use;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features and platform experience;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reliability of our platform, including frequency of outages;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performance;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brand;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user support;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pricing.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communications and collaboration technologies market is subject to rapidly changing user demand and trends in preferences. If we fail to successfully predict and address these changes and trends, meet user demands, or achieve more widespread market acceptance of our platform, our business would be harmed.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have incurred net losses in the past and there are no assurances we will be able to maintain or increase profitability in the future.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incurred net losses in the past and could incur net losses in the future. We intend to continue to expend significant funds to expand our direct sales force and marketing efforts to attract new customers and hosts and to develop and enhance our products and for general corporate purposes, including operations, hiring additional personnel, including through acquisitions of other businesses, upgrading our infrastructure, addressing security and privacy issues, and expanding into new geographical markets. To the extent we are successful in increasing our user base, we may also incur increased losses because, other than sales commissions, the costs associated with acquiring customers and hosts are generally incurred up front, while the subscription revenue is generally recognized ratably over the subscription term, which can be monthly, annual, or on a multiyear basis. Our efforts to grow our business may be costlier than we expect, and we may not be able to increase our revenue enough to offset our higher operating expenses, which may result in decreased profitability. We may incur significant losses in the future for a number of reasons, including as a result of the other risks described herein, and unforeseen expenses, difficulties, complications, delays, and other unknown events. While free users continue to be a meaningful portion of the user base, we have directed marketing programs focused on converting free users to paid subscriptions. Some of these new hosts using our platform on a free Basic account have upgraded to a paid Zoom Meeting plan but the remainder have not and may never do so. If we are unable to increase or sustain our profitability, the value of our business and Class A common stock may significantly decrease. Furthermore, it is difficult to predict the size and growth rate of our market, customer demand for our platform, user adoption and renewal of our platform, the entry of competitive products and services, or the success of existing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97205"/>
                <wp:effectExtent l="0" t="0" r="0" b="0"/>
                <wp:wrapNone/>
                <wp:docPr id="42" name="Frame4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competitive products and services. As a result, we may not increase or maintain profitability in future periods. If we fail to grow our revenue sufficiently to keep pace with our investments and other expenses, our business would be harmed.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One of the most important features of our platform is its broad interoperability with a range of diverse devices, operating systems, and third-party applications. Our platform is accessible from the web and from devices running Windows, Mac OS, iOS, Android, and Linux. We also have integrations with Atlassian, Dropbox, Google, Microsoft, Salesforce, Slack, and a variety of other productivity, collaboration, data management, and security vendors. We are dependent on the accessibility of our platform across these and other third-party operating systems and applications that we do not control. For example, given the broad adoption of Microsoft Office and other productivity software, it is important that we are able to integrate with this software. Several of our competitors own, develop, operate, or distribute operating systems, app stores, co-located data center services, and other software, and also have material business relationships with companies that own, develop, operate, or distribute operating systems, applications markets, co-located data 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could be harmed.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provide, develop, and create applications for our platform partners that integrate our platform with our partners’ various offerings. For example, our Zoom Meetings product integrates with tools offered by companies, such as Atlassian and Dropbox, to help teams get more done together. If we are not able to continue and expand on existing and new relationships to integrate our platform with our partners’ solutions, or there are quality issues with our products or service interruptions of our products that integrate with our partners’ solutions, our business will be harmed.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requirements imposed by app stores such as those operated by Apple and Google, who may change their technical requirements or policies in a manner that adversely impacts the way in which we or our partners collect, use and share data from users. For example, Apple recently began requiring mobile applications using its iOS mobile operating system to obtain a user’s permission to track them or access their device’s advertising identifier for certain purposes. The long-term impact of these and any other privacy and regulatory changes remains uncertain. If we do not comply with applicable requirements imposed by app stores, we could lose access to the app store and users, and our business would be harmed.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may not be able to respond to rapid technological changes, extend our platform, or develop new features.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communications and collaboration technologies market is characterized by rapid technological change and frequent new product and service introductions. Our ability to grow our user base and increase revenue from customers will depend heavily on our ability to enhance and improve our platform; introduce new features and products; and interoperate across an increasing range of devices, operating systems, and third-party applications. Our customers may require features and capabilities that our current platform does not have. In particular, advancements in technology such as artificial intelligence (“AI”) and machine learning are changing the way people work by automating tasks, enhancing communication, and improving decision-making processes, and businesses that are slow to adopt these new technologies may face a competitive disadvantage. We invest significantly in research and development, and our goal is to focus our spending on measures that improve quality and ease of adoption, enhance privacy and security, and create organic user demand for our platform. There is no assurance that new additions or other future enhancements to our platform or new product experiences, features, or capabilities will be compelling to our users or gain market acceptance, or that they will perform as expected. If our research and development investments do not accurately anticipate user demand or if we fail to develop our platform in a manner that satisfies user preferences and requirements in a timely and cost-effective manner, we may fail to retain our existing users or increase demand for our platform.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introduction of new products and services by competitors or the development of entirely new technologies to replace existing offerings, such as AI-powered communication and collaboration tools, could make our platform obsolete or adversely affect our business, results of operations, and financial condition. We may experience difficulties with software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97205"/>
                <wp:effectExtent l="0" t="0" r="0" b="0"/>
                <wp:wrapNone/>
                <wp:docPr id="43" name="Frame4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harm our business. Moreover, new productivity features to our platform may require substantial investment, and we have no assurance that such investments will be successful. If customers and hosts do not widely adopt our new product experiences, features, and capabilities, or they do not perform as expected, we may not be able to realize a return on our investment. If we are unable to develop, license, or acquire new features and capabilities to our platform on a timely and cost-effective basis, or if such enhancements do not achieve market acceptance, our business would be harmed.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The failure to effectively develop and expand our marketing and sales capabilities could harm our ability to increase our customer base and achieve broader market acceptance of our platform.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increase our customer and host base and achieve broader market acceptance of our products and services will depend to a significant extent on our ability to expand our marketing and sales operations. We plan to continue expanding our sales force and strategic partners, both domestically and internationally. If we are unable to hire a sufficient number of qualified sales personnel in the near term, our future revenue growth and business could be adversely impacted.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Identifying and recruiting qualified sales representatives and training them is time consuming and resource intensive, and they may not be fully trained and productive for a significant amount of time. We also plan to dedicate significant resources to sales and marketing programs, including internet and other online advertising. All of these efforts will require us to invest significant financial and other resources. In addition, the cost to acquire customers and hosts is high due to these marketing and sales efforts. Our business will be harmed if our efforts do not generate a correspondingly significant increase in revenue. We will not achieve anticipated revenue growth from expanding our sales force if we are unable to hire, develop, and retain talented sales personnel, our new sales personnel are unable to achieve desired productivity levels in a reasonable period of time, or if our sales and marketing programs are not effective.</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Unlike traditional communications and collaborations technologies, our services depend on our users’ high-speed broadband access to the internet, usually provided through a cable or digital subscriber line connection. Increasing numbers of users and increasing bandwidth requirements may degrade the performance of our platform due to capacity constraints and other internet infrastructure limitations. As our number of users has grown and their usage of communications capacity has increased, we have been required to make additional investments in network capacity to maintain adequate data transmission speeds, the availability of which may be limited, or the cost of which may be on terms unacceptable to us. If adequate capacity does not continue to be available to us as our user base grows in the future, our network may be unable to achieve or maintain sufficiently high data transmission capacity, reliability, or performance. In addition, if internet service providers and other third parties providing internet services have outages or deteriorations in their quality of service, our users will not have access to our platform or may experience a decrease in the quality of our platform. Furthermore, as the rate of adoption of new technologies increases, the networks our platform relies on may not be able to sufficiently adapt to the increased demand for these services, including ours. Frequent or persistent interruptions could cause current or potential users to believe that our systems or platform are unreliable, leading them to switch to our competitors or to avoid our platform, which could permanently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users who access our platform through mobile devices, such as smartphones and tablets, must have a high-speed connection, such as 3G, 4G, 5G, LTE, satellite, or Wi-Fi, to use our services and applications. Currently, this access is provided by companies that have significant and increasing market power in the broadband and internet access marketplace, including incumbent phone companies, cable companies, satellite companies, and wireless companies. Some of these providers offer products and subscriptions that directly compete with our own offerings, which can potentially give them a competitive advantage. Also, these providers could take measures that degrade, disrupt, or increase the cost of user access to third-party services, including our platform, by restricting or prohibiting the use of their infrastructure to support or facilitate third-party services or by charging increased fees to third parties or the users of third-party services, any of which would make our platform less attractive to users and reduce our revenue.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4, 2018, the Federal Communications Commission (“FCC”) released an order reclassifying broadband internet access as an information service, subject to certain provisions of Title I of the Communications Act. The order requires broadband providers to publicly disclose accurate information regarding network management practices, performance characteristics, and commercial terms of their broadband internet access services sufficient to enable consumers to make informed choices regarding the purchase and use of such services, and entrepreneurs and other small businesses to develop, market, and maintain internet offerings. The new rules went into effect on June 11, 2018. Numerous parties filed judicial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497205"/>
                <wp:effectExtent l="0" t="0" r="0" b="0"/>
                <wp:wrapNone/>
                <wp:docPr id="44" name="Frame4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challenges to the order, and on October 1, 2019, the United States Court of Appeals for the District of Columbia Circuit released a decision that rejected nearly all of the challenges to the new rules, but reversed the FCC’s decision to prohibit all state and local regulation targeted at broadband internet service, requiring case-by-case determinations as to whether state and local regulation conflicts with the FCC’s rules. The court also required the FCC to reexamine three issues from the order but allowed the order to remain in effect, while the FCC conducts that review. On October 27, 2020, the FCC adopted an order concluding that the three issues remanded by the court did not provide a basis to alter its conclusions in the 2018 order. Petitions for reconsideration of this decision are pending and could be reversed by the current FCC after Democrats gain control. In addition, a number of states have adopted or are adopting or considering legislation or executive actions that would regulate the conduct of broadband providers. After a federal court judge denied a request for a preliminary injunction against California’s state-specific network neutrality law, California began enforcing that law on March 25, 2021. A number of other states have adopted or are adopting or considering legislation or executive actions that would regulate the conduct of broadband providers. A similar law in Vermont is subject to a pending challenge, but went into effect on April 20, 2022 and the challenge has been suspended until an appeal in another case addressing state powers to adopt internet regulation is resolved. We cannot predict whether the FCC order or other state initiatives will be enforced, modified, overturned, or vacated by legal action of the court, federal legislation, or the FCC. Under the FCC’s new rules, broadband internet access providers may be able to charge web-based services such as ours for priority access or favor services offered by our competitors or by the internet access providers themselves, which could result in increased costs and a loss of existing customers and hosts, impair our ability to attract new customers and hosts, and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If there are changes to the regulatory structures in the United States or elsewhere that reduce investment in infrastructure by internet service providers, including a return of the network neutrality regulations that were repealed, any impacts of reduced investment that reduce network capacity or speed could have a negative effect on our business, operating results, and financial condition.</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security measures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hosts curtailing or ceasing their use of our products, our incurring significant liabilities, and our business being harmed.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our business, we and the third parties upon which we rely collect, receive, store, process, generate, use, transfer, disclose, make accessible, protect, secure, dispose of, transmit, and share confidential, proprietary, and sensitive data, including data of ours, our customers, and our users, the data which includes personal information, customer and user content, health-related data, intellectual property, trade secrets, business plans, and financial information. We and the third parties upon which we rely face a variety of evolving threats, including but not limited to ransomware attacks, which could cause security incidents. Security incidents have occurred in the past and may occur in the future, resulting in unauthorized access to, loss or unauthorized disclosure of, or inadvertent disclosure of confidential, proprietary, and sensitive information.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Cyber-attacks, other malicious internet-based activity, online and offline fraud, and other similar activities threaten the confidentiality, integrity, and availability of our proprietary, confidential, and sensitive data and information technology systems, and those of the third parties upon which we rely. Cloud-based platform providers of products and services have been and are expected to continue to be targeted.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 and nation-state supported actors, and advanced persistent threat intrusions.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cyberattacks, that could materially disrupt our systems and operations, supply chain, and ability to provide our services. We may be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(such as credential stuffing), personnel misconduct or error, supply-chain attacks, software bugs, server malfunctions, software or hardware failures, loss of data or other information technology assets, adware, telecommunications failures, earthquakes, fires, floods, and other similar threats. Ransomware attacks, including those perpetrated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Additionally, our platform, products, and services are relied on by a large number of companies worldwide and as a result, if our platform, products, or solutions are compromised, a significant number or all of our customers and their data could be simultaneously affected. The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497205"/>
                <wp:effectExtent l="0" t="0" r="0" b="0"/>
                <wp:wrapNone/>
                <wp:docPr id="45" name="Frame4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liability and associated consequences we could suffer as a result of such a large-scale event could be catastrophic and result in irreparable harm.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reliance on third-party service providers could introduce new cybersecurity risks and vulnerabilities, including supply-chain attacks, and other threats to our business operations. We rely on third-party service providers and technologies to operate critical business systems to process confidential, proprietary, and sensitive data in a variety of contexts, including, without limitation, cloud-based infrastructure, data center facilities, encryption and authentication technology, employee email, content delivery to customers, and other functions. We also rely on third-party service providers to provide other products, services, parts, or otherwise to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Any of the previously identified or similar threats could cause a security incident or other interruption that could result in unauthorized, unlawful, or accidental acquisition, modification, destruction, loss, alteration, encryption, disclosure of, or access to confidential, proprietary, or sensitive data or our information technology systems, or those of the third parties upon whom we rely. A security incident or other interruption could disrupt our ability (and that of third parties upon whom we rely) to provide our services. We may expend significant resources or modify our business activities to try to protect against security incidents. Additionally, certain privacy, data protection, and information security obligations may require us to implement and maintain specific security measures or industry-standard or reasonable security measures to protect our information technology systems and sensitive data.</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our security measures are compromised, our reputation could be damaged; our data, information or intellectual property, or that of our customers, may be destroyed, stolen, or otherwise compromised; our business may be harmed; and we could incur significant liability. We take steps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 We have not always been able in the past and may be unable in the future to anticipate or prevent threats or techniques used to detect or exploit vulnerabilities in our services or software or third-party software, or obtain unauthorized access to or compromise our systems.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security researchers and other individuals have in the past and will continue in the future to actively search for and exploit actual and potential vulnerabilities in our software or services. This activity may increase because of increased demand for our services and increased media scrutiny of our unified communications and collaboration platform, and can lead to additional adverse publicity, reputational harm, extortion threats, business and operational interruptions, security incidents, additional expenses, litigation, regulatory investigations and actions, and substantial harm to our business, some of which we have experienced during the COVID-19 pandemic. For example, in July 2019, a security researcher published a blog highlighting concerns with the Zoom Meeting platform, including certain video-on features. We were able to release updates to the software addressing these vulnerabilities, and we are not aware of any customers being affected or meetings compromised by these vulnerabilities. In most cases customers are responsible for installing this update to the software, and their software is subject to these vulnerabilities until they do so. Additionally, in March 2020, a security researcher reported certain vulnerabilities related to our macOS version that could have allowed an unauthorized person to gain root access to a user’s system. Given the nature of our business and operations, our products and services will inevitably contain vulnerabilities or critical security defects that have not been identified or remediated and cannot be disclosed without compromising security. We have identified vulnerabilities in our products and services in the past, and we expect that we will continue to identify vulnerabilities in the future. We cannot be certain that we will be able to address any vulnerabilities in our software products and services that we may become aware of in the future, or there may be delays in developing patches that can be effectively deployed to address vulnerabilities.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continue to make prioritization decisions to determine which vulnerabilities or security defects to fix and the timing of these fixes, which could result in an exploit that compromises security. Further, in many cases, customers are responsible for installing our software updates, and until they do so, their service remains subject to the vulnerabilities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497205"/>
                <wp:effectExtent l="0" t="0" r="0" b="0"/>
                <wp:wrapNone/>
                <wp:docPr id="46" name="Frame4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addressed in the software update. Vulnerabilities and critical security defects, errors in remediating vulnerabilities or security defects, failure of third-party providers to remediate vulnerabilities or security defects, or customers not deploying security releases or deciding not to install software updates could result in claims of liability against us, damage our reputation, or otherwise harm our business. Security incidents and vulnerabilities, and concerns regarding privacy, data protection, and information security may also cause some of our customers and hosts to stop using our solutions and fail to upgrade or renew their subscriptions. Failures to meet customers’ and hosts’ expectations with respect to security and confidentiality of their data and information could damage our reputation and affect our ability to retain customers and hosts, attract new customers and hosts, and grow our business. In addition, cybersecurity events or security vulnerabilities could result in breaches of our agreements with customers, lawsuits against us (including class action litigation), regulatory investigations or actions, and significant increases in costs, including costs for remediating the effects of such an event or vulnerability, lost revenue due to network downtime, and a decrease in customer, host, and user trust, increases in insurance premiums due to cybersecurity incidents, increased costs to address cybersecurity issues, and attempts to prevent future incidents, fines, penalties, judgments and settlements, and attorney fees, and harm to our business and our reputation because of any such incident.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governments have enacted laws requiring companies to provide notice of data security incidents involving certain types of personal information. Such laws are inconsistent, and compliance in the event of a widespread data breach is costly. In addition, some of our customers require us to notify them of data security breaches.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Actual or perceived security compromises experienced in our industry or by our competitors, our customers, a third party upon whom we rely, or us could cause us to experience adverse consequences, such as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customers to stop using our services, deter new customers from using our services, and negatively impact our ability to grow and operate our business.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while more than half of our employees are based in the United States, like many similarly situated technology companies, we have a sizable number of research and development personnel in China, which has exposed and could continue to expose us to governmental and regulatory as well as market and media scrutiny regarding the actual or perceived integrity of our platform or data security and privacy features.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Increased usage of our services, novel uses of our services, and additional awareness of Zoom and our brand could lead to greater public scrutiny of, press related to, or a negative perception of our information security and potential vulnerabilities associated with, our platform. For example, during the COVID-19 pandemic, we opened our platform to unprecedented numbers of first-time users, leading to challenges for users who did not have full IT support or established protocols for security and privacy like our larger customers. As a result, we have experienced negative publicity related to meeting disruptions and security and privacy issues, including on encryption. Such unfavorable publicity and scrutiny could result in material reputational harm, a loss of customer and user confidence, increased regulatory or litigation exposure, additional expenses, and other harm to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any limitations of liability provisions in our subscription agreements, terms of use or other agreements would be enforceable or adequate or would otherwise protect us from any such liabilities or damages with respect to any particular claim. We also cannot be sure that our existing general liability insurance coverage and coverage for cyber liability 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are not covered or exceed available insurance coverage, or the occurrence of changes in our insurance policies, including premium increases or the imposition of large deductible or co-insurance requirements, could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business depends on a strong brand, and if we are not able to maintain and enhance our brand, our ability to expand our base of users will be impaired and our business will be harmed.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maintaining and enhancing the Zoom brand is critical to expanding our base of customers, hosts, and users and, in particular, conveying to users and the public that the Zoom brand consists of a broad communications and collaboration platform, rather than just one distinct product. For example, if users view the Zoom brand primarily as a video conferencing point solution or utility rather than as a platform that connects people through video, voice, chat and content sharing, or have a negative perception of our privacy and security, then our market position may be detrimentally impacted.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497205"/>
                <wp:effectExtent l="0" t="0" r="0" b="0"/>
                <wp:wrapNone/>
                <wp:docPr id="47" name="Frame4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anticipate that, as our market becomes increasingly competitive, maintaining and enhancing our brand may become increasingly difficult and expensive. Any unfavorable publicity or perception of our platform, including from any delays or interruptions in service due to capacity constraints stemming from increased usage, from our privacy or security features, because of sentiment towards the providers of communication and collaboration technologies generally, or from our integration of new product functionalities using technologies with heightened public interest, could adversely affect our reputation and our ability to attract and retain hosts. Similarly, any unfavorable perception of our company, including due to any actual or perceived violation by our employees of our policies, such as our Code of Business Conduct and Ethics, could cause us reputational harm and customer loss, impact our financial performance, expose us to litigation, and harm our business, among other things. If we fail to promote and maintain the Zoom brand, including consumer and public perception of our platform or our company, or if we incur excessive expenses in this effort, our business will be harmed.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cannot assure you that we will successfully manage our growth.</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Since our founding in 2011, our employee headcount both in the United States and internationally has increased significantly over time. The growth and expansion of our business places a continuous, significant strain on our management, operational, and financial resources. Further growth of our operations to support our user base, our expanding third-party relationships, our information technology systems, and our internal controls and procedures may not be adequate to support our operations. In addition, as we continue to grow, we face challenges integrating, developing, and motivating our employee base in various countries around the world. Many of our personnel work remotely, which may lead to challenges in productivity and collaboration. Certain members of our management have not previously worked together for an extended period of time, and some do not have prior experience managing a public company, which may affect how they manage our growth effectively.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from time to time, we implement organizational changes to pursue greater efficiency and realign our business and strategic priorities. In February 2023, we commenced certain restructuring actions (the “Restructuring Plan”), designed to reduce operating costs and continue advancing our ongoing commitment to profitable growth. We may encounter challenges in the execution of these efforts, and these challenges could impact our financial results.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the Restructuring Plan will reduce operating costs and improve operating margins, we cannot guarantee that the Restructuring Plan will achieve or sustain the targeted benefits, or that the benefits, even if achieved, will be adequate to meet our long-term profitability and operational expectations. As a result of these actions, we will incur additional charges in the near term, including those related to employee transition, severance payments, employee benefits, and stock-based compensation. Additional risks associated with the continuing impact of the Restructuring Plan include employee attrition beyond our intended reduction in force and adverse effects on employee morale (which may also be further exacerbated by actual or perceived declining value of equity awards), diversion of management attention, adverse effects to our reputation as an employer (which could make it more difficult for us to hire new employees in the future), and potential failure or delays to meet operational and growth targets due to the loss of qualified employees. If we do not realize the expected benefits of our restructuring efforts on a timely basis or at all, our business, results of operations and financial condition could be adversely affected.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historical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would be harmed.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ability to sell subscriptions to our platform could be harmed by real or perceived material defects or errors in our platform.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software technology underlying our platform is inherently complex and may contain material defects or errors, particularly when new products are first introduced or when new features or capabilities are released. We have from time to time found defects or errors in our platform, and new defects or errors in our existing platform or new products may be detected in the future by us or our users. There can be no assurance that our existing platform and new products will not contain defects. Any real or perceived errors, failures, vulnerabilities, or bugs in our platform have in the past resulted and could in the future result in negative publicity or lead to data security, access, retention, or other performance issues, all of which could harm our business. The costs incurred in correcting such defects or errors may be substantial and could harm our business. Moreover, the harm to our reputation and legal liability related to such defects or errors may be substantial and would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also utilize hardware purchased or leased and software and services licensed from third parties to offer our platform. Any defects in, or unavailability of, our or third-party hardware, software, or services that cause interruptions to the availability of our services, loss of data, or performance issues could, among other things: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cause a reduction in revenue or delay in market acceptance of our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497205"/>
                <wp:effectExtent l="0" t="0" r="0" b="0"/>
                <wp:wrapNone/>
                <wp:docPr id="48" name="Frame4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require us to issue refunds to our customers or expose us to claims for damages;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cause us to lose existing hosts and make it more difficult to attract new customers and hosts;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divert our development resources or require us to make extensive changes to our platform, which would increase our expenses;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increase our technical support costs;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harm our reputation and brand.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If we were to lose the services of our Chief Executive Officer or other members of our senior management team, we may not be able to execute our business strategy.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in a large part upon the continued service of key members of our senior management team. In particular, our founder, President and Chief Executive Officer, Eric S. Yuan, is critical to our overall management, as well as the continued development of our products, services, the Zoom platform, our culture, our strategic direction, engineering, and our global operations, including regions such as the United States, Europe, Middle East, and Africa (“EMEA”), and Asia Pacific (“APAC”). All of our executive officers are at-will employees, and we do not maintain any key person life insurance policies. Any changes in our senior management team in particular, even in the ordinary course of business, may be disruptive to our business. Such changes may result in a loss of institutional knowledge and cause disruptions to our business. If our senior management team fails to work together effectively or execute our plans and strategies on a timely basis as a result of management turnover or otherwise, our business could be harmed.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The failure to attract and retain additional qualified personnel or to maintain our happiness-centric company culture could harm our business and culture and prevent us from executing our business strategy.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 execute our business strategy, we must attract and retain highly qualified personnel. Competition for executives, software developers, sales personnel, and other key employees in our industry is intense. In particular, we compete with many other companies for software developers with high levels of experience in designing, developing, and managing software for communication and collaboration technologies, as well as for skilled sales and operations professionals. At times, we have experienced, and we may continue to experience, difficulty in hiring and retaining employees with appropriate qualifications, and we may not be able to fill positions in a timely manner or at all, which may be exacerbated by our recent restructuring actions and any similar future actions. In addition, our recruiting personnel, methodology, and approach may need to be altered to address a changing candidate pool and profile. We may not be able to identify or implement such changes in a timely manner. In addition, we may experience employee turnover as a result of our recent restructuring actions. New hires require training and take time before they achieve full productivity. New employees may not become as productive as we expect, and we may be unable to hire or retain sufficient numbers of qualified individuals. If we fail to attract new personnel or fail to retain and motivate our current personnel, our business could be harmed.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Many of the companies with which we compete for experienced personnel have greater resources than we have, and some of these companies may offer more attractive compensation packages. Particularly in the San Francisco Bay Area, job candidates and existing employees carefully consider the value of the equity awards they receive in connection with their employment.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may limit our ability to recruit internationally. Moreover, as we plan to reopen our offices, vaccine mandates and similar government orders and restrictions could result in employee attrition and difficulty in recruiting. We must also continue to retain and motivate existing employees through our compensation practices, company culture, and career development opportunities. If we fail to attract new personnel or to retain our current personnel, our business would be harmed.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a critical component to our success and our ability to retain our best people is our culture. As we continue to grow and develop a public company infrastructure, we may find it difficult to maintain our happiness-centric company culture. Transparency is also an important part of our culture, and one that we practice every day. As we continue to grow, maintaining this culture of transparency will present its own challenges that we will need to address, including the type of information and level of detail that we share with our employees.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as our stock price has fluctuated since our initial public offering (“IPO”), employees joining us at different times could have significant disparities in proceeds from sales of our equity in the public markets, which could create disparities in wealth among our employees, which may harm our culture and relations among employees and our business. Further, the volatility of our stock price may make our equity compensation less attractive to current and potential employees, and could contribute to increased turnover or difficulties in hiring.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497205"/>
                <wp:effectExtent l="0" t="0" r="0" b="0"/>
                <wp:wrapNone/>
                <wp:docPr id="49" name="Frame4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have significant and expanding operations outside the United States, which may subject us to increased business, regulatory and economic risks that could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platform addresses the communications and collaboration needs of users worldwide, and we see international expansion as a major opportunity. Our revenue from APAC and EMEA collectively represented 29% and 31% of our revenue for the six months ended July 31, 2023 and 2022, respectively. We plan to add local sales support in further select international markets over time. Our customers include multinational corporations with global users, and we expect to continue to expand our international operations, which includes opening offices in new jurisdictions and providing our platform in additional languages to support the needs of these multinational corporations. Any new markets or countries into which we attempt to allow users to access our services or sell subscriptions to our platform may not be receptive. If we are not able to satisfy certain government- and industry-specific requirements, we have in the past and may in the future experience service outages or other adverse consequences that would impair our ability to expand further into certain markets. For example, the Chinese government has at times turned off our service in China without warning and requested that we take certain steps prior to restoring our service, such as designating an in-house contact for law enforcement requests and transferring China-based user data housed in the United States to a data center in China. In addition, our ability to manage our business and conduct our operations internationally in the future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We also face risks related to recruiting and retaining talented and capable employees outside the United States, including complying with complex employment- and compensation-related laws, regulations, and practices in these international jurisdictions, and maintaining our company culture across all of our offices. We may also be unable to grant equity compensation to employees in certain countries outside of the United States due to the complexities of local laws and regulations. This may require us to offer equally compelling alternatives to supplement our compensation, such as long-term cash compensation plans or increased short-term cash compensation, in order to continue to attract and retain employees in these jurisdictions.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Operating internationally subjects us to new risks and increases risks that we currently face, including risks associated with:</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compliance with applicable international laws and regulations, including laws and regulations with respect to privacy, information security, telecommunications requirements, data protection, consumer protection, and unsolicited email, and the risk of penalties to us and individual members of management or employees if our practices are deemed to be out of compliance;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operating in foreign jurisdictions where the government may impede or interrupt our ability to provide our services;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management of an employee base in jurisdictions that may not give us the same employment and retention flexibility as the United States;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operating in jurisdictions that do not protect intellectual property rights to the same extent as the United States and the practical enforcement of such intellectual property rights outside of the United States;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foreign government interference with our non-core intellectual property that resides outside of the United States, such as the risk of changes in foreign laws that could restrict our ability to use our intellectual property outside of the foreign jurisdiction in which we developed it;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integration with partners outside of the United States;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compliance by us and our business partners with anti-corruption laws, import and export control laws, tariffs, trade barriers, economic sanctions, and other regulatory limitations on our ability to provide our platform in certain international markets;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foreign exchange controls that might require significant lead time in setting up operations in certain geographic territories and might prevent us from repatriating cash earned outside the United States;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political and economic instability, including as a result of the United Kingdom's (“U.K.”) withdrawal from the European Union (“EU”), and other political tensions between countries in which we do business;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changes in diplomatic and trade relationships, including the continuing deterioration in diplomatic relations between the United States and China and the continuing war between Russia and Ukraine, which can and has resulted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497205"/>
                <wp:effectExtent l="0" t="0" r="0" b="0"/>
                <wp:wrapNone/>
                <wp:docPr id="50" name="Frame5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imposition of new trade restrictions, trade protection measures, import or export requirements, trade embargoes, and other trade barriers;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generally longer payment cycles and greater difficulty in collecting accounts receivable, a risk that may increase as a result of recent macroeconomic conditions, such as high inflation, recessionary environments, recent bank failures and related uncertainties, and fluctuations in foreign currency exchange rates, weighing on our customers' ability to pay for our service on a timely basis;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double taxation of our international earnings and potentially adverse tax consequences due to changes in the income and other tax laws of the United States or the international jurisdictions in which we operate, including the imposition of digital services taxes;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costs of doing business internationally, including increased accounting, travel, infrastructure, and legal compliance costs.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above, following Russia’s military invasion of Ukraine in February 2022, the United States, European Union, and other nations announced various sanctions against Russia and export restrictions against Russia and Belarus. Such restrictions include blocking sanctions on some of the largest state-owned and private Russian financial institutions, and their removal from the Society for Worldwide Interbank Financial Telecommunication, or the SWIFT, payment system. The invasion of Ukraine and the retaliatory measures that have been taken, and could be taken in future, by the United States, NATO, and other countries have created global security concerns that could result in a regional conflict and otherwise have a lasting impact on regional and global economies, any or all of which could adversely affect our business, including preventing us from performing existing contracts, pursuing new business opportunities, or receiving payments for services already provided to customers.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In addition, legal requirements in the United States and other countries may come into conflict with each other making it challenging or impossible to comply with both countries’ legal requirements simultaneously.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Geopolitical tension between the United States and China, or between other countries and China, may intensify and lead to increased scrutiny of our business operations in China.</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a significant number of employees, primarily engineers, in China, where personnel costs are less expensive than in many other geographies. The number or proportion of our employees in China has fluctuated in the past and may fluctuate in the future due to a number of factors, including macroeconomic changes and internal restructuring. Geopolitical and national security tensions between the United States and China, or between other countries and China, have in the past, currently are and could in the future lead to increased scrutiny of our business operations in China.</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June and July 2020, we received subpoenas from the Department of Justice’s U.S. Attorney’s Office for the Eastern District of New York (“EDNY”) and the Department of Justice’s U.S. Attorney’s Office for the Northern District of California (“NDCA”). The EDNY and NDCA subpoenas requested information about (among other things) our interactions with foreign governments and/or foreign political parties, including the Chinese government, as well as about storage of and access to user data, including the use of servers based overseas. In addition, the EDNY subpoena requested information about the actions we took relating to the videoconference commemorations of the crackdown on the 1989 Tiananmen Square democracy protests. The NDCA subpoena also requested documents and information about (among other things) contacts between our employees and representatives of the Chinese government, and any attempted or successful influence by any foreign government in our policies, procedures, practices, and actions as they relate to users in the United States. We are fully cooperating with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pStyle w:val="TextBody"/>
        <w:bidi w:val="0"/>
        <w:spacing w:lineRule="auto" w:line="252"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recognize revenue from subscriptions to our platform over the terms of these subscriptions. Consequently, increases or decreases in new sales may not be immediately reflected in our results of operations and may be difficult to discern.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497205"/>
                <wp:effectExtent l="0" t="0" r="0" b="0"/>
                <wp:wrapNone/>
                <wp:docPr id="51" name="Frame5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revenue from subscriptions to our platform over the terms of these subscriptions. As a result, a portion of the revenue we report in each quarter is derived from the recognition of deferred revenue relating to subscriptions entered into during previous quarters. Consequently, a decline in new or renewed subscriptions in any single quarter may have an immaterial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portion of our costs is expensed as incurred, while revenue is recognized over the term of the subscription. As a result, growth in the number of new customers and hosts could continue to result in our recognition of higher costs and lower revenue in the earlier periods of our subscriptions. Finally, our subscription-based revenue model also makes it difficult for us to rapidly increase our revenue through additional sales in any period, as revenue from new customers or from existing customers that increase their use of our platform or upgrade to a higher-priced tier of Zoom Meeting plan must be recognized over the applicable subscription term.</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Any failure to offer high-quality support for our customers and hosts may harm our relationships with our customers and hosts and, consequently,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Increased user demand for support may result in increased costs that may harm our results of operations. For example, during the COVID-19 pandemic we saw surging demand requiring us to allocate additional resources to support our expanded user base, including many hosts and customers who are using our platform for the first time. In addition, as we continue to grow our operations and support our global user base, we need to be able to continue to provide efficient support that meets our customers and hosts’ needs globally at scale. As the number of our users has grown significantly, it has put additional pressure on our support organization. If we are unable to provide efficient user support globally at scale or if we need to hire additional support personnel, our business may be harmed. Our new customer and host signups are highly dependent on our business reputation and on recommendations from our existing customers and hosts. Any failure to maintain high-quality support, or a market perception that we do not maintain high-quality support for our customers and hosts, would harm our business.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utilize our network of resellers to sell our products and services, and our failure to effectively develop, manage, and maintain our indirect sales channels would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success depends on our continued ability to establish and maintain a network of channel relationships, and we expect that we will need to maintain and expand our network as we expand into international markets. A small portion of our revenue is derived from our network of sales agents and resellers, which we refer to collectively as resellers, many of which sell or may in the future decide to sell their own products and services or services from other communications solutions providers. Loss of or reduction in sales through these third parties could reduce our revenue. Our competitors may in some cases be effective in causing our reseller or potential reseller to favor their products and services or prevent or reduce sales of our products and services. Recruiting and retaining qualified resellers in our network and training them in our technology and product offerings requires significant time and resources. If we decide to further develop and expand our indirect sales channels, we must continue to scale and improve our processes and procedures to support these channels, including investment in systems and training. Many resellers may not be willing to invest the time and resources required to train their staff to effectively sell our platform. If we fail to maintain relationships with our resellers, fail to develop relationships with new resellers in new markets, or expand the number of resellers in existing markets or fail to manage, train, or provide appropriate incentives to our existing resellers, our ability to increase the number of new customers and hosts and increase sales to existing customers could be adversely impacted, which would harm our business.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results of operations, which are reported in U.S. dollars, could be adversely affected if currency exchange rates fluctuate substantially in the future.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sell to customers globally and have international operations primarily in Australia, China, and the U.K. As we continue to expand our international operations, we will become more exposed to the effects of fluctuations in currency exchange rates. Although the majority of our cash generated from revenue is denominated in U.S. dollars, a portion of our revenue is denominated in foreign currencies, and our expenses are generally denominated in the currencies of the jurisdictions in which we conduct our operations. For the six months ended July 31, 2023 and 2022, 19.3% and 20.7% of our revenue, respectively, and 13.3% and 12.6% of our expenses, respectively, were denominated in currencies other than U.S. dollars.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For example, for the quarter ended July 31, 2023,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497205"/>
                <wp:effectExtent l="0" t="0" r="0" b="0"/>
                <wp:wrapNone/>
                <wp:docPr id="52" name="Frame5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 was lower than anticipated in part due to the strengthening of the U.S. dollar. We do not currently maintain a program to hedge exposures to non-U.S. dollar currencies.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sales to government entities and other government contractors are subject to a number of additional challenges and risks.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selling our products and services to U.S. federal and state and foreign governmental agency customers, which may occur through sales to other companies that re-sell our services to government customers and/or through direct sales to government entities. While we are a U.S. Federal Risk and Authorization Management Program (“FedRAMP”) authorized SaaS service, selling to government entities and other government contractors presents a number of unique challenges and risks including the following: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selling to governmental entities can be more competitive, expensive, and time-consuming than selling to private entities, often requiring significant up-front time and expense and ongoing compliance costs without any assurance that these efforts will generate a sale;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government certification requirements may change, or we may be unable to achieve or sustain one or more government certifications, including FedRAMP, which may restrict our ability to sell into the government sector until we have attained such certificates;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contracts with governmental entities and other government contractors, including resellers in the government market, contain terms that differ less favorably from what we generally agree to in our standard agreements, including, terms and conditions required by regulation that are not negotiable with the customer;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non-compliance with terms and conditions of government contracts, or with representations or certifications made in connection with government contracts, can result in significantly more adverse consequences than we typically would expect in the commercial market, including, depending on the circumstances, criminal liability, liability under the civil False Claims Act, and/or suspension or debarment from doing business with governmental entities;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government demand and payment for our products may be influenced, among other things, by public sector budgetary cycles and funding authorizations, with funding reductions or delays having an adverse impact on public sector demand for our products;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government-imposed vaccine mandates could result in increased attrition and difficulties in recruiting, and non-compliance with any such mandates could restrict our ability to do business with governmental entities.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extent that we become more reliant on contracts with government entities and/or other government contractors in the future, our exposure to such risks and challenges could increase, which in turn could adversely impact our business.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May 2021, the Biden Administration issued an Executive Order requiring federal agencies to implement additional information technology security measures, including, among other things, requiring agencies to adopt multifactor authentication and encryption for data at rest and in transit to the maximum extent consistent with Federal records laws and other applicable laws. The Executive Order will lead to the development of secure software development practices and/or criteria for a consumer software labeling program, which will reflect a baseline level of secure practices, for software that is developed and sold to the U.S. federal government. Software developers will be required to provide visibility into their software and make security data publicly available. Due to this Executive Order, federal agencies may require us to modify our cybersecurity practices and policies, thereby increasing our compliance costs. If we are unable to meet the requirements of the Executive Order, our ability to work with the U.S. government may be impaired and may result in a loss of revenue.</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current platform, as well as products, features, and functionality that we may introduce in the future, may not be widely accepted by our customers and hosts or may receive negative attention or may require us to compensate or reimburse third parties, any of which may lower our margins and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engage, retain, and increase our base of customers and hosts and to increase our revenue will depend on our ability to successfully create new products, features, and functionality, both independently and together with third parties. We may introduce significant changes to our existing platform or develop and introduce new and unproven products, including technologies with which we have little or no prior development or operating experience. These new products and updates may not perform as expected, have attracted and may in the future attract negative attention if they involve technologies with heightened public interest, may fail to engage, retain, and increase our base of customers and hosts or may create lag in adoption of such new products. New products may initially suffer from performance and quality issues that may negatively impact our ability to market and sell such products to new and existing customers and hosts. The short- and long-term impact of any major change to our products, or the introduction of new products, is particularly difficult to predict. If new or enhanced products fail to engage, retain, and increase our base of customers and hosts, or do not perform as expected, we may fail to generate sufficient revenue, operating margin, or other value to justify our investments in such products, any of which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97205"/>
                <wp:effectExtent l="0" t="0" r="0" b="0"/>
                <wp:wrapNone/>
                <wp:docPr id="53" name="Frame5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harm our business in the short term, long term, or both. In addition, our current platform, as well as products, features, and functionality that we may introduce in the future, may require us to compensate or reimburse third parties. For example, our cloud phone system, Zoom Phone, is a PBX phone solution that requires us to compensate carriers that operate the PSTN. As a result, a portion of the payments that we will receive from customers that will use our Zoom Phone product will be allocated towards compensating these telephone carriers, which lowers our margins for Zoom Phone as compared to our other products. In addition, new products that we introduce in the future may similarly require us to compensate or reimburse third parties, all of which would lower our profit margins for any such new products. If this trend continues with our new and existing products, including Zoom Phone, it could harm our business.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If we experience excessive fraudulent activity or cannot meet evolving credit card association merchant standards, we could incur substantial costs and lose the right to accept credit cards for payment, which could cause our customer and paid host base to decline significantly.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large portion of our customers authorize us to bill their credit card accounts directly for our products. If customers pay for their subscriptions with stolen credit cards, we could incur substantial third-party vendor costs 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our products,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If we fail to maintain compliance with current merchant standards or fail to meet new standards, the credit card associations could fine us or terminate their agreements with us, and we would be unable to accept credit cards as payment for our products. Our products may also be subject to fraudulent usage and schemes, including third parties accessing customer accounts or viewing and recording data from our communications solutions. These fraudulent activities can result in unauthorized access to customer accounts and data, unauthorized use of our products, and charges and expenses to customers for fraudulent usage. We may be required to pay for these charges and expenses with no reimbursement from the customer, and our reputation may be harmed if our products are subject to fraudulent usage. Although we implement multiple fraud prevention and detection controls, we cannot assure you that these controls will be adequate to protect against fraud. Substantial losses due to fraud or our inability to accept credit card payments would cause our customer base to significantly decrease and would harm our business.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may have exposure to greater than anticipated tax liabilities, which could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excess tax benefits of stock-based compensation expense; changes in the valuation of, or our ability to use, deferred tax assets; the applicability of withholding taxes; and effects from acquisitions.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taxes on our condensed consolidated financial statements could also be impacted by changes in accounting principles, changes in U.S. federal, state, or foreign tax laws applicable to corporate multinationals (including provisions of the recently enacted federal tax legislation titled the Inflation Reduction Act), other fundamental changes in tax law currently being considered by many countries, and changes in taxing jurisdictions’ administrative interpretations, decisions, policies, and positions. In addition, we are subject to review and audit by U.S. federal, state, local, and foreign tax authorities. Such tax authorities may disagree with tax positions we take, and if any such tax authority were to successfully challenge any such position, our business could be adversely impacted.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Tax Cuts and Jobs Act of 2017 requires the capitalization and amortization of research and development expenses effective for years beginning after December 31, 2021. The mandatory capitalization requirement increased our cash tax liabilities but also decreased our effective tax rate due to increasing the foreign-derived intangible income deduction. Absent a change in legislation, we expect the mandatory capitalization requirement will continue to have a material impact on our cash flows.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also be subject to additional tax liabilities due to changes in non-income-based taxes resulting from changes in U.S. federal, state, local, or foreign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 Further, the Organization for Economic Co-operation and Development (“OECD”) and the Inclusive Framework of G20 and other countries have issued proposals related to the taxation of the digital economy. In addition, several countries have proposed or enacted Digital Services Taxes (“DST”), many of which would apply to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497205"/>
                <wp:effectExtent l="0" t="0" r="0" b="0"/>
                <wp:wrapNone/>
                <wp:docPr id="54" name="Frame5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derived from digital services. Future developments related to such proposals, in particular any unilateral actions outside of the OECD's Inclusive Framework such as the imposition of DST rules, could have an adverse impact on our business by increasing our future tax obligations.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have acquired and may continue to acquire other businesses or receive offers to be acquired, which could require significant management attention, disrupt our business, or dilute stockholder value.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made and may continue in the future to make acquisitions of other companies, products, and technologies. We have limited experience in acquisitions.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have a limited operating history at the current scale of our business, which makes it difficult to evaluate our prospects and future results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year 2021, we experienced rapid growth in usage of our unified communications and collaboration platform largely due to the COVID-19 pandemic. This usage dramatically changed the scale of our business, and we have a limited operating history at the current scale of our business. As a result, our ability to forecast our future results of operations is limited and subject to a number of uncertainties, including our ability to plan for and model future growth and expenses. Our historical revenue growth should not be considered indicative of our future performance. Further, in future periods, our revenue growth could continue to slow or our revenue could decline for a number of reasons, including any reduction in demand for our platform; increased competition; contraction of our overall market; our inability to accurately forecast demand for our platform and plan for capacity constraints; or our failure, for any reason, to capitalize on growth opportunities or to adapt and respond to inflationary factors affecting our business or future economic recession. The changes the COVID-19 pandemic fostered on the way companies operate, including the shifts to remote and hybrid work have limited our ability to forecast revenue, costs, and expenses due to the uncertainty around how companies choose to operate in the future, including the impacts of a remote and hybrid workplace.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would be harmed.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rely on data from tools to calculate certain of our key business metrics. Real or perceived inaccuracies in such metrics may harm our reputation and negatively affect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track our key business metrics with tools that are not independently verified by any third party. Our tools have limitations, and our methodologies for tracking these metrics may change over time, which could result in unexpected changes to our performance metrics, including the key metrics we report. If the tools we use to track these metrics over- or undercount performance or contain errors, the data we report may not be accurate and our understanding of certain details of our business may be distorted, which could affect our longer-term strategies.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continually seeking to improve our ability to measure our key business metrics, and regularly review our processes to assess potential improvements.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97205"/>
                <wp:effectExtent l="0" t="0" r="0" b="0"/>
                <wp:wrapNone/>
                <wp:docPr id="55" name="Frame5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Risks Related to Laws and Regulations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The actual or perceived failure by us, our customers, partners or vendors to comply with stringent and evolving privacy, data protection, and information security laws, regulations, standards, policies, and contractual obligations could harm our reputation and business or subject us to significant fines and liability.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collect, receive, store, process, generate, use, transfer, disclose, make accessible, protect, secure, dispose of, transmit, and share confidential, proprietary, and sensitive information, including personal information, customer and user content, business data, trade secrets, intellectual property, third-party data, business plans, transactions, financial information Our data processing activities subject us to numerous privacy, data protection, and information security obligations, such as various laws, regulations, guidance, industry standards, external and internal privacy and security policies, and contractual requirements.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example, in June 2020, we received a grand jury subpoena from the Department of Justice’s U.S. Attorney’s Office for the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relating to videoconference commemorations of the crackdown on the 1989 Tiananmen Square democracy protests. In July 2020, we received subpoenas from the Department of Justice’s U.S. Attorney’s Office for the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all of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federal, state, and local governments have enacted numerous privacy, data protection, and information security laws, including data breach notification laws, personal data privacy laws, consumer protection laws (e.g., Section 5 of the Federal Trade Commission Act), and other similar laws (e.g., wiretapping laws). For example, the California Consumer Privacy Act of 2018, as amended by the California Privacy Rights Act of 2020 (“CPRA”) (collectively, “CCPA”) applies to personal information of consumers, business representatives, and employees, and requires businesses to provide specific disclosures in privacy notices and honor requests of California residents to exercise certain privacy rights. The CCPA provides for administrative fines of up to $7,500 per violation and allows private litigants affected by certain data breaches to recover significant statutory damages. In addition, the CPRA expands the CCPA’s requirements, including by adding a new right for individuals to correct their personal information and establishing a new regulatory agency to implement and enforce the law. Many states such as Virginia, Colorado, Utah and Connecticut have similarly enacted comprehensive privacy, data protection and information security laws, that emulate the CCPA in many respects. Similar laws are being considered in several other states, as well as at the federal and local levels. These developments may further complicate compliance efforts and increase legal risk and compliance costs for us and the third parties upon whom we rely. Under various laws and other obligations related to privacy, data protection, and information security, we may be required to obtain certain consents to process personal information. Our inability or failure to do so could result in adverse consequences, including class action litigation and mass arbitration demands.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 an increasing number of laws, regulations, and industry standards may govern related to privacy, data protection, and information security. For example, the European Union’s General Data Protection Regulation (“EU GDPR”), the United Kingdom’s GDPR (“UK GDPR”), Brazil’s General Data Protection Law (Lei Geral de Proteção de Dados Pessoais, or “LGPD”) (Law No. 13,709/2018), and China’s Personal Information Protection Law (“PIPL”) impose strict requirements for processing personal information. For example, under the EU GDPR, companies may face temporary or definitive bans on data processing and other corrective actions; fines of up to 20 million Euros under the EU GDPR and 17.5 million pounds sterling under the UK GDPR, or 4% of annual global revenue, in each case, whichever is greater; or private litigation related to processing of personal information brought by classes of data subjects or consumer protection organizations authorized at law to represent their interests. The Swiss Federal Act on Data Protection (“FADP”), also applies to the collection and processing of personal information, including health-related information, by companies located in Switzerland, or in certain circumstances, by companies located outside of Switzerland. The FADP has been revised and adopted by the Swiss Parliament. Companies must comply with the revised version of the FADP and its revised ordinances from September 1, 2023, which may result in an increase of costs of compliance, risks of noncompliance and penalties for noncompliance.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497205"/>
                <wp:effectExtent l="0" t="0" r="0" b="0"/>
                <wp:wrapNone/>
                <wp:docPr id="56" name="Frame5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also target customers in Asia and have operations in Japan and Singapore, and may be subject to new and emerging privacy, data protection, and information security regimes in Asia, including Japan’s Act on the Protection of Personal Information and Singapore’s Personal Data Protection Act.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may be unable to transfer personal information from Europe and other jurisdictions to the United States or other countries due to data localization requirements or limitations on cross-border data flows. Europe and other jurisdictions have enacted laws requiring data to be localized or limiting the transfer of personal information to other countries. In particular, the European Economic Area (“EEA”) and the United Kingdom (“UK”) have significantly restricted the transfer of personal information to the United States and other countries whose privacy laws they generally believe are inadequate. Other jurisdictions may adopt similarly stringent interpretations of their data localization and cross-border data transfer laws. Although there are currently various mechanisms that may be used to transfer personal information from the EEA and UK to the United States in compliance with law, such as the EEA and UK’s standard contractual clauses, and the EU-U.S. Data Privacy Framework (which allows for transfers for relevant U.S.-based organizations who self-certify compliance and participate in the Framework), these mechanisms can be subject to legal challenges, and there is no assurance that we can satisfy or rely on these measures to lawfully transfer personal information to the United States.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If there is no lawful manner for us to transfer personal information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information necessary to operate our business. Additionally, companies that transfer personal information out of the EEA and UK to other jurisdictions, particularly to the United States, are subject to increased scrutiny from regulators, individual litigants, and activities groups. Some European regulators have ordered certain companies to suspend or permanently cease certain transfers of personal information out of Europe for allegedly violating the GDPR’s cross-border data transfer limitations. For example, in May 2023, the Irish Data Protection Commission determined that a major social media company’s use of the standard contractual clauses to transfer personal information from Europe to the United States was insufficient and levied a 1.2 billion Euro fine against the company and prohibited the company from transferring personal information to the United States.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use AI and machine learning (“AI/ML”) technologies in our products and services. The development and use of AI/ML is subject to privacy, data protection, and information security laws, industry standards, external and internal privacy and security policies, and contractual requirements, as well as increasing regulation and scrutiny. If we do not incorporate AI/ML in a manner consistent with these factors, and consistent with customer expectations, it may result in an adverse impact to our reputation, our business may be less efficient, or we may be at a competitive disadvantage.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regulators are increasingly scrutinizing companies that process children’s data. Numerous laws, regulations, and legally-binding codes, such as the Children’s Online Privacy Protection Act (“COPPA”), California’s Age Appropriate Design Code (effective in July 2024), the CCPA, other U.S. state comprehensive privacy laws, the EU and UK GDPR, and the UK Age Appropriate Design Code, impose various obligations on companies that process children’s data, including requiring certain consents to process such data and extending certain rights to children and their parents with respect that data. Some of these obligations have wide ranging applications, including for services that do not intentionally target child users (defined in some circumstances as a user under the age of 18 years old). In particular, COPPA is a U.S. Federal law that applies to operators of commercial websites and online services directed to U.S. children under the age of 13 that collect personal information from children, and to operators of general audience websites with actual knowledge that they are collecting personal information from U.S. children under the age of 13. We provide video communications and collaboration services to schools, school districts, and school systems to support traditional, virtual, and hybrid classrooms, distance learning, educational office hours, guest lectures, and other services. As part of these services, Zoom may be used by students, including students under the age of 13, and we collect personal information from such students on behalf of our school subscribers. School subscribers must contractually consent to Zoom’s information practices on behalf of students, prior to students using the services. If we fail to accurately anticipate the application, interpretation, or legislative expansion of applicable privacy, data protection, and information security laws, we could be subject to governmental enforcement actions, data processing restrictions, litigation, fines and penalties, adverse publicity or loss of customers. Moreover, as a result of any such failures, we could be in breach of our K-12 school customer contracts, and our customers could lose trust in us, which could harm our reputation and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Individuals are increasingly resistant to the collection, use, and sharing of personal information to deliver targeted advertising. Third-party platforms have introduced (or plan to introduce) measures to provide users with more privacy controls over targeted advertising activities, and regulators (including in the EEA/UK) are heavily scrutinizing the use of technologies used to deliver such advertisements. Major technology platforms on which we rely to gather information about consumers have adopted or proposed measures to provide consumers with additional control over the collection, use, and sharing of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97205"/>
                <wp:effectExtent l="0" t="0" r="0" b="0"/>
                <wp:wrapNone/>
                <wp:docPr id="57" name="Frame5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personal data for targeted advertising or other purposes. For example, in 2021, Apple began allowing users to more easily opt-out of activity tracking across devices. In February 2022, Google announced similar plans to adopt additional privacy controls on its Android devices to allow users to limit sharing of their data with third parties and reduce cross-device tracking for advertising purposes. Additionally, Google has announced that it intends to phase out third-party cookies in its Chrome browser, which could make it more difficult for us to target advertisements. Other browsers, such as Firefox and Safari, have already adopted similar measures. In addition, legislative proposals and present laws and regulations regulate the use of cookies and other tracking technologies, electronic communications, and marketing. For example, in the EEA and the UK, regulators are increasingly focusing on compliance with requirements related to the targeted advertising ecosystem. European regulators have issued significant fines in certain circumstances where the regulators alleged that appropriate consent was not obtained in connection with targeted advertising activities. It is anticipated that the ePrivacy Regulation and national implementing laws will replace the current national laws implementing the ePrivacy Directive, which may require us to make significant operational changes. In the United States, the CCPA, for example, grants California residents the right to opt-out of a company’s sharing of personal data for advertising purposes in exchange for money or other valuable consideration, and requires covered businesses to honor user-enabled browser signals from the Global Privacy Control. Partially as a result of these developments, individuals are becoming increasingly resistant to the collection, use, and sharing of personal information to deliver targeted advertising or other types of tracking. Individuals are now more aware of options related to consent, “do not track” mechanisms (such as browser signals from the Global Privacy Control), and “ad-blocking” software to prevent the collection of their personal information for targeted advertising purposes. As a result, we may be required to change the way we market our products, and any of these developments or changes could materially impair our ability to reach new or existing customers or otherwise negatively affect our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data privacy and security laws, we are contractually subject to industry standards adopted by industry groups and may become subject to such obligations in the future. We are also bound by other contractual obligations related to privacy, data protection, and information security, and our efforts to comply with such obligations may not be successful. We publish privacy policies, marketing materials, and other statements, such as compliance with certain certifications or self-regulatory principles, regarding privacy, data protection, and information security privacy, data protection, and information security. If these policies, materials or statements are found to be deficient, lacking in transparency, deceptive, unfair, or misrepresentative of our practices, we may be subject to investigation, enforcement actions by regulators, or other adverse consequences.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Obligations related to privacy, data protection, and information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information on our behalf.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at times fail (or be perceived to have failed) in our efforts to comply with our privacy, data protection, and information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privacy, data protection, and information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information; and orders to destroy or not use personal information.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inability to process personal information or to operate in certain jurisdictions; limited ability to develop or commercialize our products; expenditure of time and resources to defend any claim or inquiry; adverse publicity; or substantial changes to our business model or operations.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 the past and may in the future receive inquiries or be subject to investigations by domestic and international government entities regarding, among other things, our privacy, data protection, and information security practices. The result of these proceedings could impact our brand reputation, subject us to monetary remedies and costs, interrupt or require us to change our business practices, divert resources and the attention of management from our business, or subject us to other remedies that adversely affect our business. We also face litigation regarding our privacy and security practices, including alleged data sharing with third parties, in various jurisdictions. See Part I, Item 3 “Legal Proceedings” for additional information.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were also the subject of an investigation by the FTC relating to our privacy and security representations and practices. We have reached a settlement agreement with the FTC, which the FTC voted to make final on January 19, 2021.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497205"/>
                <wp:effectExtent l="0" t="0" r="0" b="0"/>
                <wp:wrapNone/>
                <wp:docPr id="58" name="Frame5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could fail or be perceived to fail to comply with the terms of the settlement with the FTC or any other orders or settlements relating to litigation or governmental investigations with respect to our privacy and security practices. Any failure or perceived failure to comply with such orders or settlements may increase the possibility of additional adverse consequences, including litigation, additional regulatory actions, injunctions, or monetary penalties, or require further changes to our business practices, significant management time, or the diversion of significant operational resources. Furthermore, the costs of compliance with, and other burdens imposed by, the laws, regulations, policies, and other obligations that are applicable to the businesses of our users may limit the adoption and use of, and reduce the overall demand for, our platform and services, which could have an adverse impact on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rely on the administrators of our customers in the healthcare and education industries to obtain the necessary consents from users of our products and services and to ensure their account settings are configured correctly for their compliance under applicable laws and regulations, including HIPAA. Furthermore, if third parties we work with, such as vendors or developers, make misrepresentations, violate applicable laws and regulations, or our policies, such misrepresentations and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provide or develop new services and features.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Increased usage of our services and additional awareness of Zoom and our brand, stemming from the COVID-19 pandemic, has led to greater public scrutiny of, press related to, or a negative perception of our collection, use, storage, disclosure, and processing of personal information, and our privacy policies and practices. For example, users and customers, particularly those that are new to Zoom, may not have significant IT or security knowledge or have their own IT controls like those of a larger organization to configure our service in a manner that provides them with control over user settings. This has resulted in reports of users and customers experiencing meeting disruptions by malicious actors. Additional unfavorable publicity and scrutiny has led to increased governmental and regulatory scrutiny and litigation exposure, and could result in material reputational harm, a loss of customer and user confidence, additional expenses and other harm to our business.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Changes in government trade policies, including the imposition of tariffs and export restrictions, could limit our ability to sell our products to certain customers, which may materially adversely affect our sales and results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U.S. or foreign governments may take administrative, legislative, or regulatory action that could materially interfere with our ability to sell products in certain countries. For example, the prior U.S. administration had threatened tougher trade terms with China and other countries, leading to the imposition, or announcement of future imposition, of substantially higher U.S. Section 301 tariffs on roughly $500 billion of imports from China. In response, China imposed and proposed new or higher tariffs on U.S. products. The direct and indirect effects of tariffs and other restrictive trade policies are difficult to measure and are only one part of a larger U.S./China economic and trade policy disagreement. The effects of tariffs are uncertain because of the dynamic nature of governmental action and responses. Sustained uncertainty about, or worsening of, current global economic conditions and further escalation of trade tensions between the United States and its trading partners, especially China, could result in a global economic slowdown and long-term changes to global trade, including retaliatory trade restrictions that restrict our ability to operate in China. We cannot predict what actions may ultimately be taken by the new U.S. administration with respect to tariffs or trade relations between the United States and China or other countries, what products may be subject to such actions, or what actions may be taken by the other countries in retaliation. Any further deterioration in the relations between the United States and China could exacerbate these actions and other governmental intervention. For example, the implementation of China’s national-security law in Hong Kong has created additional U.S.-China tensions and could potentially increase the risks associated with the business and operations of U.S.-based technology companies in China. Any alterations to our business strategy or operations made in order to adapt to or comply with any such changes would be time-consuming and expensive, and certain of our competitors may be better suited to withstand or react to these changes.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in recent years, the U.S. Government has expressed concerns with the security of information and communications technology and services (“ICTS”) sourced from providers in China, Russia, and other jurisdictions. In May 2019, former President Trump issued an executive order that invoked national emergency economic powers to implement a framework to regulate the acquisition or transfer of ICTS in transactions that imposed undue national security risks. The executive order is subject to implementation by the Secretary of Commerce and applies to contracts entered into prior to the effective date of the order. On March 22, 2021, the U.S. Department of Commerce issued an interim final rule allowing it to identify, review, and prohibit ICTS transactions that pose a national security risk, including transactions involving specified countries, such as China. Several aspects of this rule remain unclear including the scope of affected transactions and how the rule will be implemented and enforced in practice. In addition, the U.S. Commerce Department has implemented additional restrictions and may implement further restrictions that would affect conducting business with certain Chinese companies. Due to the uncertainty regarding the timing, content, and extent of any such changes in policy, we cannot assure you that we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497205"/>
                <wp:effectExtent l="0" t="0" r="0" b="0"/>
                <wp:wrapNone/>
                <wp:docPr id="59" name="Frame5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successfully mitigate any negative impact. Depending upon their duration and implementation, these tariffs, the executive order and its implementation, and other regulatory actions could materially affect our business, including in the form of increased cost of revenue, decreased margins, increased pricing for customers, and reduced sales.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may be subject to additional liabilities on past sales for taxes, surcharges, and fees.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collect and remit applicable indirect taxes in jurisdictions where we, through our employees, have a presence and where we have determined, based on legal precedents in the jurisdiction, that sales of our platform are classified as taxable. State and local taxing authorities have differing rules and regulations which are subject to varying interpretations. This makes the applicability of sales tax to e-commerce businesses, such as ours, uncertain and complex. We believe that we are not otherwise subject to, or required to collect, additional taxes, fees, or surcharges imposed by state and local jurisdictions because we do not have a sufficient physical presence or “nexus” in the relevant taxing jurisdiction, or such taxes, fees, or surcharges do not apply to sales of our platform in the relevant taxing jurisdiction. There is uncertainty as to what constitutes sufficient nexus for sales made over the Internet and, after the U.S. Supreme Court’s ruling in South Dakota v. Wayfair, states may require an e-commerce business with no in-state property or personnel to collect and remit sales tax. Therefore, it is possible that we could face future audits or challenges of our positions by taxing authorities and that our liability for these taxes could exceed our estimates. The application of existing, new, or future laws, whether in the U.S. or internationally, could harm our business.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are subject to governmental export and import controls that could impair our ability to compete in international markets due to licensing requirements and subject us to liability if we are not in compliance with applicable laws.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Department of the Treasury’s Office of Foreign Assets Control (“OFAC”). The U.S. export control laws and U.S. economic sanctions laws include restrictions or prohibitions on the sale or supply of certain products and services to U.S.-embargoed or U.S.-sanctioned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hosts’ ability to implement our platform in those countries.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have taken precautions to prevent our platform and associated products from being accessed or used in violation of such laws, we have inadvertently allowed our platform and associated products to be accessed or used by some customers in potential violation of U.S. economic sanction laws. In addition, we have inadvertently made and may inadvertently make our software products available to some customers in potential violation of the EAR. Therefore, as warranted, we may submit voluntary self-disclosures regarding compliance with U.S. sanctions and export control laws and regulations to OFAC and to the U.S. Department of Commerce’s Bureau of Industry and Security (“BIS”). For instance, in March 2022, we submitted a voluntary self-disclosure to BIS regarding our compliance with certain U.S. export control laws and regulations, which BIS closed out with a warning letter with no referral for criminal or administrative prosecution, and no imposition of monetary fines or penalties.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If we are found to be in violation of U.S. economic sanctions or export control laws in the future, it could result in fines and penalties. We may also be adversely affected through other penalties, business disruption, reputational harm, loss of access to certain markets, or otherwise. While we are working to implement additional controls designed to prevent similar activity from occurring in the future, these controls may not be fully effective.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our platform, or changes in export, sanctions, and import laws, may delay the introduction and sale of subscriptions to our platform in international markets; prevent our customers with international operations from using our platform; or, in some cases, prevent the access or use of our platform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platform or in our decreased ability to export or sell our platform to existing or potential customers with international operations. Any decreased use of our platform or limitation on our ability to export or sell our platform would likely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497205"/>
                <wp:effectExtent l="0" t="0" r="0" b="0"/>
                <wp:wrapNone/>
                <wp:docPr id="60" name="Frame6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may be subject to, or assist law enforcement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may be subject to, or assist law enforcement with enforcement of, various laws, including those covering copyright, indecent content, child protection, consumer protection, telecommunications services, taxation, and similar matters. It may be difficult, expensive, and disruptive for us to address law enforcement requests, subpoenas and other legal process, and laws in various jurisdictions may conflict and hamper our ability to satisfy or comply with such requests, subpoenas and other legal process. There have been instances where improper or illegal content has been shared on our platform without our knowledge. As a service provider and as a matter of policy, we do not monitor user meetings. However, to ensure user safety and prevent conduct that is illegal, violent, or harmful to others, we enforce our terms of service through use of a mix of tools that suggest when such activity may be occurring on our platform. We also recently created an in-product security feature that allows the host or co-host of a meeting to easily select a meeting participant that may be engaging in illegal or harmful behavior and send a report about that behavior to our trust and safety team for evaluation. Our trust and safety team may take further action as appropriate, including suspension or termination of the participant's account or referral to law enforcement. While to date we have not been subject to material legal or administrative actions as a result of improper or illegal content, the laws in this area are currently in a state of flux and vary widely between jurisdictions. Accordingly, it may be possible that in the future we and our competitors may be subject to legal actions along with the users who shared such content. In addition, regardless of any legal liability we may face, our reputation could be harmed should there be an incident generating extensive negative publicity about the content shared on our platform. Such publicity would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consumer protection laws that may affect our sales and marketing efforts, including laws related to subscriptions, billing, and auto-renewal. These laws, as well as any changes in these laws, could adversely affect our self-serve model and make it more difficult for us to retain and upgrade customers and attract new customers and hosts.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platform depends on the ability of our customers, hosts, and users to access the internet, and our platform has been blocked or restricted in some countries for various reasons. If we fail to anticipate developments in the law, or fail for any reason to comply with relevant law, our platform could be further blocked or restricted, and we could be exposed to significant liability that could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various U.S. and international anti-corruption laws, such as the U.S. Foreign Corrupt Practices Act of 1977, as amended (the “FCPA”), and the U.K. Bribery Act 2010, as well as other similar anti-bribery and anti-kickback laws and regulations. These laws and regulations generally prohibit companies and their employees and intermediaries, from directly or indirectly authorizing, offering, or providing improper payments or benefits to government officials and other recipients for improper purposes. The FCPA also requires public companies to make and keep books and records that accurately and fairly reflect the transactions of the corporation and to devise and maintain an adequate system of internal accounting controls. Although we take precautions to prevent violations of anti-corruption laws, our exposure for violating these laws increases as we continue to expand our international presence, and any failure to comply with such laws could harm our business, financial condition, and results of operations.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Federal Regulation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Zoom Phone is provided through our wholly owned subsidiary, Zoom Voice Communications, Inc., which is regulated by the FCC as an interconnected voice over internet protocol (“VoIP”) service provider. As a result, Zoom Phone is subject to existing or potential FCC regulations, including, but not limited to, regulations relating to privacy, disability access, porting of numbers, federal Universal Service Fund (“USF”), contributions and other regulatory assessments, emergency calling/Enhanced 911 (“E-911”), access charges for long distance services, and law enforcement access. Congress or the FCC may expand the scope of Zoom Phone’s regulatory obligations at any time. In addition, FCC classification of Zoom Phone as a common carrier or telecommunications service could result in additional federal and state regulatory obligations. If we do not comply with any current or future state regulations that apply to our business, we could be subject to substantial fines and penalties, we may have to restructure our product offerings, exit certain markets, or raise the price of our products, any of which could ultimately harm our business and results of operations. Any enforcement action by the FCC, which may be a public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497205"/>
                <wp:effectExtent l="0" t="0" r="0" b="0"/>
                <wp:wrapNone/>
                <wp:docPr id="61" name="Frame6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process, would hurt our reputation in the industry, possibly impair our ability to sell Zoom Phone to our customers and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above, the FCC could reinstate its prior network neutrality regulations or adopt new regulations. See Part 1A – Failures in internet infrastructure or interference with broadband access could cause current or potential users to believe that our systems are unreliable, possibly leading our customers and hosts to switch to our competitors, or to cancel their subscriptions to our platform. Changes in FCC regulation of the internet and internet-based services also could impose new regulatory obligations on our other services. Such action could result in extension of common carrier regulation to internet-based communications services like the ones we offer. The imposition of common carrier regulation would increase our costs, and we could be required to modify our service offerings to comply with regulatory requirements. The failure to comply with such regulation could result in substantial fines and penalties and other sanctions.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various Congressional and executive efforts to eliminate or modify Section 230 of the Communications Act of 1934, enacted as part of the Communications Decency Act of 1996. President Biden and many Members of Congress from both parties support the reform or repeal of Section 230, so the possibility of Congressional action remains. In addition, the FCC is considering a petition, filed by the Trump Administration, to adopt rules interpreting Section 230, which limits the liability of internet platforms for third-party content that is transmitted via those platforms and for good-faith moderation of offensive content. No date has been set for a vote on that proposal and the FCC has not released any document describing the rules that would be proposed. The Democratic members of the FCC have indicated that they are opposed to the petition and now control the agenda of the FCC. There is no schedule for action by the FCC on the petition. If Congress revises or repeals Section 230 or the FCC adopts rules, we may no longer be afforded the same level of protection offered by Section 230. In addition, there are pending cases before the judiciary that may result in changes to the protections afforded to internet platforms, including a lawsuit by former President Trump that, if successful, would greatly limit the scope of Section 230. The U.S. Supreme Court recently declined to limit the applicability of Section 230 in certain circumstances, but future cases may not yield the same results. These various efforts to limit the protections provided by Section 230 would increase the risks faced by internet-based businesses, like Zoom, that rely on third-party content. Even if claims asserted against us do not result in liability, we may incur substantial costs in investigating and defending such claims. If we are found liable for our customers’ or other users’ activities, we could be required to pay fines or penalties, redesign business methods or otherwise expend resources to remedy any damages caused by such actions and to avoid future liability.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FCC has proposed to revise its rules requiring reporting of breaches of private customer information, known as CPNI. If adopted, the proposed rules could broaden the types of CPNI breaches that must be reported, but also could limit the number of reports that must be filed by adopting a minimum threshold for the number of customers affected. The proposed rules also would require that breach reports be provided directly to the FCC, which could increase the risk of enforcement action, including fines and behavioral remedies.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FCC has adopted rules that prohibit Chinese companies that are deemed to be a national security risk by other federal agencies from obtaining new authorizations and placed on a list known as the Covered List to sell telecommunications equipment in the U.S. and is considering proposed rules that would ban those companies from selling previously-authorized equipment or could prohibit use of their equipment in the U.S. Zoom does not currently have any equipment from the companies subject to the ban in its network, but if other companies are added to the Covered List and the FCC adopts rules that ban sales or use of equipment from companies on the Covered List, we could be required to find new sources for similar equipment or replace existing equipment entirely.</w:t>
      </w:r>
    </w:p>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State Regulation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State telecommunications regulation of Zoom Phone is generally preempted by the FCC. However, states are allowed to assess state USF contributions, E-911 fees, and other surcharges. A number of states require us to contribute to state USF and pay E-911 and other assessments and surcharges, while others are actively considering extending their programs to include the products we offer and the California Public Utilities Commission is now taking the position that it can require VoIP providers like Zoom Phone to obtain authority to operate in that state. We generally pass USF, E-911 fees, and other surcharges through to our customers where we are permitted to do so, which may result in our products becoming more expensive. We expect that state public utility commissions will continue their attempts to apply state telecommunications regulations to services like Zoom Phone. If we do not comply with any current or future state regulations that apply to our business, we could be subject to substantial fines and penalties, we may have to restructure our product offerings, exit certain markets, or raise the price of our products, any of which could harm our business.</w:t>
      </w:r>
    </w:p>
    <w:p>
      <w:pPr>
        <w:pStyle w:val="TextBody"/>
        <w:bidi w:val="0"/>
        <w:spacing w:before="0" w:after="0"/>
        <w:ind w:left="0" w:right="0" w:firstLine="540"/>
        <w:jc w:val="left"/>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Certain states have adopted or are adopting or considering legislation or executive actions that would regulate the conduct of broadband providers. California’s state-specific network neutrality law has taken effect and Vermont’s law took effect, but a challenge to that law remains pending. We cannot predict whether other state initiatives will be enforced, modified, overturned, or vacated.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497205"/>
                <wp:effectExtent l="0" t="0" r="0" b="0"/>
                <wp:wrapNone/>
                <wp:docPr id="62" name="Frame6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Legislation has been adopted in Florida and Texas that is intended to reduce or eliminate the power of businesses operating on the Internet to moderate user-generated content, implicitly eliminating the federal protections granted under Section 230. Similar legislation has been introduced in other states in 2022, including a bill that has passed the Georgia State Senate and is pending before the Georgia House. Implementation of the Florida and Texas statutes has been stayed by various federal courts, including the U.S. Supreme Court. On August 18, the parties in the Florida case requested, and were granted, a stay of the appeals court mandate pending Supreme Court review, and on September 21, 2022, Florida requested that the Supreme Court review the case. On September 16, the U.S. Court of Appeals for the Fifth Circuit issued a decision upholding the Texas law. On September 30, the parties in that case filed an unopposed motion to stay the Fifth Circuit decision pending Supreme Court review, and the Fifth Circuit granted that request on October 13, 2022. The parties opposing the Texas law requested that the Supreme Court review the case on December 15, 2022. The petitions for Supreme Court review of the decisions on the Florida and Texas laws remain pending. Florida recently amended its statute in an effort to address issues that led the court to issue the stay. It is likely that any other such state legislation also would be challenged under the First Amendment to the U.S. Constitution and on the ground that it is preempted by Section 230. We cannot predict whether any such state legislation will be adopted, enforced, modified, overturned, or vacated.</w:t>
      </w:r>
    </w:p>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International Regulation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we expand internationally, we may be subject to telecommunications, consumer protection, privacy, data protection, and other laws and regulations in the foreign countries where we offer our products. If we do not comply with any current or future international regulations that apply to our business, we could be subject to substantial fines and penalties, we may have to restructure our product offerings, exit certain markets, or raise the price of our products, any of which could harm our business.</w:t>
      </w:r>
    </w:p>
    <w:p>
      <w:pPr>
        <w:pStyle w:val="TextBody"/>
        <w:bidi w:val="0"/>
        <w:spacing w:lineRule="auto" w:line="288" w:before="24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are currently, and may be in the future, party to intellectual property rights claims and other litigation matters, which, if resolved adversely, could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protect our intellectual property through patents, copyrights, trademarks, domain names, and trade secrets and, from time to time, are subject to litigation based on allegations of infringement, misappropriation, or other violations of intellectual property or other rights. Some companies, including some of our competitors, own large numbers of patents, copyrights, and trademarks, which they may use to assert claims against us.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and our platform. While we intend to defend these lawsuits vigorously and believe that we have valid defenses to these claims, litigation can be costly and time consuming, divert the attention of our management and key personnel from our business operations and dissuade potential customers from subscribing to our services, which would harm our business. Furthermore, with respect to these lawsuits, there can be no assurances that favorable outcomes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In addition, our agreements with certain larger customers include certain provisions for indemnifying them against liabilities if our services infringe a third party’s intellectual property rights, which could require us to make payments to our customers.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failure to protect our intellectual property rights and proprietary information could diminish our brand and other intangible assets.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primarily rely and expect to continue to rely on a combination of patent, patent licenses, trade secret and domain name protection, trademark and copyright laws, as well as confidentiality and license agreements with our employees, consultants, and third parties, to protect our intellectual property and proprietary rights.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products. In addition, we believe that the protection of our trademark rights is an important factor in product recognition, protecting our brand and maintaining goodwill.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497205"/>
                <wp:effectExtent l="0" t="0" r="0" b="0"/>
                <wp:wrapNone/>
                <wp:docPr id="63" name="Frame6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we do not adequately protect our rights in our trademarks from infringement and unauthorized use, any goodwill that we have developed in those trademarks could be lost or impaired, which could harm our brand and our business. Third parties may knowingly or unknowingly infringe our proprietary rights; third parties may challenge our proprietary right; our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the laws of certain foreign countries do not provide the same level of protection of corporate proprietary information and assets such as intellectual property, trademarks, trade secrets, know-how, and records, as the laws of the United States. For instance, the legal systems of certain countries, particularly certain developing countries, do not favor the enforcement of patents and other intellectual property protection. As a result, we may encounter significant problems in protecting and defending our intellectual property or proprietary rights abroad. Additionally, we may also be exposed to material risks of theft or unauthorized reverse engineering of our proprietary information and other intellectual property, including technical data, manufacturing processes,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would harm our business.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use of third-party open source software could negatively affect our ability to offer and sell subscriptions to our platform and subject us to possible litigation.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incorporated, and may in the future incorporate, third-party open source software in our technologies.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our source code that incorporates or is a modification of such licensed software. While we use tools designed to help us monitor and comply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could be required to publicly release certain portions of our proprietary source code. We could also be required to expend substantial time and resources to re-engineer some of our software. Any of the foregoing could disrupt and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harm our business and could help our competitors develop products and services that are similar to or better than ours.</w:t>
      </w:r>
    </w:p>
    <w:p>
      <w:pPr>
        <w:pStyle w:val="TextBody"/>
        <w:bidi w:val="0"/>
        <w:spacing w:lineRule="auto" w:line="288" w:before="24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Risks Related to Ownership of Our Class A Common Stock</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The trading price of our Class A common stock may be volatile, and you could lose all or part of your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497205"/>
                <wp:effectExtent l="0" t="0" r="0" b="0"/>
                <wp:wrapNone/>
                <wp:docPr id="64" name="Frame6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Class A common stock has been and will likely continue to be volatile and could be subject to fluctuations in response to various factors, some of which are beyond our control. These fluctuations could cause you to lose all or part of your investment in our Class A common stock. Factors that could cause fluctuations in the trading price of our Class A common stock include the following: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price and volume fluctuations in the overall stock market from time to time;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volatility in the trading prices and trading volumes of technology stocks;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operating performance and stock market valuations of other technology companies generally, or those in our industry in particular;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sales of shares of our Class A common stock by us or our stockholders;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failure of securities analysts to maintain coverage of us, changes in financial estimates by securities analysts who follow our company, or our failure to meet these estimates or the expectations of investors;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financial projections we may provide to the public, any changes in those projections, or our failure to meet those projections;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announcements by us or our competitors of new products, features, or services;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public’s reaction to our press releases, other public announcements, and filings with the SEC;</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rumors and market speculation involving us or other companies in our industry;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actual or anticipated changes in our results of operations or fluctuations in our results of operations;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actual or anticipated developments in our business, our competitors’ businesses, or the competitive landscape generally;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litigation involving us, our industry, or both, or investigations by regulators into our operations or those of our competitors;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developments or disputes concerning our intellectual property or other proprietary rights;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announced or completed acquisitions of businesses, products, services, or technologies by us or our competitors;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new laws or regulations or new interpretations of existing laws or regulations applicable to our business;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accounting standards, policies, guidelines, interpretations, or principles;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any significant change in our management;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general political, social, economic and market conditions, in both domestic and our foreign markets, including effects of increased interest rates and inflationary pressures.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in the past, following periods of volatility in the overall market and in the market price of a particular company’s securities, securities class action litigation has often been instituted against these companies. For example, in April 2020, June 2020, July 2020 and October 2021, we and certain of our officers and directors were sued in putative class action lawsuits and purported shareholder derivative lawsuits alleging violations of the federal securities laws for allegedly making materially false and misleading statements about our data privacy and security measures. Securities litigation against us could result in substantial costs and divert our management’s time and attention from other business concerns, which could harm our business. We may be the target of additional litigation of this type in the future as well.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The dual class structure of our common stock as contained in our amended and restated certificate of incorporation has the effect of concentrating voting control with those stockholders who held our stock prior to our IPO, including our executive officers, employees, and directors and their affiliates, limiting your ability to influence corporate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497205"/>
                <wp:effectExtent l="0" t="0" r="0" b="0"/>
                <wp:wrapNone/>
                <wp:docPr id="65" name="Frame6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Class B common stock has 10 votes per share and our Class A common stock has one vote per share. As of July 31, 2023, the holders of our outstanding Class B common stock held 64.7% of the voting power of our outstanding capital stock, with our directors, executive officers and 5% stockholders and their respective affiliates holding 57.3% of such voting power in the aggregate. As of July 31, 2023, our founder, President and Chief Executive Officer, Eric S. Yuan, together with his affiliates, held approximately 7.5% of our outstanding capital stock but controlled approximately 31.3% of the voting power of our outstanding capital stock. Therefore, these holders have significant influence over our management and affairs and over all matters requiring stockholder approval, including election of directors and significant corporate transactions, such as a merger or other sale of Zoom or our assets, for the foreseeable future. Each share of Class B common stock will be automatically converted into one share of Class A common stock upon the earliest of (i) the date that is six months following the death or incapacity of Mr. Yuan, (ii) the date that is six months following the date that Mr. Yuan is no longer providing services to us or his employment is terminated for cause, (iii) the date specified by the holders of a majority of the then outstanding shares of Class B common stock, voting as a separate class, and (iv) the 15-year anniversary of the closing of our IPO.</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holders of Class B common stock collectively will continue to be able to control all matters submitted to our stockholders for approval even if their stock holdings represent less than a majority of the outstanding shares of our common stock. This concentrated control will limit your ability to influence corporate matters for the foreseeable future, and, as a result, the market price of our Class A common stock could be adversely affected.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Yuan retains a significant portion of his holdings of Class B common stock for an extended period of time, he could, in the future, control a majority of the combined voting power of our Class A and Class B common stock. As a board member, Mr. Yuan owes a fiduciary duty to our stockholders and must act in good faith in a manner he reasonably believes to be in the best interests of our stockholders. As a stockholder, even a controlling stockholder, Mr. Yuan is entitled to vote his shares in his own interests, which may not always be in the interests of our stockholders generally.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However, in April 2023, Standard &amp; Poor’s announced its decision that companies with multiple share class structures will be considered eligible candidates for addition to the S&amp;P Composite 1500 and its component indices provided they meet all other eligibility criteria. Under these policies, our dual-class capital structure would make us ineligible for inclusion in certain indices, and as a result, mutual funds, exchange-traded funds, and other investment vehicles that attempt to passively track these indices will not be investing in our stock. These policies may depress the valuations of publicly-traded companies excluded from the indices, or depress our trading volume compared to those of other similar companies that are included.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Future sales and issuances of our capital stock or rights to purchase capital stock could result in additional dilution of the percentage ownership of our stockholders and could cause our stock price to decline.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Substantial future sales of shares of our Class A common stock and Class B common stock could cause the market price of our Class A common stock to decline.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Class A common stock and Class B common stock (after automatically converting to Class A common stock) in the public market, or the perception that these sales might occur, could depress the market price of our Class A common stock.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certain of our stockholders have registration rights that would require us to register shares owned by them for public sale in the United States. We have also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restricted stock unit (“RSU”) awards are available for immediate resale in the United States in the open market.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Sales of our shares could also impair our ability to raise capital through the sale of additional equity securities in the future and at a price we deem appropriate. These sales could also cause the trading price of our Class A common stock to fall and make it more difficult for you to sell shares of our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497205"/>
                <wp:effectExtent l="0" t="0" r="0" b="0"/>
                <wp:wrapNone/>
                <wp:docPr id="66" name="Frame6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are provisions in our certificate of incorporation and bylaws that may make it difficult for a third party to acquire, or attempt to acquire, control of Zoom, even if a change in control was considered favorable by our stockholders.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charter documents also contain other provisions that could have an anti-takeover effect, such as:</w:t>
      </w:r>
    </w:p>
    <w:p>
      <w:pPr>
        <w:pStyle w:val="TextBody"/>
        <w:bidi w:val="0"/>
        <w:spacing w:lineRule="auto" w:line="288" w:before="120" w:after="283"/>
        <w:ind w:left="0" w:right="0" w:firstLine="180"/>
        <w:jc w:val="both"/>
        <w:rPr/>
      </w:pPr>
      <w:r>
        <w:rPr>
          <w:color w:val="000000"/>
        </w:rPr>
        <w:t>•</w:t>
      </w:r>
      <w:r>
        <w:rPr>
          <w:rFonts w:ascii="Times New Roman;sans-serif" w:hAnsi="Times New Roman;sans-serif"/>
          <w:b w:val="false"/>
          <w:color w:val="000000"/>
          <w:sz w:val="20"/>
        </w:rPr>
        <w:t>establishing a classified board of directors so that not all members of our board of directors are elected at one time;</w:t>
      </w:r>
    </w:p>
    <w:p>
      <w:pPr>
        <w:pStyle w:val="TextBody"/>
        <w:bidi w:val="0"/>
        <w:spacing w:lineRule="auto" w:line="288" w:before="120" w:after="283"/>
        <w:ind w:left="0" w:right="0" w:firstLine="180"/>
        <w:jc w:val="both"/>
        <w:rPr/>
      </w:pPr>
      <w:r>
        <w:rPr>
          <w:color w:val="000000"/>
        </w:rPr>
        <w:t>•</w:t>
      </w:r>
      <w:r>
        <w:rPr>
          <w:rFonts w:ascii="Times New Roman;sans-serif" w:hAnsi="Times New Roman;sans-serif"/>
          <w:b w:val="false"/>
          <w:color w:val="000000"/>
          <w:sz w:val="20"/>
        </w:rPr>
        <w:t>permitting the board of directors to establish the number of directors and fill any vacancies and newly created directorships;</w:t>
      </w:r>
    </w:p>
    <w:p>
      <w:pPr>
        <w:pStyle w:val="TextBody"/>
        <w:bidi w:val="0"/>
        <w:spacing w:lineRule="auto" w:line="288" w:before="120" w:after="283"/>
        <w:ind w:left="0" w:right="0" w:firstLine="180"/>
        <w:jc w:val="both"/>
        <w:rPr/>
      </w:pPr>
      <w:r>
        <w:rPr>
          <w:color w:val="000000"/>
        </w:rPr>
        <w:t>•</w:t>
      </w:r>
      <w:r>
        <w:rPr>
          <w:rFonts w:ascii="Times New Roman;sans-serif" w:hAnsi="Times New Roman;sans-serif"/>
          <w:b w:val="false"/>
          <w:color w:val="000000"/>
          <w:sz w:val="20"/>
        </w:rPr>
        <w:t>providing that directors may only be removed for cause;</w:t>
      </w:r>
    </w:p>
    <w:p>
      <w:pPr>
        <w:pStyle w:val="TextBody"/>
        <w:bidi w:val="0"/>
        <w:spacing w:lineRule="auto" w:line="288" w:before="120" w:after="283"/>
        <w:ind w:left="0" w:right="0" w:firstLine="180"/>
        <w:jc w:val="both"/>
        <w:rPr/>
      </w:pPr>
      <w:r>
        <w:rPr>
          <w:color w:val="000000"/>
        </w:rPr>
        <w:t>•</w:t>
      </w:r>
      <w:r>
        <w:rPr>
          <w:rFonts w:ascii="Times New Roman;sans-serif" w:hAnsi="Times New Roman;sans-serif"/>
          <w:b w:val="false"/>
          <w:color w:val="000000"/>
          <w:sz w:val="20"/>
        </w:rPr>
        <w:t>prohibiting cumulative voting for directors;</w:t>
      </w:r>
    </w:p>
    <w:p>
      <w:pPr>
        <w:pStyle w:val="TextBody"/>
        <w:bidi w:val="0"/>
        <w:spacing w:lineRule="auto" w:line="288" w:before="120" w:after="283"/>
        <w:ind w:left="0" w:right="0" w:firstLine="180"/>
        <w:jc w:val="both"/>
        <w:rPr/>
      </w:pPr>
      <w:r>
        <w:rPr>
          <w:color w:val="000000"/>
        </w:rPr>
        <w:t>•</w:t>
      </w:r>
      <w:r>
        <w:rPr>
          <w:rFonts w:ascii="Times New Roman;sans-serif" w:hAnsi="Times New Roman;sans-serif"/>
          <w:b w:val="false"/>
          <w:color w:val="000000"/>
          <w:sz w:val="20"/>
        </w:rPr>
        <w:t>requiring super-majority voting to amend some provisions in our certificate of incorporation and bylaws;</w:t>
      </w:r>
    </w:p>
    <w:p>
      <w:pPr>
        <w:pStyle w:val="TextBody"/>
        <w:bidi w:val="0"/>
        <w:spacing w:lineRule="auto" w:line="288" w:before="120" w:after="283"/>
        <w:ind w:left="0" w:right="0" w:firstLine="180"/>
        <w:jc w:val="both"/>
        <w:rPr/>
      </w:pPr>
      <w:r>
        <w:rPr>
          <w:color w:val="000000"/>
        </w:rPr>
        <w:t>•</w:t>
      </w:r>
      <w:r>
        <w:rPr>
          <w:rFonts w:ascii="Times New Roman;sans-serif" w:hAnsi="Times New Roman;sans-serif"/>
          <w:b w:val="false"/>
          <w:color w:val="000000"/>
          <w:sz w:val="20"/>
        </w:rPr>
        <w:t>authorizing the issuance of “blank check” preferred stock that our board of directors could use to implement a stockholder rights plan;</w:t>
      </w:r>
    </w:p>
    <w:p>
      <w:pPr>
        <w:pStyle w:val="TextBody"/>
        <w:bidi w:val="0"/>
        <w:spacing w:lineRule="auto" w:line="288" w:before="120" w:after="283"/>
        <w:ind w:left="0" w:right="0" w:firstLine="180"/>
        <w:jc w:val="both"/>
        <w:rPr/>
      </w:pPr>
      <w:r>
        <w:rPr>
          <w:color w:val="000000"/>
        </w:rPr>
        <w:t>•</w:t>
      </w:r>
      <w:r>
        <w:rPr>
          <w:rFonts w:ascii="Times New Roman;sans-serif" w:hAnsi="Times New Roman;sans-serif"/>
          <w:b w:val="false"/>
          <w:color w:val="000000"/>
          <w:sz w:val="20"/>
        </w:rPr>
        <w:t>eliminating the ability of stockholders to call special meetings of stockholders;</w:t>
      </w:r>
    </w:p>
    <w:p>
      <w:pPr>
        <w:pStyle w:val="TextBody"/>
        <w:bidi w:val="0"/>
        <w:spacing w:lineRule="auto" w:line="288" w:before="120" w:after="283"/>
        <w:ind w:left="0" w:right="0" w:firstLine="180"/>
        <w:jc w:val="both"/>
        <w:rPr/>
      </w:pPr>
      <w:r>
        <w:rPr>
          <w:color w:val="000000"/>
        </w:rPr>
        <w:t>•</w:t>
      </w:r>
      <w:r>
        <w:rPr>
          <w:rFonts w:ascii="Times New Roman;sans-serif" w:hAnsi="Times New Roman;sans-serif"/>
          <w:b w:val="false"/>
          <w:color w:val="000000"/>
          <w:sz w:val="20"/>
        </w:rPr>
        <w:t>prohibiting stockholder action by written consent, which requires all stockholder actions to be taken at a meeting of our stockholders; and</w:t>
      </w:r>
    </w:p>
    <w:p>
      <w:pPr>
        <w:pStyle w:val="TextBody"/>
        <w:bidi w:val="0"/>
        <w:spacing w:lineRule="auto" w:line="288" w:before="120" w:after="283"/>
        <w:ind w:left="0" w:right="0" w:firstLine="180"/>
        <w:jc w:val="both"/>
        <w:rPr/>
      </w:pPr>
      <w:r>
        <w:rPr>
          <w:color w:val="000000"/>
        </w:rPr>
        <w:t>•</w:t>
      </w:r>
      <w:r>
        <w:rPr>
          <w:rFonts w:ascii="Times New Roman;sans-serif" w:hAnsi="Times New Roman;sans-serif"/>
          <w:b w:val="false"/>
          <w:color w:val="000000"/>
          <w:sz w:val="20"/>
        </w:rPr>
        <w:t>our dual-class common stock structure as described above.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designates the Court of Chancery of the State of Delaware and the federal district courts of the United States of America as the exclusive forums for certain disputes between us and our stockholders, which could limit our stockholders’ ability to choose the judicial forum for disputes with us or our directors, officers, or employees.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unless we consent in writing to the selection of an alternative forum, the sole and exclusive forum for the following types of actions or proceedings under Delaware statutory or common law: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the certificate of incorporation or the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person or entity purchasing or otherwise acquiring any interest in any of our securities shall be deemed to have notice of and consented to these provisions. These exclusive-forum provisions may limit a stockholder’s ability to bring a claim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497205"/>
                <wp:effectExtent l="0" t="0" r="0" b="0"/>
                <wp:wrapNone/>
                <wp:docPr id="67" name="Frame6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 judicial forum of its choosing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results of operations.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do not intend to pay dividends for the foreseeable future.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returns on their investment.</w:t>
      </w:r>
    </w:p>
    <w:p>
      <w:pPr>
        <w:pStyle w:val="TextBody"/>
        <w:bidi w:val="0"/>
        <w:spacing w:lineRule="auto" w:line="288" w:before="24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Estimates of our market opportunity and forecasts of market growth may prove to be inaccurate, and even if the market in which we compete achieves the forecasted growth, our business could fail to grow at similar rates, if at all.</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Market opportunity estimates and growth forecasts for the markets in which we compete, including those we have generated ourselves, are subject to significant uncertainty and are based on assumptions and estimates that may not prove to be accurate. Not every organization covered by our market opportunity estimates will necessarily buy video communications and collaboration platforms, and some or many of those organizations may choose to continue using legacy communication methods or point solutions offered by our competitors. It is impossible to build every product feature that every customer or host wants, and our competitors may develop and offer features that 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 for us. Even if the markets in which we compete meet the size estimates and growth forecasts, our business could fail to grow for a variety of reasons outside of our control, including competition in our industry. If any of these risks materializes, it could harm our business and prospects.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business could be disrupted by catastrophic events.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Occurrence of any catastrophic event, including earthquake, fire, flood, tsunami or other weather event, power loss, telecommunications failure, software or hardware malfunctions, cyber-attack, war, terrorist attack, disease, or health epidemics, could result in lengthy interruptions in our service. In particular, our U.S. headquarters and some of the data 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Moreover,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We also face risks related to health epidemics, such as the COVID-19 pandemic, which has impacted virtually every country in the world. An outbreak of a contagious disease, and other adverse health developments could have an adverse effect on global economic conditions and on our business. The effects could include business and service disruptions, such as the temporary closure of our facilities, restrictions on our employees' ability to travel to support our facilities and services, and difficulties in hiring new employees. While we have seen increased usage of our service globally, a significant portion of such increase is attributable to free Basic accounts, which do not generate any revenue.</w:t>
      </w:r>
      <w:r>
        <w:rPr>
          <w:color w:val="000000"/>
        </w:rPr>
        <w:t xml:space="preserve"> </w:t>
      </w:r>
      <w:r>
        <w:rPr>
          <w:rFonts w:ascii="Times New Roman;sans-serif" w:hAnsi="Times New Roman;sans-serif"/>
          <w:b w:val="false"/>
          <w:color w:val="000000"/>
          <w:sz w:val="20"/>
        </w:rPr>
        <w:t>We cannot make any assurances that we will experience an increase in paid hosts or that new or existing users will continue to utilize our services at the same levels during the COVID-19 pandemic recovery. Furthermore, such increased usage by free Basic account users during this time has required and will continue to require us to expand our network capacity which will increase our operating costs.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are subject to risks associated with our strategic investments, including partial or complete loss of invested capital. Significant changes in the fair value of our investment portfolio could negatively impact our financial results.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strategic investments in publicly traded and privately held companies. The financial success of our investments in any privately held company is typically dependent on a liquidity event, such as a public offering, acquisition or other favorable market event reflecting appreciation to the cost of our initial investment. In addition, valuations of privately held companies are inherently complex due to the lack of readily available market data. Likewise, the financial success of our investment in any publicly held company is typically dependent upon an exit in favorable market conditions, and to a lesser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497205"/>
                <wp:effectExtent l="0" t="0" r="0" b="0"/>
                <wp:wrapNone/>
                <wp:docPr id="68" name="Frame6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extent on liquidity events. The capital markets for public offerings and acquisitions are dynamic and the likelihood of successful liquidity events for the companies we have invested in could significantly worsen. In addition, valuations of privately held companies are inherently complex due to the lack of readily available market data.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record all fair value adjustments of our publicly traded and privately held non-marketable securities through the condensed consolidated statement of operations. As a result, we may experience additional volatility to our statements of operations due to changes in market prices of our investments in publicly held securities and the valuation and timing of observable price changes or impairments of our investments in privately held securities. Our ability to mitigate this volatility in any given period may be impacted by our contractual obligations to hold securities for a set period of time. All of our investments are subject to a risk of a partial or total loss of investment capital. Changes in the fair value or partial or total loss of investment capital of these individual companies could be material to our financial statements and negatively impact our business and financial results.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reported results of operations may be adversely affected by changes in accounting principles generally accepted in the United States.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 in the United States are subject to interpretation by the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also difficult to predict the impact of future changes to accounting principles or our accounting policies, any of which could harm our business.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may need additional capital, and we cannot be certain that additional financing will be available on favorable terms, or at all.</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particularly during times of market volatility and general economic instability. The need for additional liquidity may also be affected by the federal government’s potential failure to raise the debt ceiling or correct a prolonged banking or financial crisis. If we raise additional funds through the issuance of equity or equity-linked or debt securities, those securities may have rights, preferences, or privileges senior to the rights of our Class A common stock, and our stockholders may experience dilution.</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disclosure controls and internal control over financial reporting, our ability to produce timely and accurate consolidated financial statements or comply with applicable regulations could be impaired.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the reporting requirements of the Exchange Act, the Sarbanes-Oxley Act of 2002 (the “Sarbanes-Oxley Act”) and the rules and regulations of the applicable listing standards of The Nasdaq Stock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497205"/>
                <wp:effectExtent l="0" t="0" r="0" b="0"/>
                <wp:wrapNone/>
                <wp:docPr id="69" name="Frame6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condensed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Stock Market. We are required to provide an annual management report on the effectiveness of our internal control over financial reporting.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is required to formally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Class A common stock market price and trading volume could decline if securities or industry analysts do not publish research or publish inaccurate or unfavorable research about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Class A common stock depends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one or more securities analysts cease coverage of us or fail to publish reports on us regularly, demand for our securities could decrease, which might cause the price and trading volume of our Class A common stock to decline.</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incur costs and demands upon management as a result of complying with the laws and regulations affecting public companies in the United States, which may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listed in the United States, we incur significant additional legal, accounting, and other expenses.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Investors’ and other stakeholders’ expectations of our performance relating to environmental, social and governance factors may impose additional costs and expose us to new risks.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is an increasing focus from certain investors, customers, employees, and other stakeholders concerning environmental, social and governance matters (“ESG”). Some investors may use these non-financial performance factors to guide their investment strategies and, in some cases, may choose not to invest in us if they believe our policies and actions relating to ESG are inadequate. We may face reputational damage in the event that we do not meet the ESG standards set by various constituencies.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497205"/>
                <wp:effectExtent l="0" t="0" r="0" b="0"/>
                <wp:wrapNone/>
                <wp:docPr id="70" name="Frame7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ESG best practices and reporting standards continue to develop, we may incur increasing costs relating to ESG monitoring and reporting and complying with ESG initiatives. For example, the SEC has recently proposed climate change and ESG reporting requirements, which, if approved, would increase our compliance costs. We may also face greater costs to comply with new ESG standards or initiatives in the European Union. We recently published our ESG Report for fiscal year 2022, which describes, among other things, the measurement of our greenhouse gas emissions in 2021 and our efforts to reduce emissions. In addition, our ESG Report provides highlights of how we are supporting our workforce, including our efforts to promote diversity, equity, and inclusion. Our disclosures on these matters, or a failure to meet evolving stakeholder expectations for ESG practices and reporting, may potentially harm our reputation and customer relationships. Due to new regulatory standards and market standards, certain new or existing customers, particularly those in the European Union, may impose stricter ESG guidelines or mandates for, and may scrutinize relationships more closely with, their counterparties, including us, which may lengthen sales cycles or increase our costs.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if our competitors’ ESG performance is perceived to be better than ours, potential or current investors may elect to invest with our competitors instead. In addition, in the event that we communicate certain initiatives or goals regarding ESG matters, we could fail, or be perceived to fail, in our achievement of such initiatives or goals, or we could be criticized for the scope of such initiatives or goals. If we fail to satisfy the expectations of investors, customers, employees and other stakeholders or our initiatives are not executed as planned, our business, financial condition, results of operations, and prospects could be adversely affected.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Climate change may have an impact on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While we seek to mitigate our business risks associated with climate change (such as drought, wildfires, hurricanes, increased storm severity and sea level rise), we recognize that there are inherent climate-related risks wherever business is conducted. Our primary locations may be vulnerable to the adverse effects of climate change. For example, certain of our offices have experienced, and are projected to continue to experience, climate-related events at an increasing frequency, including drought, heat waves, wildfires and resultant air quality impacts and power shutoffs associated with wildfire prevention. Changing market dynamics, global policy developments and the increasing frequency and impact of extreme weather events on critical infrastructure in the U.S. and elsewhere have the potential to disrupt our business, the business of our third-party suppliers and the business of our customers, and may cause us to experience losses and additional costs to maintain or resume operations. In addition, we may be subject to increased regulations, reporting requirements, standards or expectations regarding the environmental impacts of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62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62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62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62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ind w:left="0" w:right="0" w:firstLine="540"/>
        <w:jc w:val="left"/>
        <w:rPr/>
      </w:pPr>
      <w:r>
        <w:rPr/>
      </w:r>
    </w:p>
    <w:p>
      <w:pPr>
        <w:pStyle w:val="TextBody"/>
        <w:bidi w:val="0"/>
        <w:spacing w:lineRule="auto" w:line="256" w:before="0" w:after="0"/>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Trading Arrangements</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Company’s last fiscal quarter, the Company’s directors and officers (as defined in Rule 16a-1(f) under the Exchange Act) adopted or terminated the contracts, instructions or written plans for the purchase or sale of the Company’s securities set forth in the table below.</w:t>
      </w:r>
    </w:p>
    <w:tbl>
      <w:tblPr>
        <w:tblW w:w="10205" w:type="dxa"/>
        <w:jc w:val="left"/>
        <w:tblInd w:w="0" w:type="dxa"/>
        <w:tblLayout w:type="fixed"/>
        <w:tblCellMar>
          <w:top w:w="28" w:type="dxa"/>
          <w:left w:w="28" w:type="dxa"/>
          <w:bottom w:w="28" w:type="dxa"/>
          <w:right w:w="28" w:type="dxa"/>
        </w:tblCellMar>
      </w:tblPr>
      <w:tblGrid>
        <w:gridCol w:w="754"/>
        <w:gridCol w:w="604"/>
        <w:gridCol w:w="607"/>
        <w:gridCol w:w="294"/>
        <w:gridCol w:w="294"/>
        <w:gridCol w:w="298"/>
        <w:gridCol w:w="486"/>
        <w:gridCol w:w="486"/>
        <w:gridCol w:w="487"/>
        <w:gridCol w:w="316"/>
        <w:gridCol w:w="316"/>
        <w:gridCol w:w="316"/>
        <w:gridCol w:w="316"/>
        <w:gridCol w:w="316"/>
        <w:gridCol w:w="322"/>
        <w:gridCol w:w="987"/>
        <w:gridCol w:w="859"/>
        <w:gridCol w:w="862"/>
        <w:gridCol w:w="374"/>
        <w:gridCol w:w="374"/>
        <w:gridCol w:w="537"/>
      </w:tblGrid>
      <w:tr>
        <w:trPr/>
        <w:tc>
          <w:tcPr>
            <w:tcW w:w="75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Type of Trading Arrangement</w:t>
            </w:r>
          </w:p>
        </w:tc>
        <w:tc>
          <w:tcPr>
            <w:tcW w:w="270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Name and Position</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Action</w:t>
            </w:r>
          </w:p>
        </w:tc>
        <w:tc>
          <w:tcPr>
            <w:tcW w:w="14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Adoption/ Termination</w:t>
            </w:r>
          </w:p>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Date</w:t>
            </w:r>
          </w:p>
        </w:tc>
        <w:tc>
          <w:tcPr>
            <w:tcW w:w="9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Rule 10b5-1*</w:t>
            </w:r>
          </w:p>
        </w:tc>
        <w:tc>
          <w:tcPr>
            <w:tcW w:w="9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Non-</w:t>
            </w:r>
          </w:p>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Rule 10b5-1**</w:t>
            </w:r>
          </w:p>
        </w:tc>
        <w:tc>
          <w:tcPr>
            <w:tcW w:w="27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Total Shares of Class A Common Stock to be Sold***</w:t>
            </w:r>
          </w:p>
        </w:tc>
        <w:tc>
          <w:tcPr>
            <w:tcW w:w="12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Expiration Date</w:t>
            </w:r>
          </w:p>
        </w:tc>
      </w:tr>
      <w:tr>
        <w:trPr/>
        <w:tc>
          <w:tcPr>
            <w:tcW w:w="19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Aparna Bawa, Chief Operating Officer</w:t>
            </w:r>
          </w:p>
        </w:tc>
        <w:tc>
          <w:tcPr>
            <w:tcW w:w="88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14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06/21/2023</w:t>
            </w:r>
          </w:p>
        </w:tc>
        <w:tc>
          <w:tcPr>
            <w:tcW w:w="94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954"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846"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166,944 </w:t>
            </w:r>
          </w:p>
        </w:tc>
        <w:tc>
          <w:tcPr>
            <w:tcW w:w="86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07/31/2024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497205"/>
                <wp:effectExtent l="0" t="0" r="0" b="0"/>
                <wp:wrapNone/>
                <wp:docPr id="71" name="Frame7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661"/>
        <w:gridCol w:w="1462"/>
        <w:gridCol w:w="1466"/>
        <w:gridCol w:w="397"/>
        <w:gridCol w:w="397"/>
        <w:gridCol w:w="398"/>
        <w:gridCol w:w="369"/>
        <w:gridCol w:w="369"/>
        <w:gridCol w:w="371"/>
        <w:gridCol w:w="146"/>
        <w:gridCol w:w="146"/>
        <w:gridCol w:w="146"/>
        <w:gridCol w:w="146"/>
        <w:gridCol w:w="146"/>
        <w:gridCol w:w="146"/>
        <w:gridCol w:w="557"/>
        <w:gridCol w:w="557"/>
        <w:gridCol w:w="146"/>
        <w:gridCol w:w="342"/>
        <w:gridCol w:w="342"/>
        <w:gridCol w:w="495"/>
      </w:tblGrid>
      <w:tr>
        <w:trPr/>
        <w:tc>
          <w:tcPr>
            <w:tcW w:w="1661"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Velchamy Sankarlingam, President of Product &amp; Engineering</w:t>
            </w:r>
          </w:p>
        </w:tc>
        <w:tc>
          <w:tcPr>
            <w:tcW w:w="11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11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06/15/2023</w:t>
            </w:r>
          </w:p>
        </w:tc>
        <w:tc>
          <w:tcPr>
            <w:tcW w:w="4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43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109,965 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08/23/2024</w:t>
            </w:r>
          </w:p>
        </w:tc>
      </w:tr>
      <w:tr>
        <w:trPr/>
        <w:tc>
          <w:tcPr>
            <w:tcW w:w="4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Eric S. Yuan, Chief Executive Officer</w:t>
            </w:r>
          </w:p>
        </w:tc>
        <w:tc>
          <w:tcPr>
            <w:tcW w:w="119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110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06/02/2023</w:t>
            </w:r>
          </w:p>
        </w:tc>
        <w:tc>
          <w:tcPr>
            <w:tcW w:w="43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438"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156,680 </w:t>
            </w:r>
          </w:p>
        </w:tc>
        <w:tc>
          <w:tcPr>
            <w:tcW w:w="1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10/18/2024</w:t>
            </w:r>
          </w:p>
        </w:tc>
      </w:tr>
      <w:tr>
        <w:trPr/>
        <w:tc>
          <w:tcPr>
            <w:tcW w:w="10205" w:type="dxa"/>
            <w:gridSpan w:val="21"/>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Contract, instruction or written plan intended to satisfy the affirmative defense conditions of Rule 10b5-1(c) under the Exchange Act.</w:t>
            </w:r>
          </w:p>
        </w:tc>
      </w:tr>
      <w:tr>
        <w:trPr/>
        <w:tc>
          <w:tcPr>
            <w:tcW w:w="10205" w:type="dxa"/>
            <w:gridSpan w:val="21"/>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“Non-Rule 10b5-1 trading arrangement” as defined in Item 408(c) of Regulation S-K under the Exchange Act.</w:t>
            </w:r>
          </w:p>
        </w:tc>
      </w:tr>
      <w:tr>
        <w:trPr/>
        <w:tc>
          <w:tcPr>
            <w:tcW w:w="10205" w:type="dxa"/>
            <w:gridSpan w:val="21"/>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Represents the maximum number of shares that may be sold pursuant to the 10b5-1 arrangement. The actual number of shares sold will be dependent on the satisfaction of certain conditions as set forth in the written plan.</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497205"/>
                <wp:effectExtent l="0" t="0" r="0" b="0"/>
                <wp:wrapNone/>
                <wp:docPr id="72" name="Frame7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1"/>
        <w:gridCol w:w="248"/>
        <w:gridCol w:w="249"/>
        <w:gridCol w:w="109"/>
        <w:gridCol w:w="109"/>
        <w:gridCol w:w="109"/>
        <w:gridCol w:w="1681"/>
        <w:gridCol w:w="1681"/>
        <w:gridCol w:w="1695"/>
        <w:gridCol w:w="109"/>
        <w:gridCol w:w="109"/>
        <w:gridCol w:w="109"/>
        <w:gridCol w:w="170"/>
        <w:gridCol w:w="170"/>
        <w:gridCol w:w="171"/>
        <w:gridCol w:w="109"/>
        <w:gridCol w:w="109"/>
        <w:gridCol w:w="109"/>
        <w:gridCol w:w="254"/>
        <w:gridCol w:w="254"/>
        <w:gridCol w:w="225"/>
        <w:gridCol w:w="109"/>
        <w:gridCol w:w="109"/>
        <w:gridCol w:w="109"/>
        <w:gridCol w:w="210"/>
        <w:gridCol w:w="210"/>
        <w:gridCol w:w="211"/>
        <w:gridCol w:w="109"/>
        <w:gridCol w:w="109"/>
        <w:gridCol w:w="109"/>
        <w:gridCol w:w="304"/>
        <w:gridCol w:w="228"/>
        <w:gridCol w:w="328"/>
      </w:tblGrid>
      <w:tr>
        <w:trPr/>
        <w:tc>
          <w:tcPr>
            <w:tcW w:w="28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7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77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0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Times New Roman;sans-serif" w:hAnsi="Times New Roman;sans-serif"/>
                  <w:b w:val="false"/>
                  <w:color w:val="0000FF"/>
                  <w:sz w:val="20"/>
                  <w:u w:val="single"/>
                </w:rPr>
                <w:t>Amended and Restated Certificate of Incorporation of Zoom Video Communications,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001-38865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23, 2019</w:t>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ans-serif" w:hAnsi="Times New Roman;sans-serif"/>
                  <w:b w:val="false"/>
                  <w:color w:val="0000FF"/>
                  <w:sz w:val="20"/>
                  <w:u w:val="single"/>
                </w:rPr>
                <w:t>Amended and Restated Bylaws of Zoom Video Communications,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001-38865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 2023</w:t>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zm-20230731xex311.htm">
              <w:r>
                <w:rPr>
                  <w:rStyle w:val="InternetLink"/>
                  <w:rFonts w:ascii="Times New Roman;sans-serif" w:hAnsi="Times New Roman;sans-serif"/>
                  <w:b w:val="false"/>
                  <w:color w:val="0000FF"/>
                  <w:sz w:val="20"/>
                  <w:u w:val="single"/>
                </w:rPr>
                <w:t>Certification of Chief Executive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zm-20230731xex312.htm">
              <w:r>
                <w:rPr>
                  <w:rStyle w:val="InternetLink"/>
                  <w:rFonts w:ascii="Times New Roman;sans-serif" w:hAnsi="Times New Roman;sans-serif"/>
                  <w:b w:val="false"/>
                  <w:color w:val="0000FF"/>
                  <w:sz w:val="20"/>
                  <w:u w:val="single"/>
                </w:rPr>
                <w:t>Certification of Chief Financial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zm-20230731xex321.htm">
              <w:r>
                <w:rPr>
                  <w:rStyle w:val="InternetLink"/>
                  <w:rFonts w:ascii="Times New Roman;sans-serif" w:hAnsi="Times New Roman;sans-serif"/>
                  <w:b w:val="false"/>
                  <w:color w:val="0000FF"/>
                  <w:sz w:val="20"/>
                  <w:u w:val="single"/>
                </w:rPr>
                <w:t>Certifications of Chief Executive Officer and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(the instance document does not appear in the Interactive Data File because its XBRL tags are embedded within the Inline EXBRL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(the cover page from the Registrant’s Quarterly Report on Form 10-Q for the quarter ended July 31, 2023, has been formatted in Inline 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ind w:left="0" w:right="0" w:hanging="720"/>
        <w:jc w:val="both"/>
        <w:rPr>
          <w:color w:val="000000"/>
        </w:rPr>
      </w:pPr>
      <w:r>
        <w:rPr>
          <w:color w:val="000000"/>
        </w:rPr>
        <w:t>†    </w:t>
      </w:r>
      <w:r>
        <w:rPr>
          <w:rFonts w:ascii="Times New Roman;sans-serif" w:hAnsi="Times New Roman;sans-serif"/>
          <w:b w:val="false"/>
          <w:color w:val="000000"/>
          <w:sz w:val="20"/>
        </w:rPr>
        <w:t>The certifications attached as Exhibit 32.1 that accompany this Quarterly Report on Form 10-Q are not deemed filed with the SEC and are not to be incorporated by reference into any filing of the Registrant under the Securities Act, whether made before or after the date of this Quarterly Report on Form 10-Q, irrespective of any general incorporation language contained in such filing.</w:t>
      </w:r>
    </w:p>
    <w:p>
      <w:pPr>
        <w:pStyle w:val="TextBody"/>
        <w:bidi w:val="0"/>
        <w:spacing w:before="0" w:after="0"/>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497205"/>
                <wp:effectExtent l="0" t="0" r="0" b="0"/>
                <wp:wrapNone/>
                <wp:docPr id="73" name="Frame7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39dbd7839fe74b59973e2a00676a2c6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945" w:type="dxa"/>
        <w:jc w:val="left"/>
        <w:tblInd w:w="0" w:type="dxa"/>
        <w:tblLayout w:type="fixed"/>
        <w:tblCellMar>
          <w:top w:w="28" w:type="dxa"/>
          <w:left w:w="28" w:type="dxa"/>
          <w:bottom w:w="28" w:type="dxa"/>
          <w:right w:w="28" w:type="dxa"/>
        </w:tblCellMar>
      </w:tblPr>
      <w:tblGrid>
        <w:gridCol w:w="705"/>
        <w:gridCol w:w="621"/>
        <w:gridCol w:w="624"/>
        <w:gridCol w:w="595"/>
        <w:gridCol w:w="595"/>
        <w:gridCol w:w="595"/>
        <w:gridCol w:w="937"/>
        <w:gridCol w:w="937"/>
        <w:gridCol w:w="1336"/>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ZOOM VIDEO COMMUNICATIONS,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23, 2023</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Eric S. Yuan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S. Yuan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23, 2023</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Kelly Steckelberg</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Kelly Steckelberg</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497205"/>
                <wp:effectExtent l="0" t="0" r="0" b="0"/>
                <wp:wrapNone/>
                <wp:docPr id="74" name="Frame7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EXCHANGE ACT RULES 13a-14(a) AND 15d-14(a)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302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Eric S. Yuan, certify that: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Zoom Video Communications, Inc.;</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159" w:type="dxa"/>
        <w:jc w:val="left"/>
        <w:tblInd w:w="0" w:type="dxa"/>
        <w:tblLayout w:type="fixed"/>
        <w:tblCellMar>
          <w:top w:w="28" w:type="dxa"/>
          <w:left w:w="28" w:type="dxa"/>
          <w:bottom w:w="28" w:type="dxa"/>
          <w:right w:w="28" w:type="dxa"/>
        </w:tblCellMar>
      </w:tblPr>
      <w:tblGrid>
        <w:gridCol w:w="705"/>
        <w:gridCol w:w="621"/>
        <w:gridCol w:w="624"/>
        <w:gridCol w:w="936"/>
        <w:gridCol w:w="936"/>
        <w:gridCol w:w="1337"/>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Eric S. Yuan</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23, 2023</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S. Yuan</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EXCHANGE ACT RULES 13a-14(a) AND 15d-14(a)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302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Kelly Steckelberg, certify that: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Zoom Video Communications, Inc.;</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469" w:type="dxa"/>
        <w:jc w:val="left"/>
        <w:tblInd w:w="0" w:type="dxa"/>
        <w:tblLayout w:type="fixed"/>
        <w:tblCellMar>
          <w:top w:w="28" w:type="dxa"/>
          <w:left w:w="28" w:type="dxa"/>
          <w:bottom w:w="28" w:type="dxa"/>
          <w:right w:w="28" w:type="dxa"/>
        </w:tblCellMar>
      </w:tblPr>
      <w:tblGrid>
        <w:gridCol w:w="705"/>
        <w:gridCol w:w="621"/>
        <w:gridCol w:w="624"/>
        <w:gridCol w:w="737"/>
        <w:gridCol w:w="737"/>
        <w:gridCol w:w="1045"/>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Kelly Steckelberg</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23, 2023</w:t>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Kelly Steckelberg</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AND CHIEF FINANCIAL OFFICER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906 OF THE SARBANES-OXLEY ACT OF 2002</w:t>
      </w:r>
    </w:p>
    <w:p>
      <w:pPr>
        <w:pStyle w:val="TextBody"/>
        <w:bidi w:val="0"/>
        <w:spacing w:before="200" w:after="283"/>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Eric S. Yuan, certify, pursuant to the requirement set forth in Rule 13a-14(b) of the Securities Exchange Act of 1934, as amended (the “Exchange Act”) and 18 U.S.C. Section 1350, as adopted pursuant to Section 906 of the Sarbanes-Oxley Act of 2002, that to the best of my knowledge, the Quarterly Report on Form 10-Q of Zoom Video Communications, Inc. for the fiscal quarter ended July 31, 2023 fully complies with the requirements of Section 13(a) or 15(d) of the Exchange Act and that information contained in such Quarterly Report on Form 10-Q fairly presents, in all material respects, the financial condition and results of operations of Zoom Video Communications, Inc.</w:t>
      </w:r>
    </w:p>
    <w:tbl>
      <w:tblPr>
        <w:tblW w:w="5563"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936"/>
        <w:gridCol w:w="936"/>
        <w:gridCol w:w="1337"/>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23,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Eric S. Yuan</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S. Yuan</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before="200" w:after="283"/>
        <w:jc w:val="left"/>
        <w:rPr/>
      </w:pPr>
      <w:r>
        <w:rPr/>
      </w:r>
    </w:p>
    <w:p>
      <w:pPr>
        <w:pStyle w:val="TextBody"/>
        <w:bidi w:val="0"/>
        <w:spacing w:before="200" w:after="283"/>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Kelly Steckelberg, certify, pursuant to the requirement set forth in Rule 13a-14(b) of the Exchange Act and 18 U.S.C. Section 1350, as adopted pursuant to Section 906 of the Sarbanes-Oxley Act of 2002, that to the best of my knowledge, the Quarterly Report on Form 10-Q of Zoom Video Communications, Inc. for the fiscal quarter ended July 31, 2023 fully complies with the requirements of Section 13(a) or 15(d) of the Exchange Act and that information contained in such Quarterly Report on Form 10-Q fairly presents, in all material respects, the financial condition and results of operations of Zoom Video Communications, Inc.</w:t>
      </w:r>
    </w:p>
    <w:tbl>
      <w:tblPr>
        <w:tblW w:w="4873"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737"/>
        <w:gridCol w:w="737"/>
        <w:gridCol w:w="1045"/>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23,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Kelly Steckelberg</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Kelly Steckelberg</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85521/000119312519115111/d736915dex31.htm" TargetMode="External"/><Relationship Id="rId3" Type="http://schemas.openxmlformats.org/officeDocument/2006/relationships/hyperlink" Target="https://www.sec.gov/Archives/edgar/data/1585521/000158552123000035/zoom-amendedandrestatedb.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49528</Words>
  <Characters>276108</Characters>
  <CharactersWithSpaces>323889</CharactersWithSpaces>
  <Paragraphs>3175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