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4543.xml.htm"/>
      <w:bookmarkStart w:id="1" w:name="kswkform4_17883845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Epstein Jeff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 COMMUNICATIONS,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 ALMADEN BLVD,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Zoom Communications,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2,233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received an award of restricted stock units, 100% of which will vest on the first anniversary date of the grant (or, if sooner, the day immediately preceding the next annual meeting that occurs following the grant date).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Cheree McAlpine,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8718" TargetMode="External"/><Relationship Id="rId5" Type="http://schemas.openxmlformats.org/officeDocument/2006/relationships/hyperlink" Target="http://www.sec.gov/cgi-bin/browse-edgar?action=getcompany&amp;CIK=0001585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3422</Characters>
  <CharactersWithSpaces>3983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