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60" w:right="540" w:hanging="534"/>
        <w:spacing w:after="0" w:line="238"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580" w:right="500" w:hanging="534"/>
        <w:spacing w:after="0" w:line="238" w:lineRule="auto"/>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2"/>
        </w:trPr>
        <w:tc>
          <w:tcPr>
            <w:tcW w:w="3880" w:type="dxa"/>
            <w:vAlign w:val="bottom"/>
          </w:tcPr>
          <w:p>
            <w:pPr>
              <w:spacing w:after="0"/>
              <w:rPr>
                <w:sz w:val="20"/>
                <w:szCs w:val="20"/>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tc>
        <w:tc>
          <w:tcPr>
            <w:tcW w:w="3700" w:type="dxa"/>
            <w:vAlign w:val="bottom"/>
          </w:tcPr>
          <w:p>
            <w:pPr>
              <w:spacing w:after="0"/>
              <w:rPr>
                <w:sz w:val="20"/>
                <w:szCs w:val="20"/>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485"/>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Zoom Video Communications, Inc.</w:t>
            </w:r>
          </w:p>
        </w:tc>
      </w:tr>
      <w:tr>
        <w:trPr>
          <w:trHeight w:val="175"/>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55"/>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61-1648780</w:t>
            </w:r>
          </w:p>
        </w:tc>
      </w:tr>
      <w:tr>
        <w:trPr>
          <w:trHeight w:val="146"/>
        </w:trPr>
        <w:tc>
          <w:tcPr>
            <w:tcW w:w="3880" w:type="dxa"/>
            <w:vAlign w:val="bottom"/>
          </w:tcPr>
          <w:p>
            <w:pPr>
              <w:jc w:val="center"/>
              <w:ind w:left="159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00" w:type="dxa"/>
            <w:vAlign w:val="bottom"/>
          </w:tcPr>
          <w:p>
            <w:pPr>
              <w:jc w:val="center"/>
              <w:ind w:right="181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tc>
        <w:tc>
          <w:tcPr>
            <w:tcW w:w="3700" w:type="dxa"/>
            <w:vAlign w:val="bottom"/>
          </w:tcPr>
          <w:p>
            <w:pPr>
              <w:spacing w:after="0"/>
              <w:rPr>
                <w:sz w:val="24"/>
                <w:szCs w:val="24"/>
                <w:color w:val="auto"/>
              </w:rPr>
            </w:pPr>
          </w:p>
        </w:tc>
      </w:tr>
      <w:tr>
        <w:trPr>
          <w:trHeight w:val="212"/>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San Jose, California 95113</w:t>
            </w:r>
          </w:p>
        </w:tc>
        <w:tc>
          <w:tcPr>
            <w:tcW w:w="3700" w:type="dxa"/>
            <w:vAlign w:val="bottom"/>
          </w:tcPr>
          <w:p>
            <w:pPr>
              <w:spacing w:after="0"/>
              <w:rPr>
                <w:sz w:val="18"/>
                <w:szCs w:val="18"/>
                <w:color w:val="auto"/>
              </w:rPr>
            </w:pPr>
          </w:p>
        </w:tc>
      </w:tr>
      <w:tr>
        <w:trPr>
          <w:trHeight w:val="192"/>
        </w:trPr>
        <w:tc>
          <w:tcPr>
            <w:tcW w:w="3880" w:type="dxa"/>
            <w:vAlign w:val="bottom"/>
          </w:tcPr>
          <w:p>
            <w:pPr>
              <w:spacing w:after="0"/>
              <w:rPr>
                <w:sz w:val="16"/>
                <w:szCs w:val="16"/>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3700" w:type="dxa"/>
            <w:vAlign w:val="bottom"/>
          </w:tcPr>
          <w:p>
            <w:pPr>
              <w:spacing w:after="0"/>
              <w:rPr>
                <w:sz w:val="16"/>
                <w:szCs w:val="16"/>
                <w:color w:val="auto"/>
              </w:rPr>
            </w:pPr>
          </w:p>
        </w:tc>
      </w:tr>
      <w:tr>
        <w:trPr>
          <w:trHeight w:val="280"/>
        </w:trPr>
        <w:tc>
          <w:tcPr>
            <w:tcW w:w="3880" w:type="dxa"/>
            <w:vAlign w:val="bottom"/>
          </w:tcPr>
          <w:p>
            <w:pPr>
              <w:spacing w:after="0"/>
              <w:rPr>
                <w:sz w:val="24"/>
                <w:szCs w:val="24"/>
                <w:color w:val="auto"/>
              </w:rPr>
            </w:pPr>
          </w:p>
        </w:tc>
        <w:tc>
          <w:tcPr>
            <w:tcW w:w="2960" w:type="dxa"/>
            <w:vAlign w:val="bottom"/>
            <w:gridSpan w:val="3"/>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w w:val="99"/>
              </w:rPr>
              <w:t>(888) 799-9666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8"/>
        </w:trPr>
        <w:tc>
          <w:tcPr>
            <w:tcW w:w="3880" w:type="dxa"/>
            <w:vAlign w:val="bottom"/>
          </w:tcPr>
          <w:p>
            <w:pPr>
              <w:spacing w:after="0"/>
              <w:rPr>
                <w:sz w:val="15"/>
                <w:szCs w:val="15"/>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60"/>
        </w:trPr>
        <w:tc>
          <w:tcPr>
            <w:tcW w:w="7480" w:type="dxa"/>
            <w:vAlign w:val="bottom"/>
            <w:gridSpan w:val="6"/>
          </w:tcPr>
          <w:p>
            <w:pPr>
              <w:jc w:val="center"/>
              <w:ind w:left="361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00" w:type="dxa"/>
            <w:vAlign w:val="bottom"/>
          </w:tcPr>
          <w:p>
            <w:pPr>
              <w:spacing w:after="0"/>
              <w:rPr>
                <w:sz w:val="22"/>
                <w:szCs w:val="22"/>
                <w:color w:val="auto"/>
              </w:rPr>
            </w:pPr>
          </w:p>
        </w:tc>
      </w:tr>
      <w:tr>
        <w:trPr>
          <w:trHeight w:val="233"/>
        </w:trPr>
        <w:tc>
          <w:tcPr>
            <w:tcW w:w="3880" w:type="dxa"/>
            <w:vAlign w:val="bottom"/>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8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141"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August 12, 2022, the number of shares of the registrant’s Class A common stock outstanding was 250,975,154 and the number of shares of the registrant’s Class B common stock outstanding was 46,669,985.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July 31, 2022</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4940" w:type="dxa"/>
            <w:vAlign w:val="bottom"/>
            <w:gridSpan w:val="10"/>
            <w:vMerge w:val="restart"/>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4"/>
                <w:szCs w:val="14"/>
                <w:color w:val="auto"/>
              </w:rPr>
            </w:pPr>
          </w:p>
        </w:tc>
        <w:tc>
          <w:tcPr>
            <w:tcW w:w="3880" w:type="dxa"/>
            <w:vAlign w:val="bottom"/>
            <w:tcBorders>
              <w:bottom w:val="single" w:sz="8" w:color="0000FF"/>
            </w:tcBorders>
            <w:gridSpan w:val="15"/>
            <w:vMerge w:val="continue"/>
          </w:tcPr>
          <w:p>
            <w:pPr>
              <w:spacing w:after="0"/>
              <w:rPr>
                <w:sz w:val="14"/>
                <w:szCs w:val="14"/>
                <w:color w:val="auto"/>
              </w:rPr>
            </w:pPr>
          </w:p>
        </w:tc>
        <w:tc>
          <w:tcPr>
            <w:tcW w:w="4940" w:type="dxa"/>
            <w:vAlign w:val="bottom"/>
            <w:gridSpan w:val="10"/>
            <w:vMerge w:val="continue"/>
          </w:tcPr>
          <w:p>
            <w:pPr>
              <w:spacing w:after="0"/>
              <w:rPr>
                <w:sz w:val="14"/>
                <w:szCs w:val="14"/>
                <w:color w:val="auto"/>
              </w:rPr>
            </w:pPr>
          </w:p>
        </w:tc>
        <w:tc>
          <w:tcPr>
            <w:tcW w:w="14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00" w:type="dxa"/>
            <w:vAlign w:val="bottom"/>
            <w:gridSpan w:val="11"/>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July 31, 2022 and January 31, 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0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July 31, 2022 and 2021</w:t>
            </w:r>
          </w:p>
        </w:tc>
        <w:tc>
          <w:tcPr>
            <w:tcW w:w="760" w:type="dxa"/>
            <w:vAlign w:val="bottom"/>
            <w:gridSpan w:val="3"/>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July 31, 2022 and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940" w:type="dxa"/>
            <w:vAlign w:val="bottom"/>
          </w:tcPr>
          <w:p>
            <w:pPr>
              <w:spacing w:after="0"/>
              <w:rPr>
                <w:sz w:val="24"/>
                <w:szCs w:val="24"/>
                <w:color w:val="auto"/>
              </w:rPr>
            </w:pPr>
          </w:p>
        </w:tc>
        <w:tc>
          <w:tcPr>
            <w:tcW w:w="88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July 31, 2022 and 2021</w:t>
            </w:r>
          </w:p>
        </w:tc>
        <w:tc>
          <w:tcPr>
            <w:tcW w:w="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31, 2022 and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40" w:type="dxa"/>
            <w:vAlign w:val="bottom"/>
            <w:tcBorders>
              <w:top w:val="single" w:sz="8" w:color="0000FF"/>
            </w:tcBorders>
            <w:gridSpan w:val="5"/>
          </w:tcPr>
          <w:p>
            <w:pPr>
              <w:spacing w:after="0"/>
              <w:rPr>
                <w:sz w:val="18"/>
                <w:szCs w:val="18"/>
                <w:color w:val="auto"/>
              </w:rPr>
            </w:pPr>
          </w:p>
        </w:tc>
        <w:tc>
          <w:tcPr>
            <w:tcW w:w="1480" w:type="dxa"/>
            <w:vAlign w:val="bottom"/>
            <w:gridSpan w:val="4"/>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60" w:type="dxa"/>
            <w:vAlign w:val="bottom"/>
            <w:gridSpan w:val="7"/>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 w:type="dxa"/>
            <w:vAlign w:val="bottom"/>
            <w:tcBorders>
              <w:top w:val="single" w:sz="8" w:color="0000FF"/>
            </w:tcBorders>
            <w:gridSpan w:val="4"/>
          </w:tcPr>
          <w:p>
            <w:pPr>
              <w:spacing w:after="0"/>
              <w:rPr>
                <w:sz w:val="22"/>
                <w:szCs w:val="22"/>
                <w:color w:val="auto"/>
              </w:rPr>
            </w:pPr>
          </w:p>
        </w:tc>
        <w:tc>
          <w:tcPr>
            <w:tcW w:w="674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8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00" w:type="dxa"/>
            <w:vAlign w:val="bottom"/>
            <w:gridSpan w:val="1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060" w:type="dxa"/>
            <w:vAlign w:val="bottom"/>
            <w:gridSpan w:val="16"/>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220" w:type="dxa"/>
            <w:vAlign w:val="bottom"/>
            <w:gridSpan w:val="2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6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8"/>
        </w:trPr>
        <w:tc>
          <w:tcPr>
            <w:tcW w:w="940" w:type="dxa"/>
            <w:vAlign w:val="bottom"/>
          </w:tcPr>
          <w:p>
            <w:pPr>
              <w:spacing w:after="0"/>
              <w:rPr>
                <w:sz w:val="24"/>
                <w:szCs w:val="24"/>
                <w:color w:val="auto"/>
              </w:rPr>
            </w:pPr>
          </w:p>
        </w:tc>
        <w:tc>
          <w:tcPr>
            <w:tcW w:w="5920" w:type="dxa"/>
            <w:vAlign w:val="bottom"/>
            <w:gridSpan w:val="19"/>
          </w:tcPr>
          <w:p>
            <w:pPr>
              <w:jc w:val="center"/>
              <w:ind w:left="335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platform; our product strategy; our efforts to enhance the security and privacy of our platform; the potential impacts of the COVID-19 pandemic recovery and related public health measures on our business, the business of our customers, suppliers and channel partners, and the economy; our ability to operate our business and effectively manage our growth under evolving macroeconomic conditions, such as high inflation and recessionary environments;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3" w:lineRule="exact"/>
        <w:rPr>
          <w:rFonts w:ascii="Times New Roman" w:cs="Times New Roman" w:eastAsia="Times New Roman" w:hAnsi="Times New Roman"/>
          <w:sz w:val="18"/>
          <w:szCs w:val="18"/>
          <w:color w:val="auto"/>
        </w:rPr>
      </w:pPr>
    </w:p>
    <w:p>
      <w:pPr>
        <w:jc w:val="both"/>
        <w:ind w:left="660" w:right="2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has begun to decline, and we expect our revenue growth rate to generally decline in future periods.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and with the introduction of new technologies and market entrants, we expect competition to intensify in the future.</w:t>
      </w:r>
    </w:p>
    <w:p>
      <w:pPr>
        <w:spacing w:after="0" w:line="79"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increase sales to large organizations, our sales cycles could lengthen, and we could experience greater deployment challenges.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increase our expenses in the future, which could decrease our profitability or prevent us from maintaining profitability.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respond to rapid technological changes, extend our platform or develop new features.</w:t>
      </w:r>
    </w:p>
    <w:p>
      <w:pPr>
        <w:spacing w:after="0" w:line="117"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which makes it difficult to evaluate our prospects and future results of operations.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other members of our senior management team, we may not be able to execute our business strategy.</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and expanding operations outside the United States, which may subject us to increased business, regulatory and economic risks that could harm our business.</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assist law enforcement with enforcement of, a variety of U.S. and international laws that could result in claims, increase the cost of operations, or otherwise harm our business due to changes in the laws,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interpretations of the laws, greater enforcement of the laws, or investigations into compliance with the laws.</w:t>
      </w:r>
    </w:p>
    <w:p>
      <w:pPr>
        <w:spacing w:after="0" w:line="117" w:lineRule="exact"/>
        <w:rPr>
          <w:sz w:val="20"/>
          <w:szCs w:val="20"/>
          <w:color w:val="auto"/>
        </w:rPr>
      </w:pPr>
    </w:p>
    <w:p>
      <w:pPr>
        <w:jc w:val="both"/>
        <w:ind w:left="660" w:hanging="166"/>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6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July 31,</w:t>
            </w:r>
          </w:p>
        </w:tc>
        <w:tc>
          <w:tcPr>
            <w:tcW w:w="300" w:type="dxa"/>
            <w:vAlign w:val="bottom"/>
          </w:tcPr>
          <w:p>
            <w:pPr>
              <w:spacing w:after="0"/>
              <w:rPr>
                <w:sz w:val="11"/>
                <w:szCs w:val="11"/>
                <w:color w:val="auto"/>
              </w:rPr>
            </w:pPr>
          </w:p>
        </w:tc>
        <w:tc>
          <w:tcPr>
            <w:tcW w:w="1360" w:type="dxa"/>
            <w:vAlign w:val="bottom"/>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1,062,820</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4,356,446</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$32,404 and $24,696 as of July 31, 2022 and January 31, 2022,</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419,673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145,602</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6,414,401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6,183,807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367,814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106,761</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8,047,598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7,551,318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430,415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1,141,435</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1,866,888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1,579,691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85,018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68,110</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2,057,201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1,771,300</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per share, 200,000,000 shares authorized as of July 31, 2022 and January 31,</w:t>
            </w:r>
          </w:p>
        </w:tc>
        <w:tc>
          <w:tcPr>
            <w:tcW w:w="2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2022; zero shares issued and outstanding as of July 31, 2022 and January 31, 2022</w:t>
            </w:r>
          </w:p>
        </w:tc>
        <w:tc>
          <w:tcPr>
            <w:tcW w:w="2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July 31, 2022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2022; 251,411,051 and 247,044,454 shares issued and outstanding as of July 31, 2022 and January 31,</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2022, respectively; 300,000,000 Class B shares authorized as of July 31, 2022 and January 31, 2022; 46,675,456</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51,993,351 shares issued and outstanding as of July 31, 2022 and January 31, 2022, respectively</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3,749,514</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2,207,515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2,048,107</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5,990,397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5,780,018</w:t>
            </w:r>
          </w:p>
        </w:tc>
        <w:tc>
          <w:tcPr>
            <w:tcW w:w="0" w:type="dxa"/>
            <w:vAlign w:val="bottom"/>
          </w:tcPr>
          <w:p>
            <w:pPr>
              <w:spacing w:after="0"/>
              <w:rPr>
                <w:sz w:val="1"/>
                <w:szCs w:val="1"/>
                <w:color w:val="auto"/>
              </w:rPr>
            </w:pPr>
          </w:p>
        </w:tc>
      </w:tr>
      <w:tr>
        <w:trPr>
          <w:trHeight w:val="23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8,047,598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7,551,318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80" w:type="dxa"/>
            <w:vAlign w:val="bottom"/>
          </w:tcPr>
          <w:p>
            <w:pPr>
              <w:spacing w:after="0"/>
              <w:rPr>
                <w:sz w:val="16"/>
                <w:szCs w:val="16"/>
                <w:color w:val="auto"/>
              </w:rPr>
            </w:pPr>
          </w:p>
        </w:tc>
        <w:tc>
          <w:tcPr>
            <w:tcW w:w="30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1,977,732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526,250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1,451,482</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147,486</w:t>
            </w: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516,846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266,235</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930,567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552,815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544,615</w:t>
            </w:r>
          </w:p>
        </w:tc>
        <w:tc>
          <w:tcPr>
            <w:tcW w:w="0" w:type="dxa"/>
            <w:vAlign w:val="bottom"/>
          </w:tcPr>
          <w:p>
            <w:pPr>
              <w:spacing w:after="0"/>
              <w:rPr>
                <w:sz w:val="1"/>
                <w:szCs w:val="1"/>
                <w:color w:val="auto"/>
              </w:rPr>
            </w:pP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Undistributed earnings attributable to participating</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544,306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4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income per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298,553,379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295,712,675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298,865,676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294,769,619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307,160,840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305,861,051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306,902,964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305,652,628</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7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45,750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317,084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159,408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544,615</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6"/>
        </w:trPr>
        <w:tc>
          <w:tcPr>
            <w:tcW w:w="43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on available-for-sale marketable</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net of tax</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(30,259)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42,826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317,031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129,149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543,923</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July 31, 2022</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298,824,233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3,831,060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2,161,765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5,947,887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(293,534)</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256,715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45,750</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298,086,507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2,207,515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5,990,397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July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294,511,945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3,292,241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4,192,733</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971,922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105,376</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317,084</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297,027,323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3,440,222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1,217,083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4,657,748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July 31, 2022</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299,037,805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3,749,514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2,048,107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5,780,018</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(425,946)</w:t>
            </w: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467,329</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(30,259)</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159,408</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298,086,507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2,207,515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5,990,397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July 31, 2021</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January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293,549,223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3,187,168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672,468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3,860,767</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1,182,958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206,974</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544,615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544,615</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297,027,323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3,440,222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1,217,083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4,657,748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159,408</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544,615</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201,111</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79,392</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(32,076)</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14,592</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(117,259)</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(57,370)</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(102,597)</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43,960</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93,809</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296,636</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1,001,314</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(1,576,853)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(2,094,587)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791,906</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119,569</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(92,049)</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(86,900)</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acquisition,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r>
      <w:tr>
        <w:trPr>
          <w:trHeight w:val="196"/>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(1,364,182)</w:t>
            </w:r>
          </w:p>
        </w:tc>
      </w:tr>
      <w:tr>
        <w:trPr>
          <w:trHeight w:val="19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repurchases of common stock</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for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37,846</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employee equity transactions (remitted) to be remitted to employees and tax authorities,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18,900</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0"/>
        </w:trPr>
        <w:tc>
          <w:tcPr>
            <w:tcW w:w="81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(388,821)</w:t>
            </w:r>
          </w:p>
        </w:tc>
        <w:tc>
          <w:tcPr>
            <w:tcW w:w="1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65,104</w:t>
            </w:r>
          </w:p>
        </w:tc>
      </w:tr>
      <w:tr>
        <w:trPr>
          <w:trHeight w:val="20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(297,764)</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1,073,353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2,293,116</w:t>
            </w:r>
          </w:p>
        </w:tc>
      </w:t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943,420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1,995,352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4"/>
        </w:trPr>
        <w:tc>
          <w:tcPr>
            <w:tcW w:w="8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37"/>
        </w:trPr>
        <w:tc>
          <w:tcPr>
            <w:tcW w:w="81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 shown</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the condensed consolidated statements of cash flows above: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937,443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1,931,370</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63,185</w:t>
            </w:r>
          </w:p>
        </w:tc>
      </w:tr>
      <w:tr>
        <w:trPr>
          <w:trHeight w:val="196"/>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noncurrent included in other assets, noncurrent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r>
      <w:tr>
        <w:trPr>
          <w:trHeight w:val="221"/>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943,420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1,995,352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ZOOM VIDEO COMMUNICATIONS, INC. NOTES TO CONDENSED CONSOLIDATED FINANCIAL STATEMENTS (unaudited)</w:t>
      </w:r>
    </w:p>
    <w:p>
      <w:pPr>
        <w:spacing w:after="0" w:line="384"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Zoom Video Communications, Inc. and its subsidiaries (collectively, “Zoom,” the “Company,” “we,” “us,” or “our”) connect people through our core unified communications offering,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2023, for example, refer to the fiscal year ending January 31, 2023.</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2022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2022, filed with the SEC on March 7, 2022.</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useful lives of long-lived assets, the incremental borrowing rate for operating leases, stock-based compensation expense, sales and other tax liabilities, the fair value of marketable securities and strategic investments, acquired intangible assets and goodwill, the valuation of deferred income tax assets and uncertain tax positions, and accruals and contingencies. Actual results could materially differ from those estimates.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2022, filed with the SEC on March 7, 2022. There have been no significant changes to these policies during the six months ended July 31, 2022.</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Measurements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which clarifies and amends the guidance of measuring the fair value of equity securities subject to contractual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prohibit the sale of the equity securities. The guidance will be effective for fiscal years beginning after December 15, 2023 and interim periods within those fiscal years. We do not expect the adoption to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37"/>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762,690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681,414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1,491,071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1,317,199</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33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149,355</w:t>
            </w:r>
          </w:p>
        </w:tc>
        <w:tc>
          <w:tcPr>
            <w:tcW w:w="132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135,321</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298,175</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259,084</w:t>
            </w:r>
          </w:p>
        </w:tc>
        <w:tc>
          <w:tcPr>
            <w:tcW w:w="13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3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and Africa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187,413</w:t>
            </w:r>
          </w:p>
        </w:tc>
        <w:tc>
          <w:tcPr>
            <w:tcW w:w="132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204,760</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384,012</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401,449</w:t>
            </w:r>
          </w:p>
        </w:tc>
        <w:tc>
          <w:tcPr>
            <w:tcW w:w="13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1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1,099,458</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1,021,495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1,977,732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condensed consolidated balance sheets was $70.6 million and $59.7 million as of July 31, 2022 and January 31, 2022, respectively.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July 31, 2022 and 2021 that was included in deferred revenue at the beginning of each period was $572.7 million and $480.5 million, respectively, and $867.6 million and $660.1 million during the six months ended July 31, 2022 and 2021,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July 31, 2022, the aggregate amount of the transaction price allocated to our remaining performance obligations was $3,213.0 million, which consists of both billed consideration in the amount of $1,401.1 million and unbilled consideration in the amount of $1,811.9 million that we expect to recognize as revenue. We expect to recognize 61% of our remaining performance obligations as revenue over the next 12 months and the remainder thereafter.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Investments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31, 2022 and January 31, 2022, our marketable securities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643,832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408,465</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3,384,243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81,572</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4,646,483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4,582,708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4,380,350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Unrealized losses for securities that have been in an unrealized loss position for less than 12 months were $56.4 million as of July 31, 2022 and $23.3 million as of January 31, 2022. Unrealized losses for securities that have been in an unrealized loss position for 12 months or longer were $8.0 million as of July 31, 2022 and were immaterial as of January 31, 2022.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six months ended July 31, 2022 and 2021.</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July 31, 2022 and January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4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2,827,538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1,755,170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4,582,708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July 31,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344,575</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358,248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form and measurement category as of January 31, 2022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second quarter of fiscal year 2023, we made a strategic investment of $40.0 million for common shares in a company in the B2B software and services travel space's private placement. We recorded a loss of $12.2 million related to this investment for the three months ended July 31, 2022. As of July 31, 2022, the fair value of the investment was $27.8 million and our ownership interest represents less than 1% percent of the economic interest of the investee's outstanding capital stock.</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July 31, 2022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521,527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4,582,708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4,648,843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5080" w:type="dxa"/>
            <w:vAlign w:val="bottom"/>
          </w:tcPr>
          <w:p>
            <w:pPr>
              <w:spacing w:after="0"/>
              <w:rPr>
                <w:sz w:val="24"/>
                <w:szCs w:val="24"/>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796,967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3,027,509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held equity securities included in strategic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allocating the purchase consideration, $94.9 million was attributed to goodwill, $26.7 million to intangible assets (consisted of $12.0 million to developed technology and $14.7 million to customer relationships), and $0.4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July 31, 2022, the developed technology and customer relationships both had a remaining useful life of 4.8 years.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costs incurred in connection with the acquisition were immaterial. The results of operations of Solvvy, Inc.,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Uncertain tax positions are initially established in connection with the acquisition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72" w:lineRule="exact"/>
        <w:rPr>
          <w:sz w:val="20"/>
          <w:szCs w:val="20"/>
          <w:color w:val="auto"/>
        </w:rPr>
      </w:pPr>
    </w:p>
    <w:p>
      <w:pPr>
        <w:jc w:val="right"/>
        <w:ind w:left="500" w:right="8820" w:hanging="492"/>
        <w:spacing w:after="0" w:line="378" w:lineRule="auto"/>
        <w:tabs>
          <w:tab w:leader="none" w:pos="32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Accounts Receivable, Net</w:t>
      </w: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219"/>
        </w:trPr>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444,369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419,673</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rollforward of our allowance for credit losses for the six months ended July 31, 2022 and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7"/>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126,857</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from international employee stock sales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7"/>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Servers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213,578</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$19.6 million and $11.8 million for the three months ended July 31, 2022 and 2021, respectively, and $34.7 million and $22.3 million for the six months ended July 31, 2022 and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noncurrent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106,761</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430,415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July 31, 2022, there have been no material changes to our non-cancelable purchase obligations from those disclosed in Note 8. “Commitments and Contingencies” in the notes to consolidated financial statements included in our Annual Report on Form 10-K for the year ended January 31, 2022, filed with the SEC on March 7,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NDCA.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the motion to dismiss the securities class action. On October 27, 2021, a third substantially identical lawsuit was filed in the same court against the same defendants, seeking unspecified monetary damages and governance reforms. On November 17, 2021, all three derivative lawsuits were consolidated and remain stayed pending resolution of the motion to dismiss the securities class action.</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30, 2022, a new class action was filed against us in the Northern District of California raising privacy claims similar to those raised in the U.S. Privacy Class Actions on behalf of a putative class of users of Zoom who reside in Australia, New Zealand, Canada, and the United Kingdom and who are not members of the settlement class in the U.S. Privacy Class Actions. On July 12, 2022, we moved to dismiss this new class action. We believe this lawsuit is without merit, and we are vigorously defending ourselves against it. Given the uncertainty of litigation, the preliminary stage of the case, and the legal standards that must be met for, among other things, class certification and success on the merits, we cannot estimate the reasonably possible loss or range of loss that may result from these actions.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July 31, 2022, we repurchased and subsequently retired 2,864,721 and 4,088,971 shares of our Class A common stock, respectively, for an aggregate amount of $293.5 million and $425.9 million, respectively. As of July 31, 2022, $574.1 million of the repurchase authorization remained available.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two equity incentive plans: the 2011 Global Share Plan (“2011 Plan”) and the 2019 Equity Incentive Plan (“2019 Plan”). All shares that remain available for future grants are under the 2019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1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6,195,205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905,744</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(858,055)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(83,072)</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July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5,254,078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502,488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July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5,254,078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502,488</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July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4,869,691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2022, unrecognized stock-based compensation expense related to outstanding unvested stock options was $7.3 million, which is expected to be recognized over a weighted-average period of 0.5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restricted stock unit (“RSU”)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16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8"/>
        </w:trPr>
        <w:tc>
          <w:tcPr>
            <w:tcW w:w="78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10,737,425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(826,734)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July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13,550,698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March 2022, a change made to our equity compensation program resulted in the modification of the value of RSUs offered to our employees. This activity has been included in our total Stock-Based Compensation disclosures below.</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2022, unrecognized stock-based compensation expense related to RSUs was $2,481.1 million, including the impact of the modification, which is expected to be recognized over a weighted-average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As of July 31, 2022, unrecognized stock-based compensation expense related to the ESPP was $85.5 million, which is expected to be recognized over a weighted-average period of 1.5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7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0"/>
        </w:trPr>
        <w:tc>
          <w:tcPr>
            <w:tcW w:w="4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110,161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255,515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102,142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201,111</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40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stock-based compensation expense recorded to net</w:t>
            </w:r>
          </w:p>
        </w:tc>
        <w:tc>
          <w:tcPr>
            <w:tcW w:w="980" w:type="dxa"/>
            <w:vAlign w:val="bottom"/>
            <w:tcBorders>
              <w:top w:val="single" w:sz="8" w:color="auto"/>
            </w:tcBorders>
            <w:vMerge w:val="restart"/>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201,398</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102,142</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367,846</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201,111</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provision for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0" w:type="dxa"/>
            <w:vAlign w:val="bottom"/>
          </w:tcPr>
          <w:p>
            <w:pPr>
              <w:spacing w:after="0"/>
              <w:rPr>
                <w:sz w:val="16"/>
                <w:szCs w:val="16"/>
                <w:color w:val="auto"/>
              </w:rPr>
            </w:pPr>
          </w:p>
        </w:tc>
        <w:tc>
          <w:tcPr>
            <w:tcW w:w="312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90,399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323,884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234,071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552,815</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44,649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74,663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8,200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had a provision for income taxes of $44.6 million and $6.8 million for the three months ended July 31, 2022 and 2021, respectively. The provision for income taxes was $74.7 million and $8.2 million for the six months ended July 31, 2022 and 2021, respectively. The year-over-year increase in effective tax rate for the three and six month periods ended July 31, 2022 was due primarily to tax shortfalls on share based compensation and the valuation allowance recorded on the deferred tax asset related to losses that are capital in nature as of July 31, 2022 compared to the full valuation allowance on the U.S. deferred tax assets as of July 31, 2021, which was released in the fourth quarter of fiscal year 2022. For the three and six months ended July 31, 2022, the effective tax rate differed from the U.S. federal statutory rate due primarily to tax shortfalls on share based compensation, and the valuation allowance recorded on the deferred tax asset related to losses that are capital in nature, partially offset by research credits and the foreign-derived intangible income deduction. For the three and six months ended July 31, 2021, the effective tax rate differed from the U.S. federal statutory rate due primarily to the full valuation allowance on the U.S. deferred tax assets.</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six months ended July 31, 2022, we continue to believe that it is more likely than not that the tax benefits of the U.K. net deferred tax assets may not be realized. Accordingly, we maintained a full valuation allowance against the tax benefits of these net deferred tax assets. Based on the available objective evidence during the three and six months ended July 31, 2022, we believe that it is more likely than not that the tax benefits relating to U.S. losses that are capital in nature may not be realized prior to expiration. Accordingly, we have recorded a valuation allowance during the quarter against these deferred tax assets. We intend to maintain the applicable valuation allowance until sufficient positive evidence exists to support a reversal of, or decrease in, the valuation allowance.</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July 31, 2022, there were no material changes to the total amount of unrecognized tax benefits and we do not expect any significant changes in the next 12 months.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required by the 2017 Tax Cuts and Jobs Act, we are capitalizing research and development expenses incurred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Per Share Attributable to Common Stockholders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4"/>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134,075</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112,726</w:t>
            </w: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undistributed earnings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participating</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255,513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134,075</w:t>
            </w:r>
          </w:p>
        </w:tc>
        <w:tc>
          <w:tcPr>
            <w:tcW w:w="4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431,889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112,417</w:t>
            </w: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stockholders, basic $</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Reallocation of 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249,775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132,116</w:t>
            </w:r>
          </w:p>
        </w:tc>
        <w:tc>
          <w:tcPr>
            <w:tcW w:w="4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421,784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122,522</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251,878,556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46,674,823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238,407,148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57,305,527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251,400,283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47,465,393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233,889,833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60,879,786</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255,661,184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51,499,656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241,051,560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64,809,491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254,389,537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52,513,427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236,850,849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68,801,779</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4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4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020" w:type="dxa"/>
            <w:vAlign w:val="bottom"/>
            <w:gridSpan w:val="24"/>
          </w:tcPr>
          <w:p>
            <w:pPr>
              <w:jc w:val="right"/>
              <w:spacing w:after="0"/>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attributable to common stockholders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for</w:t>
            </w: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periods</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presented,</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because</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including</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them</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would</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have</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been</w:t>
            </w: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anti-dilutive,</w:t>
            </w: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are</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14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22"/>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rights committed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1,757,812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247,321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995,341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134,576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7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51,703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8,313,041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570,634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6,160,652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435,755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405,156 shares of issued Class A common stock held by us as of July 31, 2022 and 2021 that are reserved for the sole purpose of being transferred to nonprofit organizations.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 and secure.</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Zoom enables people to connect to others, share ideas, make plans, and build toward a future limited only by their imagination. Our frictionless communications platform started with video as its foundation, and we have set the standard for innovation ever since. We connect people through our core unified communications offering, which frictionlessly brings together phone, chat, video, whiteboarding, and webinars, and enables meaningful experiences across disparate devices and locations. Our Developer Platform enables customers, developers, and service providers to easily build apps and integrations on top of Zoom’s industry-leading video communications platform, with opportunities for global discovery and distribution. Our virtual and hybrid event solutions allow users to seamlessly create and manage engaging events. Our Contact Center is an omnichannel contact center solution that is optimized for video and integrated right into the Zoom client.</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face-to-face communications build greater empathy and trust. We strive to live up to the trust our customers place in us by delivering a communications solution while prioritizing their privacy and security. Our 27 co-located data centers worldwide and the public cloud in conjunction with our proprietary adaptive rate codec enable us to provide both high-quality and high-definition, real-time video to our customers even in low-bandwidth environments.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generate revenue from the sale of subscriptions to our unified communications platform. Subscription revenue is driven primarily by the number of paid hosts as well as purchases of additional products, including Rooms, Webinars, Phone, Events, Contact Center,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Phone, Zoom Chat, Zoom Whiteboard as well as Zoom Webinars and Zoom Rooms for our Enterprise plans. We also offer vertical-specific plans for Education and Healthcare, which provide incremental features and functionality, such as different participant limits, administrative controls, and reporting.</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(United States/Canada, United Kingdom/Ireland, Australia/New Zealand, and Japan). In addition, we introduced the Global Select plan in August 2020, which allows customers to select from local numbers and domestic calling in more than 45 countries and territories where Zoom has local public switched telephone network (“PSTN”) coverage.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$1,099.5 million and $1,021.5 million for the three months ended July 31, 2022 and 2021, respectively, representing period-over-period growth of 7.6%. We had net income of $45.8 million and $317.1 million for the three months ended July 31, 2022 and 2021, respectively. Our revenue was $2,173.3 million and $1,977.7 million for the six months ended July 31, 2022 and 2021, respectively, representing period-over-period growth of 9.9%. We had net income of $159.4 million and $544.6 million for the six months ended July 31, 2022 and 2021, respectively. Net cash provided by operating activities was $783.4 million and $1,001.3 million for the six months ended July 31, 2022 and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19, 2022, we acquired 100% of the issued and outstanding share capital of Solvvy, Inc., a private technology company specializing in customer support automation, for purchase consideration of $121.2 million in cash. The acquisition adds to our customer service capabilities and enhances our integrated platform by providing conversational AI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Recent changes in macroeconomic conditions such as high inflation, recessionary environments, and fluctuations in foreign currency exchange rates, can cause uncertainty in our business. For the three months ended July 31, 2022, we experienced continued growth in total revenue and revenue from Enterprise customers. However, macroeconomic conditions,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inflation and continued uncertainty regarding the current and future political and economic environment, may impact the future demand for subscriptions to our unified communications platform. For example, for the three months ended July 31, 2022, we experienced unfavorable foreign currency impact as a result of the continued strengthening of the U.S. dollar compared to certain foreign jurisdictions where we do a significant amount of business.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onset of the COVID-19 pandemic, many organizations resorted to mandating employees to work from home, which has resulted in these organizations seeking out video communication solutions like ours to keep employees as productive as possible, even while working from home. There is no assurance that we will experience an increase in paid hosts or that new or existing users will continue to utilize our service after the COVID-19 pandemic has tapered globally. Moreover, the tapering of the COVID-19 pandemic may result in a decline in paid hosts and users once individuals are no longer working or attending school from home.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July 31, 2022, many of our employees have returned to our offices for at least part of the week. Our return to work approach may vary among geographies depending on appropriate health protocols, and may change at any time depending on the severity of or spikes in COVID-19 cases. The impact, if any, of these and any additional operational changes we may implement is uncertain, but changes we have implemented have not affected and are not expected to affect our ability to maintain operations, including financial reporting systems, internal control over financial reporting and disclosure controls and procedures.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global impacts of the Russian invasion of Ukraine, including various sanctions and export restrictions on Russia and Belarus by the United States, the United Kingdom, the European Union, and other governmental authorities remain highly uncertain. The Russia-Ukraine war impacted our EMEA revenue for the three months ended July 31, 2022. Our customers in Russia, Belarus, and Ukraine represented less than 1% of our net assets and total consolidated revenue as of and for the three and six months ended July 31, 2022. If the Russia-Ukraine war continues or worsens, leading to additional sanctions, tightened export restrictions, and greater global economic disruptions and uncertainty, our business and results of operations could be materially impacted.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Enterprise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Phone, HaaS, Zoom for Home, Rooms at each office location, Developer Platform solutions, Events, Contact Center, and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quantify our expansion across existing Enterprise customers through our net dollar expansion rate. We define Enterprise customers as distinct business units who have been engaged by either our direct sales team, resellers, or strategic partners.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120% as of July 31, 2022 and greater than 130% as of July 31, 2021.</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our platform. For example, we have recently introduced a number of product enhancements, including new features for Phone, Meetings, Webinars, and Events and launched Zoom Contact Center, Zoom IQ for Sales, and Whiteboard. We addressed new work-from-home realities with the introduction of Zoom for Home, a solution designed for the home office that combines Zoom software enhancements with compatible hardware. We also deliver Zoom Phone calling plans in more than 45 countries and territories as of July 31, 2022.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2022, we launched Zoom Contact Center, an omnichannel contact center solution that is optimized for video and is integrated right into the Zoom client. Currently, Zoom Contact Center is available in the U.S. and Canada, with plans to introduce international availability later in 2022. In April 2022, we released Zoom Whiteboard, a persistent whiteboard tool for team collaboration in and outside of meetings, and Zoom IQ for Sales, a conversation intelligence software for Zoom Meetings, which provides sales teams with meaningful and actionable insights from their customer interactions to improve seller performance and enhance customer experiences.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the rest of world (APAC and EMEA) represented 31% and 33% of our total revenue for the three months ended July 31, 2022 and 2021, respectively, and 31% and 33% of our total revenue for the six months ended July 31, 2022 and 2021,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Number of Enterprise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July 31, 2022 and 2021, we had approximately 204,100 and 173,000 Enterprise customers, respectively.</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26% and 20% of total revenue for the three months ended July 31, 2022 and 2021, respectively, and 26% and 20% of total revenue for the six months ended July 31, 2022 and 2021, respectively. As of July 31, 2022 and 2021, we had 3,116 and 2,278 customers, respectively, that contributed more than $100,000 of trailing 12 months revenue, demonstrating our rapid penetration of larger organizations, including enterprises. These customers are a subset of Enterprise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and adjusted free cash flow (“Adjusted FCF”), a non-GAAP financial measures, are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Adjusted Free Cash Flow</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define Adjusted FCF as FCF plus litigation settlement payments, net. We add back litigation settlement payments, net because they are not part of our ongoing operating activities, and the consideration of measures that exclude such payments can assist in the comparison of cash generated from operations in different periods which may or may not include such payments and assist in the comparison with the results of other companies in the industry. We believe that FCF and Adjusted FCF are useful indicators of liquidity that provides information to management and investors about the amount of cash generated from our operations that, after investments in property and equipment, can be used for future growth. FCF and Adjusted FCF are presented for supplemental informational purposes only, have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these metrics, may calculate these metrics differently, or may use other financial measures to evaluate their liquidity, all of which could reduce the usefulness of these non-GAAP metrics as a comparative measure.</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and Adjusted FCF to net cash provided by operating activities, the most directly comparable financial measure calculated in accordance with GAAP: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1,001,314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909,265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Litigation settlement payments,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 (non-GAAP)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909,265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(508,361)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(1,364,182)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for the foreseeable future as we expand our data center capacity. We expect, however, that our cost of revenue as a percentage of revenue will remain relatively flat for the rest of the current fiscal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revenue for the rest of the current fiscal year.</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(Losses) gains on strategic investments, net consist primarily of remeasurement gains or losses on our equity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and net accretion on our marketable securities and effect of changes in foreign currency exchange rates.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40" w:type="dxa"/>
            <w:vAlign w:val="bottom"/>
          </w:tcPr>
          <w:p>
            <w:pPr>
              <w:spacing w:after="0"/>
              <w:rPr>
                <w:sz w:val="16"/>
                <w:szCs w:val="16"/>
                <w:color w:val="auto"/>
              </w:rPr>
            </w:pPr>
          </w:p>
        </w:tc>
        <w:tc>
          <w:tcPr>
            <w:tcW w:w="284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1,021,495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1,977,732</w:t>
            </w:r>
          </w:p>
        </w:tc>
      </w:tr>
      <w:tr>
        <w:trPr>
          <w:trHeight w:val="229"/>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261,256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526,250</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760,239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1,451,482</w:t>
            </w:r>
          </w:p>
        </w:tc>
      </w:tr>
      <w:tr>
        <w:trPr>
          <w:trHeight w:val="20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147,486</w:t>
            </w:r>
          </w:p>
        </w:tc>
      </w:tr>
      <w:tr>
        <w:trPr>
          <w:trHeight w:val="229"/>
        </w:trPr>
        <w:tc>
          <w:tcPr>
            <w:tcW w:w="44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271,179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516,846</w:t>
            </w: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266,235</w:t>
            </w:r>
          </w:p>
        </w:tc>
      </w:tr>
      <w:tr>
        <w:trPr>
          <w:trHeight w:val="223"/>
        </w:trPr>
        <w:tc>
          <w:tcPr>
            <w:tcW w:w="4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465,636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930,567</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32,076</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552,815</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317,084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544,615</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28,844</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43,736</w:t>
            </w: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110,161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50,856</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203,956</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102,668</w:t>
            </w:r>
          </w:p>
        </w:tc>
      </w:tr>
      <w:tr>
        <w:trPr>
          <w:trHeight w:val="229"/>
        </w:trPr>
        <w:tc>
          <w:tcPr>
            <w:tcW w:w="4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67,143</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w:t>
            </w:r>
          </w:p>
        </w:tc>
      </w:tr>
      <w:tr>
        <w:trPr>
          <w:trHeight w:val="248"/>
        </w:trPr>
        <w:tc>
          <w:tcPr>
            <w:tcW w:w="4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255,515</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102,142</w:t>
            </w:r>
          </w:p>
        </w:tc>
        <w:tc>
          <w:tcPr>
            <w:tcW w:w="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464,878</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201,111</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6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50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700" w:type="dxa"/>
            <w:vAlign w:val="bottom"/>
          </w:tcPr>
          <w:p>
            <w:pPr>
              <w:spacing w:after="0"/>
              <w:rPr>
                <w:sz w:val="19"/>
                <w:szCs w:val="19"/>
                <w:color w:val="auto"/>
              </w:rPr>
            </w:pPr>
          </w:p>
        </w:tc>
      </w:tr>
      <w:tr>
        <w:trPr>
          <w:trHeight w:val="23"/>
        </w:trPr>
        <w:tc>
          <w:tcPr>
            <w:tcW w:w="4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73.4</w:t>
            </w: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5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4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47.1</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0"/>
        </w:trPr>
        <w:tc>
          <w:tcPr>
            <w:tcW w:w="4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July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1,099,458</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Revenue for the three months ended July 31, 2022 increased by $78.0 million, or 7.6%, compared to the three months ended July 31, 2021. The </w:t>
      </w:r>
      <w:r>
        <w:rPr>
          <w:rFonts w:ascii="Times New Roman" w:cs="Times New Roman" w:eastAsia="Times New Roman" w:hAnsi="Times New Roman"/>
          <w:sz w:val="18"/>
          <w:szCs w:val="18"/>
          <w:color w:val="000000"/>
        </w:rPr>
        <w:t>increase in revenue was predominantly due to subscription services provided to new customers.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3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273,611</w:t>
            </w:r>
          </w:p>
        </w:tc>
        <w:tc>
          <w:tcPr>
            <w:tcW w:w="7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261,256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825,847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760,239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Cost of revenue for the three months ended July 31, 2022 increased by $12.4 million, or 4.7%, compared to the three months ended July 31, 2021. The increase was primarily due to an increase of $32.8 million in personnel-related expenses, which includes an increase of $22.4 million </w:t>
      </w:r>
      <w:r>
        <w:rPr>
          <w:rFonts w:ascii="Times New Roman" w:cs="Times New Roman" w:eastAsia="Times New Roman" w:hAnsi="Times New Roman"/>
          <w:sz w:val="18"/>
          <w:szCs w:val="18"/>
          <w:color w:val="000000"/>
        </w:rPr>
        <w:t>in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compensation expense, </w:t>
      </w:r>
      <w:r>
        <w:rPr>
          <w:rFonts w:ascii="Times New Roman" w:cs="Times New Roman" w:eastAsia="Times New Roman" w:hAnsi="Times New Roman"/>
          <w:sz w:val="18"/>
          <w:szCs w:val="18"/>
          <w:color w:val="231F20"/>
        </w:rPr>
        <w:t>mainly driven by additional headcount and expanded equity programs, and</w:t>
      </w:r>
      <w:r>
        <w:rPr>
          <w:rFonts w:ascii="Times New Roman" w:cs="Times New Roman" w:eastAsia="Times New Roman" w:hAnsi="Times New Roman"/>
          <w:sz w:val="18"/>
          <w:szCs w:val="18"/>
          <w:color w:val="000000"/>
        </w:rPr>
        <w:t xml:space="preserve"> an increase of </w:t>
      </w:r>
      <w:r>
        <w:rPr>
          <w:rFonts w:ascii="Times New Roman" w:cs="Times New Roman" w:eastAsia="Times New Roman" w:hAnsi="Times New Roman"/>
          <w:sz w:val="18"/>
          <w:szCs w:val="18"/>
          <w:color w:val="231F20"/>
        </w:rPr>
        <w:t>$8.5 million related to subscription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software-based services, partially offset by a decrease of $32.5 million in costs mainly related to third-party cloud hosting due to lower rates from providers as well as our transition to our internal data centers.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Gross margin increased to 75.1% for the three months ended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auto"/>
        </w:rPr>
        <w:t xml:space="preserve"> from 74.4% for the three months ended </w:t>
      </w:r>
      <w:r>
        <w:rPr>
          <w:rFonts w:ascii="Times New Roman" w:cs="Times New Roman" w:eastAsia="Times New Roman" w:hAnsi="Times New Roman"/>
          <w:sz w:val="18"/>
          <w:szCs w:val="18"/>
          <w:color w:val="231F20"/>
        </w:rPr>
        <w:t>July 31, 2021</w:t>
      </w:r>
      <w:r>
        <w:rPr>
          <w:rFonts w:ascii="Times New Roman" w:cs="Times New Roman" w:eastAsia="Times New Roman" w:hAnsi="Times New Roman"/>
          <w:sz w:val="18"/>
          <w:szCs w:val="18"/>
          <w:color w:val="auto"/>
        </w:rPr>
        <w:t>. The increase in gross margin was mainly due to increased efficiencies as we expanded our internal data center capacity.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172,564</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July 31, 2022 increased by $90.3 million, or 109.6%, compared to the three months ended July 31, 2021.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$83.5 million, which includes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$46.8 million </w:t>
      </w:r>
      <w:r>
        <w:rPr>
          <w:rFonts w:ascii="Times New Roman" w:cs="Times New Roman" w:eastAsia="Times New Roman" w:hAnsi="Times New Roman"/>
          <w:sz w:val="18"/>
          <w:szCs w:val="18"/>
          <w:color w:val="000000"/>
        </w:rPr>
        <w:t>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stock-based compensation expense, mainly driven by additional headcount </w:t>
      </w:r>
      <w:r>
        <w:rPr>
          <w:rFonts w:ascii="Times New Roman" w:cs="Times New Roman" w:eastAsia="Times New Roman" w:hAnsi="Times New Roman"/>
          <w:sz w:val="18"/>
          <w:szCs w:val="18"/>
          <w:color w:val="231F20"/>
        </w:rPr>
        <w:t>and expanded equity programs</w:t>
      </w:r>
      <w:r>
        <w:rPr>
          <w:rFonts w:ascii="Times New Roman" w:cs="Times New Roman" w:eastAsia="Times New Roman" w:hAnsi="Times New Roman"/>
          <w:sz w:val="18"/>
          <w:szCs w:val="18"/>
          <w:color w:val="000000"/>
        </w:rPr>
        <w:t xml:space="preserve">, and an increase in allocated overhead of </w:t>
      </w:r>
      <w:r>
        <w:rPr>
          <w:rFonts w:ascii="Times New Roman" w:cs="Times New Roman" w:eastAsia="Times New Roman" w:hAnsi="Times New Roman"/>
          <w:sz w:val="18"/>
          <w:szCs w:val="18"/>
          <w:color w:val="231F20"/>
        </w:rPr>
        <w:t>$5.5 million.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400,474</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271,179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July 31, 2022 increased by $129.3 million, or 47.7%, compared to the three months ended July 31, 2021. The increase in sales and marketing expense was primarily due to higher personnel-related expenses of $94.8 million, </w:t>
      </w:r>
      <w:r>
        <w:rPr>
          <w:rFonts w:ascii="Times New Roman" w:cs="Times New Roman" w:eastAsia="Times New Roman" w:hAnsi="Times New Roman"/>
          <w:sz w:val="18"/>
          <w:szCs w:val="18"/>
          <w:color w:val="000000"/>
        </w:rPr>
        <w:t>mainly driven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additional headcount </w:t>
      </w:r>
      <w:r>
        <w:rPr>
          <w:rFonts w:ascii="Times New Roman" w:cs="Times New Roman" w:eastAsia="Times New Roman" w:hAnsi="Times New Roman"/>
          <w:sz w:val="18"/>
          <w:szCs w:val="18"/>
          <w:color w:val="231F20"/>
        </w:rPr>
        <w:t>and expanded equity programs, which includes a $59.3 million</w:t>
      </w:r>
      <w:r>
        <w:rPr>
          <w:rFonts w:ascii="Times New Roman" w:cs="Times New Roman" w:eastAsia="Times New Roman" w:hAnsi="Times New Roman"/>
          <w:sz w:val="18"/>
          <w:szCs w:val="18"/>
          <w:color w:val="000000"/>
        </w:rPr>
        <w:t xml:space="preserve"> increase in stock-based compensation expense and </w:t>
      </w:r>
      <w:r>
        <w:rPr>
          <w:rFonts w:ascii="Times New Roman" w:cs="Times New Roman" w:eastAsia="Times New Roman" w:hAnsi="Times New Roman"/>
          <w:sz w:val="18"/>
          <w:szCs w:val="18"/>
          <w:color w:val="231F20"/>
        </w:rPr>
        <w:t>a $21.1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increase in amortization of deferred contract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acquisition costs driven by our increase in revenue. </w:t>
      </w:r>
      <w:r>
        <w:rPr>
          <w:rFonts w:ascii="Times New Roman" w:cs="Times New Roman" w:eastAsia="Times New Roman" w:hAnsi="Times New Roman"/>
          <w:sz w:val="18"/>
          <w:szCs w:val="18"/>
          <w:color w:val="000000"/>
        </w:rPr>
        <w:t>The remaining increase was primarily due to</w:t>
      </w:r>
      <w:r>
        <w:rPr>
          <w:rFonts w:ascii="Times New Roman" w:cs="Times New Roman" w:eastAsia="Times New Roman" w:hAnsi="Times New Roman"/>
          <w:sz w:val="18"/>
          <w:szCs w:val="18"/>
          <w:color w:val="231F20"/>
        </w:rPr>
        <w:t xml:space="preserve"> an increase of $23.2 million in marketing and sales event-related costs, mainly due to an increase in social media programs and international marketing.</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131,066</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112,146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16.9 %</w:t>
            </w: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July 31, 2022 increased by $18.9 million, or 16.9%, compared to the three months ended July 31, 2021. The increase in general and administrative expense was primarily </w:t>
      </w:r>
      <w:r>
        <w:rPr>
          <w:rFonts w:ascii="Times New Roman" w:cs="Times New Roman" w:eastAsia="Times New Roman" w:hAnsi="Times New Roman"/>
          <w:sz w:val="18"/>
          <w:szCs w:val="18"/>
          <w:color w:val="000000"/>
        </w:rPr>
        <w:t>due to an increase of</w:t>
      </w:r>
      <w:r>
        <w:rPr>
          <w:rFonts w:ascii="Times New Roman" w:cs="Times New Roman" w:eastAsia="Times New Roman" w:hAnsi="Times New Roman"/>
          <w:sz w:val="18"/>
          <w:szCs w:val="18"/>
          <w:color w:val="231F20"/>
        </w:rPr>
        <w:t xml:space="preserve"> $36.1 million </w:t>
      </w:r>
      <w:r>
        <w:rPr>
          <w:rFonts w:ascii="Times New Roman" w:cs="Times New Roman" w:eastAsia="Times New Roman" w:hAnsi="Times New Roman"/>
          <w:sz w:val="18"/>
          <w:szCs w:val="18"/>
          <w:color w:val="000000"/>
        </w:rPr>
        <w:t>in personnel-related expenses,</w:t>
      </w:r>
      <w:r>
        <w:rPr>
          <w:rFonts w:ascii="Times New Roman" w:cs="Times New Roman" w:eastAsia="Times New Roman" w:hAnsi="Times New Roman"/>
          <w:sz w:val="18"/>
          <w:szCs w:val="18"/>
          <w:color w:val="231F20"/>
        </w:rPr>
        <w:t xml:space="preserve"> which includes a $24.9 million </w:t>
      </w:r>
      <w:r>
        <w:rPr>
          <w:rFonts w:ascii="Times New Roman" w:cs="Times New Roman" w:eastAsia="Times New Roman" w:hAnsi="Times New Roman"/>
          <w:sz w:val="18"/>
          <w:szCs w:val="18"/>
          <w:color w:val="000000"/>
        </w:rPr>
        <w:t>increase in stock-based compensation expense, mainly driven by additional headcount</w:t>
      </w:r>
      <w:r>
        <w:rPr>
          <w:rFonts w:ascii="Times New Roman" w:cs="Times New Roman" w:eastAsia="Times New Roman" w:hAnsi="Times New Roman"/>
          <w:sz w:val="18"/>
          <w:szCs w:val="18"/>
          <w:color w:val="231F20"/>
        </w:rPr>
        <w:t xml:space="preserve"> and expanded equity programs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partially offset by a decrease of </w:t>
      </w:r>
      <w:r>
        <w:rPr>
          <w:rFonts w:ascii="Times New Roman" w:cs="Times New Roman" w:eastAsia="Times New Roman" w:hAnsi="Times New Roman"/>
          <w:sz w:val="18"/>
          <w:szCs w:val="18"/>
          <w:color w:val="231F20"/>
        </w:rPr>
        <w:t>$10.7 million</w:t>
      </w:r>
      <w:r>
        <w:rPr>
          <w:rFonts w:ascii="Times New Roman" w:cs="Times New Roman" w:eastAsia="Times New Roman" w:hAnsi="Times New Roman"/>
          <w:sz w:val="18"/>
          <w:szCs w:val="18"/>
          <w:color w:val="000000"/>
        </w:rPr>
        <w:t xml:space="preserve"> related to the settlement of a contingent liability for sales and other indirect tax and </w:t>
      </w:r>
      <w:r>
        <w:rPr>
          <w:rFonts w:ascii="Times New Roman" w:cs="Times New Roman" w:eastAsia="Times New Roman" w:hAnsi="Times New Roman"/>
          <w:sz w:val="18"/>
          <w:szCs w:val="18"/>
          <w:color w:val="231F20"/>
        </w:rPr>
        <w:t>$8.2 million</w:t>
      </w:r>
      <w:r>
        <w:rPr>
          <w:rFonts w:ascii="Times New Roman" w:cs="Times New Roman" w:eastAsia="Times New Roman" w:hAnsi="Times New Roman"/>
          <w:sz w:val="18"/>
          <w:szCs w:val="18"/>
          <w:color w:val="000000"/>
        </w:rPr>
        <w:t xml:space="preserve"> decrease in expenses related to mergers and strategic investments.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6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Losses on strategic investments, net recognized during the three months ended July 31, 2022 was mainly driven by $33.1 million unrealized losses recognized on our publicly traded equity securities, while gains on strategic investments, net, of $32.1 million recognized during the three months ended July 31, 2021 was driven by unrealized gains recognized on our publicly traded equity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w:t>
            </w: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Other income (expense), net for the three months ended July 31, 2022 increased by $6.2 million, or 220.5%, compared to the three months ended July 31, 2021. The increase was primarily due to net accretion on our investments in marketable securities of $6.0 million.</w:t>
      </w: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6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44,649</w:t>
            </w:r>
          </w:p>
        </w:tc>
        <w:tc>
          <w:tcPr>
            <w:tcW w:w="6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Provision for income taxes for the three months ended July 31, 2022 increased by $37.8 million, or 556.6%, compared to the three months ended July 31, 2021. The change was </w:t>
      </w:r>
      <w:r>
        <w:rPr>
          <w:rFonts w:ascii="Times New Roman" w:cs="Times New Roman" w:eastAsia="Times New Roman" w:hAnsi="Times New Roman"/>
          <w:sz w:val="18"/>
          <w:szCs w:val="18"/>
          <w:color w:val="231F20"/>
        </w:rPr>
        <w:t>due</w:t>
      </w:r>
      <w:r>
        <w:rPr>
          <w:rFonts w:ascii="Times New Roman" w:cs="Times New Roman" w:eastAsia="Times New Roman" w:hAnsi="Times New Roman"/>
          <w:sz w:val="18"/>
          <w:szCs w:val="18"/>
          <w:color w:val="auto"/>
        </w:rPr>
        <w:t xml:space="preserve"> primarily to tax shortfalls on share based compensation and the valuation allowance recorded on the deferred tax asset related to losses that are capital in nature as of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auto"/>
        </w:rPr>
        <w:t xml:space="preserve"> compared to the full valuation allowance on the U.S. deferred tax assets as of July 31, 2021, which was released in the fourth quarter of fiscal year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31, 2022 and 2021</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2,173,258</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1,977,732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Revenue for the six months ended July 31, 2022 increased by $195.5 million, or 9.9%, compared to the six months ended July 31, 2021. The </w:t>
      </w:r>
      <w:r>
        <w:rPr>
          <w:rFonts w:ascii="Times New Roman" w:cs="Times New Roman" w:eastAsia="Times New Roman" w:hAnsi="Times New Roman"/>
          <w:sz w:val="18"/>
          <w:szCs w:val="18"/>
          <w:color w:val="000000"/>
        </w:rPr>
        <w:t>increase in revenue was predominantly due to subscription services provided to new customers.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5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535,432</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526,250</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1,637,826</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1,451,482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Cost of revenue for the six months ended July 31, 2022 increased by $9.2 million, or 1.7%, compared to the six months ended July 31, 2021. The increase </w:t>
      </w:r>
      <w:r>
        <w:rPr>
          <w:rFonts w:ascii="Times New Roman" w:cs="Times New Roman" w:eastAsia="Times New Roman" w:hAnsi="Times New Roman"/>
          <w:sz w:val="18"/>
          <w:szCs w:val="18"/>
          <w:color w:val="000000"/>
        </w:rPr>
        <w:t>was primarily due to</w:t>
      </w:r>
      <w:r>
        <w:rPr>
          <w:rFonts w:ascii="Times New Roman" w:cs="Times New Roman" w:eastAsia="Times New Roman" w:hAnsi="Times New Roman"/>
          <w:sz w:val="18"/>
          <w:szCs w:val="18"/>
          <w:color w:val="231F20"/>
        </w:rPr>
        <w:t xml:space="preserve"> an increase of $62.7 million in personnel-related expenses, which includes an increase of $39.5 million </w:t>
      </w:r>
      <w:r>
        <w:rPr>
          <w:rFonts w:ascii="Times New Roman" w:cs="Times New Roman" w:eastAsia="Times New Roman" w:hAnsi="Times New Roman"/>
          <w:sz w:val="18"/>
          <w:szCs w:val="18"/>
          <w:color w:val="000000"/>
        </w:rPr>
        <w:t>in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compensation expense, </w:t>
      </w:r>
      <w:r>
        <w:rPr>
          <w:rFonts w:ascii="Times New Roman" w:cs="Times New Roman" w:eastAsia="Times New Roman" w:hAnsi="Times New Roman"/>
          <w:sz w:val="18"/>
          <w:szCs w:val="18"/>
          <w:color w:val="231F20"/>
        </w:rPr>
        <w:t>mainly driven by additional headcount and expanded equity programs,</w:t>
      </w:r>
      <w:r>
        <w:rPr>
          <w:rFonts w:ascii="Times New Roman" w:cs="Times New Roman" w:eastAsia="Times New Roman" w:hAnsi="Times New Roman"/>
          <w:sz w:val="18"/>
          <w:szCs w:val="18"/>
          <w:color w:val="000000"/>
        </w:rPr>
        <w:t xml:space="preserve"> an increase of </w:t>
      </w:r>
      <w:r>
        <w:rPr>
          <w:rFonts w:ascii="Times New Roman" w:cs="Times New Roman" w:eastAsia="Times New Roman" w:hAnsi="Times New Roman"/>
          <w:sz w:val="18"/>
          <w:szCs w:val="18"/>
          <w:color w:val="231F20"/>
        </w:rPr>
        <w:t>$18.4 million related to subscription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software-based services, and </w:t>
      </w:r>
      <w:r>
        <w:rPr>
          <w:rFonts w:ascii="Times New Roman" w:cs="Times New Roman" w:eastAsia="Times New Roman" w:hAnsi="Times New Roman"/>
          <w:sz w:val="18"/>
          <w:szCs w:val="18"/>
          <w:color w:val="000000"/>
        </w:rPr>
        <w:t>an increase in allocated overhead of</w:t>
      </w:r>
      <w:r>
        <w:rPr>
          <w:rFonts w:ascii="Times New Roman" w:cs="Times New Roman" w:eastAsia="Times New Roman" w:hAnsi="Times New Roman"/>
          <w:sz w:val="18"/>
          <w:szCs w:val="18"/>
          <w:color w:val="231F20"/>
        </w:rPr>
        <w:t xml:space="preserve"> $3.4 million, partially offset by a decrease of $76.9 million in costs mainly related to third-party cloud hosting due to lower rates from providers as well as our transition to our internal data centers.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Gross margin increased to 75.4% for the six months ended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auto"/>
        </w:rPr>
        <w:t xml:space="preserve"> from 73.4% for the six months ended </w:t>
      </w:r>
      <w:r>
        <w:rPr>
          <w:rFonts w:ascii="Times New Roman" w:cs="Times New Roman" w:eastAsia="Times New Roman" w:hAnsi="Times New Roman"/>
          <w:sz w:val="18"/>
          <w:szCs w:val="18"/>
          <w:color w:val="231F20"/>
        </w:rPr>
        <w:t>July 31, 2021</w:t>
      </w:r>
      <w:r>
        <w:rPr>
          <w:rFonts w:ascii="Times New Roman" w:cs="Times New Roman" w:eastAsia="Times New Roman" w:hAnsi="Times New Roman"/>
          <w:sz w:val="18"/>
          <w:szCs w:val="18"/>
          <w:color w:val="auto"/>
        </w:rPr>
        <w:t>. The increase in gross margin was mainly due to increased efficiencies as we expanded our internal data center capacity.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316,855</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147,486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six months ended July 31, 2022 increased by $169.4 million, or 114.8%, compared to the six months ended July 31, 2021.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$155.5 million, which includes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$81.7 million </w:t>
      </w:r>
      <w:r>
        <w:rPr>
          <w:rFonts w:ascii="Times New Roman" w:cs="Times New Roman" w:eastAsia="Times New Roman" w:hAnsi="Times New Roman"/>
          <w:sz w:val="18"/>
          <w:szCs w:val="18"/>
          <w:color w:val="000000"/>
        </w:rPr>
        <w:t>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stock-based compensation expense, mainly driven by additional headcount and </w:t>
      </w:r>
      <w:r>
        <w:rPr>
          <w:rFonts w:ascii="Times New Roman" w:cs="Times New Roman" w:eastAsia="Times New Roman" w:hAnsi="Times New Roman"/>
          <w:sz w:val="18"/>
          <w:szCs w:val="18"/>
          <w:color w:val="231F20"/>
        </w:rPr>
        <w:t>expanded equity programs, and</w:t>
      </w:r>
      <w:r>
        <w:rPr>
          <w:rFonts w:ascii="Times New Roman" w:cs="Times New Roman" w:eastAsia="Times New Roman" w:hAnsi="Times New Roman"/>
          <w:sz w:val="18"/>
          <w:szCs w:val="18"/>
          <w:color w:val="000000"/>
        </w:rPr>
        <w:t xml:space="preserve"> an increase in allocated overhead of </w:t>
      </w:r>
      <w:r>
        <w:rPr>
          <w:rFonts w:ascii="Times New Roman" w:cs="Times New Roman" w:eastAsia="Times New Roman" w:hAnsi="Times New Roman"/>
          <w:sz w:val="18"/>
          <w:szCs w:val="18"/>
          <w:color w:val="231F20"/>
        </w:rPr>
        <w:t>$9.7 million.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763,257</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516,846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for the six months ended July 31, 2022 increased by $246.4 million, or 47.7%, compared to the six months ended July 31, 2021. The increase in sales and marketing expense was primarily due to higher personnel-related expenses of $178.0 million, mainly driven by additional headcount and expanded equity programs, which includes a $101.3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$40.1 million increase in amortization of deferred contract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acquisition costs. </w:t>
      </w:r>
      <w:r>
        <w:rPr>
          <w:rFonts w:ascii="Times New Roman" w:cs="Times New Roman" w:eastAsia="Times New Roman" w:hAnsi="Times New Roman"/>
          <w:sz w:val="18"/>
          <w:szCs w:val="18"/>
          <w:color w:val="000000"/>
        </w:rPr>
        <w:t>The remaining increase was primarily due to</w:t>
      </w:r>
      <w:r>
        <w:rPr>
          <w:rFonts w:ascii="Times New Roman" w:cs="Times New Roman" w:eastAsia="Times New Roman" w:hAnsi="Times New Roman"/>
          <w:sz w:val="18"/>
          <w:szCs w:val="18"/>
          <w:color w:val="231F20"/>
        </w:rPr>
        <w:t xml:space="preserve"> an increase of $53.0 million in marketing and sales event-related costs, mainly due to an increase in digital and social media programs, and </w:t>
      </w:r>
      <w:r>
        <w:rPr>
          <w:rFonts w:ascii="Times New Roman" w:cs="Times New Roman" w:eastAsia="Times New Roman" w:hAnsi="Times New Roman"/>
          <w:sz w:val="18"/>
          <w:szCs w:val="18"/>
          <w:color w:val="000000"/>
        </w:rPr>
        <w:t>an increase in allocated overhead of</w:t>
      </w:r>
      <w:r>
        <w:rPr>
          <w:rFonts w:ascii="Times New Roman" w:cs="Times New Roman" w:eastAsia="Times New Roman" w:hAnsi="Times New Roman"/>
          <w:sz w:val="18"/>
          <w:szCs w:val="18"/>
          <w:color w:val="231F20"/>
        </w:rPr>
        <w:t xml:space="preserve"> $5.7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248,906</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266,235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six months ended July 31, 2022 decreased by $17.3 million, or 6.5%, compared to the six months ended July 31, 2021. The decrease in general and administrative expense was primarily </w:t>
      </w:r>
      <w:r>
        <w:rPr>
          <w:rFonts w:ascii="Times New Roman" w:cs="Times New Roman" w:eastAsia="Times New Roman" w:hAnsi="Times New Roman"/>
          <w:sz w:val="18"/>
          <w:szCs w:val="18"/>
          <w:color w:val="000000"/>
        </w:rPr>
        <w:t>due to a decrease of</w:t>
      </w:r>
      <w:r>
        <w:rPr>
          <w:rFonts w:ascii="Times New Roman" w:cs="Times New Roman" w:eastAsia="Times New Roman" w:hAnsi="Times New Roman"/>
          <w:sz w:val="18"/>
          <w:szCs w:val="18"/>
          <w:color w:val="231F20"/>
        </w:rPr>
        <w:t xml:space="preserve"> $71.1 million in prior year </w:t>
      </w:r>
      <w:r>
        <w:rPr>
          <w:rFonts w:ascii="Times New Roman" w:cs="Times New Roman" w:eastAsia="Times New Roman" w:hAnsi="Times New Roman"/>
          <w:sz w:val="18"/>
          <w:szCs w:val="18"/>
          <w:color w:val="000000"/>
        </w:rPr>
        <w:t>litigation settlement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expense, net of amounts estimated to be covered by insurance, and a decrease of </w:t>
      </w:r>
      <w:r>
        <w:rPr>
          <w:rFonts w:ascii="Times New Roman" w:cs="Times New Roman" w:eastAsia="Times New Roman" w:hAnsi="Times New Roman"/>
          <w:sz w:val="18"/>
          <w:szCs w:val="18"/>
          <w:color w:val="231F20"/>
        </w:rPr>
        <w:t>$10.5 million</w:t>
      </w:r>
      <w:r>
        <w:rPr>
          <w:rFonts w:ascii="Times New Roman" w:cs="Times New Roman" w:eastAsia="Times New Roman" w:hAnsi="Times New Roman"/>
          <w:sz w:val="18"/>
          <w:szCs w:val="18"/>
          <w:color w:val="000000"/>
        </w:rPr>
        <w:t xml:space="preserve"> related to the settlement of a contingent liability for sales and other indirect tax, partially offset by an increase of </w:t>
      </w:r>
      <w:r>
        <w:rPr>
          <w:rFonts w:ascii="Times New Roman" w:cs="Times New Roman" w:eastAsia="Times New Roman" w:hAnsi="Times New Roman"/>
          <w:sz w:val="18"/>
          <w:szCs w:val="18"/>
          <w:color w:val="231F20"/>
        </w:rPr>
        <w:t>$65.9 million</w:t>
      </w:r>
      <w:r>
        <w:rPr>
          <w:rFonts w:ascii="Times New Roman" w:cs="Times New Roman" w:eastAsia="Times New Roman" w:hAnsi="Times New Roman"/>
          <w:sz w:val="18"/>
          <w:szCs w:val="18"/>
          <w:color w:val="000000"/>
        </w:rPr>
        <w:t xml:space="preserve"> in personnel-related expenses, </w:t>
      </w:r>
      <w:r>
        <w:rPr>
          <w:rFonts w:ascii="Times New Roman" w:cs="Times New Roman" w:eastAsia="Times New Roman" w:hAnsi="Times New Roman"/>
          <w:sz w:val="18"/>
          <w:szCs w:val="18"/>
          <w:color w:val="231F20"/>
        </w:rPr>
        <w:t>which includes a $41.3 million</w:t>
      </w:r>
      <w:r>
        <w:rPr>
          <w:rFonts w:ascii="Times New Roman" w:cs="Times New Roman" w:eastAsia="Times New Roman" w:hAnsi="Times New Roman"/>
          <w:sz w:val="18"/>
          <w:szCs w:val="18"/>
          <w:color w:val="000000"/>
        </w:rPr>
        <w:t xml:space="preserve"> increase in stock-based compensation expense, mainly driven by additional headcount </w:t>
      </w:r>
      <w:r>
        <w:rPr>
          <w:rFonts w:ascii="Times New Roman" w:cs="Times New Roman" w:eastAsia="Times New Roman" w:hAnsi="Times New Roman"/>
          <w:sz w:val="18"/>
          <w:szCs w:val="18"/>
          <w:color w:val="231F20"/>
        </w:rPr>
        <w:t>and expanded equity programs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(Losses) gains on strategic investments, net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Losses on strategic investments, net recognized during the six months ended July 31, 2022 was mainly driven by $68.9 million unrealized losses recognized on our publicly traded equity securities, while gains on strategic investments, net, of $32.1 million recognized during the six months ended July 31, 2021 was driven by unrealized gains recognized on our publicly traded equity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(3,621)</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1,957.4 %</w:t>
            </w:r>
          </w:p>
        </w:tc>
      </w:tr>
    </w:tbl>
    <w:p>
      <w:pPr>
        <w:spacing w:after="0" w:line="292"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231F20"/>
        </w:rPr>
        <w:t>Other income (expense), net for the six months ended July 31, 2022 decreased by $3.4 million, or 1,957.4%, compared to the six months ended July 31, 2021. The decrease was primarily attributable to a loss of $12.8 million related to changes in foreign currency exchange rates, partially offset by $6.5 million net accretion on our investments in marketable securities and $2.9 million interest income earned from our investments in marketable securities.</w:t>
      </w:r>
    </w:p>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3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74,663</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810.5 %</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Provision for income taxes for the six months ended July 31, 2022 increased by $66.5 million, or 810.5%, compared to the six months ended July 31, 2021. The change was due </w:t>
      </w:r>
      <w:r>
        <w:rPr>
          <w:rFonts w:ascii="Times New Roman" w:cs="Times New Roman" w:eastAsia="Times New Roman" w:hAnsi="Times New Roman"/>
          <w:sz w:val="18"/>
          <w:szCs w:val="18"/>
          <w:color w:val="000000"/>
        </w:rPr>
        <w:t>primarily to tax shortfalls on share based compensation and the valuation allowance recorded on the deferred tax asset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related to losses that are capital in nature as of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000000"/>
        </w:rPr>
        <w:t xml:space="preserve"> compared to the full valuation allowance on the U.S. deferred tax assets as of July 31, 2021, which was released in the fourth quarter of fiscal year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31, 2022, our principal sources of liquidity were cash, cash equivalents, and marketable securities of $5.5 billion, which were held for working capital purposes and for investment in growth opportunities. Our marketable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securities generally consist of high-grade commercial paper, corporate bonds, agency bonds, corporate and other debt securities, U.S. government agency securities, and treasury bills.</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material cash requirements from known contractual and other obligations from those disclosed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2022, filed with the SEC on March 7, 2022.</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7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8"/>
                <w:szCs w:val="18"/>
                <w:color w:val="auto"/>
              </w:rPr>
              <w:t>783,360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1,001,314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419"/>
              <w:spacing w:after="0"/>
              <w:rPr>
                <w:sz w:val="20"/>
                <w:szCs w:val="20"/>
                <w:color w:val="auto"/>
              </w:rPr>
            </w:pPr>
            <w:r>
              <w:rPr>
                <w:rFonts w:ascii="Times New Roman" w:cs="Times New Roman" w:eastAsia="Times New Roman" w:hAnsi="Times New Roman"/>
                <w:sz w:val="18"/>
                <w:szCs w:val="18"/>
                <w:color w:val="auto"/>
                <w:w w:val="99"/>
              </w:rPr>
              <w:t>(508,361)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(1,364,182)</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w w:val="99"/>
              </w:rPr>
              <w:t>(388,821)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65,104</w:t>
            </w:r>
          </w:p>
        </w:tc>
      </w:tr>
    </w:tbl>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$783.4 million for the six months ended July 31, 2022, compared to $1,001.3 million for the six months ended July 31, 2021. The decrease in operating cash flow was due to a decrease in net income of $385.2 million and the negative impact from changes in operating assets and liabilities of $279.0 million, offset by an increase in non-cash adjustments of $446.3 million, which is primarily a result of higher stock-based compensation expense, higher losses on strategic investments, net, and higher deferred contract acquisition cost amortization due to an increase in capitalized commissions as we continue to grow and expand our customer base.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$508.4 million for the six months ended July 31, 2022 was primarily due to net purchases of marketable securities of $270.2 million, cash paid for acquisition, net of cash acquired, of $120.6 million, purchases of strategic investments of $61.6 million, and purchases of property and equipment of $52.9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$1,364.2 million for the six months ended July 31, 2021 was primarily due to net purchases of marketable securities of $1,183.1 million, purchases of property and equipment of $92.0 million, and purchases of strategic investments of $86.9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financing activities of $388.8 million for the six months ended July 31, 2022 was primarily due to cash paid for repurchases of common stock of </w:t>
      </w:r>
      <w:r>
        <w:rPr>
          <w:rFonts w:ascii="Times New Roman" w:cs="Times New Roman" w:eastAsia="Times New Roman" w:hAnsi="Times New Roman"/>
          <w:sz w:val="18"/>
          <w:szCs w:val="18"/>
          <w:color w:val="231F20"/>
        </w:rPr>
        <w:t>$425.9 million</w:t>
      </w:r>
      <w:r>
        <w:rPr>
          <w:rFonts w:ascii="Times New Roman" w:cs="Times New Roman" w:eastAsia="Times New Roman" w:hAnsi="Times New Roman"/>
          <w:sz w:val="18"/>
          <w:szCs w:val="18"/>
          <w:color w:val="auto"/>
        </w:rPr>
        <w:t xml:space="preserve"> offset by proceeds from issuance of common stock under our ESPP of $34.6 million.</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$65.1 million for the six months ended July 31, 2021 was primarily due to proceeds from issuance of common stock under our ESPP of $37.8 million, proceeds from employee equity transactions to be remitted to employees and tax authorities, net, of $18.9 million, and proceeds from the exercise of stock options of $8.0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described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2022, filed with the SEC on March 7, 2022.</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QUALITATIVE AND QUANTITATIVE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six months ended July 31, 2022 and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had cash and cash equivalents of $937.4 million and marketable securities of $4,582.7 million as of July 31, 2022.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2022 and 2021.</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executive officer and principal financial officer have concluded that as of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auto"/>
        </w:rPr>
        <w:t>, our disclosure controls and procedures were effective at a reasonable assurance level.</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8"/>
          <w:szCs w:val="18"/>
          <w:color w:val="231F20"/>
        </w:rPr>
        <w:t>July 31, 2022</w:t>
      </w:r>
      <w:r>
        <w:rPr>
          <w:rFonts w:ascii="Times New Roman" w:cs="Times New Roman" w:eastAsia="Times New Roman" w:hAnsi="Times New Roman"/>
          <w:sz w:val="18"/>
          <w:szCs w:val="18"/>
          <w:color w:val="auto"/>
        </w:rPr>
        <w:t xml:space="preserve"> that has materially affected, or is reasonably likely to materially affect, our internal control over financial reporting.</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6 -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a reduction in customer information technology spending budgets, which may be reduced during periods of high inflation or economic recession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as the impact of the COVID-19 pandemic continues to taper, particularly as users return to work or school or are otherwise no longer subject to limitations on in-person meetings.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has begun to decline and we expect our revenue growth rate to generally decline in future periods.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experienced significant revenue growth in prior periods. You should not rely on the revenue growth of any prior quarterly or annual period as an indication of our future performance. Our revenue growth rate has begun to decline and we expect our revenue growth rate to generally decline in future periods. Many factors may contribute to declines in our growth rate, including higher market penetration, increased competition, slowing demand for our platform, especially as the impact of the COVID-19 pandemic tapers, particularly as users return to work or school or are otherwise no longer subject to limitations on in-person meetings, a failure by us to continue capitalizing on growth opportunities, and the maturation of our business, among others. Declines in our growth rate could adversely affect investors’ perceptions of our business and the trading price of our Class A common stock could be adversely affected.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w:t>
      </w:r>
    </w:p>
    <w:p>
      <w:pPr>
        <w:spacing w:after="0" w:line="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shortages for certain parts, such as 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GoTo;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video functionality, including Microsoft Teams and Google G Suite and Meet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Also, in connection with the travel restrictions and stay-in-place policies resulting from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have fluctuated and may in the future fluctuate significantly and may not fully reflect the underlying performance of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have fluctuated and may in the future fluctuate significantly,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tiers of Zoom Meeting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hosts and upgrade hosts that subscribe to our free Zoom Meeting plan to one of our paid Zoom Meeting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For example, legislation was introduced in July 2022, in the U.S. Senate and House of Representatives to clarify the FCC’s authority to enact net neutrality rules.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On March 10, 2021, trade associations representing internet service providers appealed the district court’s ruling denying the preliminary injunction, and the appeal was denied on January 28, 2022. The trade associations sought a rehearing with the full court of appeal, and on April 20, 2022 it declined to rehear the case. The appellants did not appeal to the U.S. Supreme Court. A number of other states have adopted or are adopting or considering legislation or executive actions that would regulate the conduct of broadband providers. For instance, a temporary injunction preventing implementation of a similar law in Vermont expired on April 20, 2022, but the challenge to that law remains pending.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could lengthen, and we could experience greater deployment challenges.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increase our expenses in the future, which could decrease our profitability or prevent us from maintaining profitability.</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larger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8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operate. Moreover, some of these competitors have inherent advantages developing products and services that more tightly integrate with their software and hardware platforms or those of their business partners.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8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operations involve the storage and transmission of customer and user information. Security incidents have occurred in the past and may occur in the future, resulting in unauthorized access to, loss or unauthorized disclosure of, or inadvertent disclosure of, this information, interruptions, delays, or outages in our operations and services, regulatory investigations or enforcement actions, litigation, indemnity obligations, and other possible liabilities, as well as negative publicity, which could damage our reputation, impair our sales, and harm our business.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products and services have been and are expected to continue to be targeted. In addition to traditional computer “hackers,” we face security risks from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w:t>
      </w:r>
    </w:p>
    <w:p>
      <w:pPr>
        <w:spacing w:after="0" w:line="89"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deployed to address vulnerabilities. We expect security issues to arise in the future as our products and services are more widely adopted, and as we continue to expand the features and functionality of existing products and introduce new products.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Security incidents and vulnerabilities, and concerns regarding privacy, data protection, and information security may also cause some of our customers and hosts to stop using our solutions and fail to upgrade or renew their subscriptions. Further, as we rely on third-party and public-cloud infrastructure, we depend in part on third-party security measures to protect against unauthorized access, cyberattacks, and the mishandling of data and information.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our founding in 2011, we have experienced rapid growth. For example, our headcount has grown from 5,725 full-time employees as of July 31, 2021, to 8,044 full-time employees as of July 31, 2022,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the last two years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a change in the economy, including any resulting effect on consumer or business spending.</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business may be affected by changes in the economy generally, including as a result of the COVID-19 pandemic, any resulting effect on spending by our customers, and inflation. Some customers may view a subscription to our platform as a discretionary purchase, and our customers may reduce their discretionary spending on our platform during an economic downturn. Given current economic conditions, including inflation,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while we continue to add paid users to our customer base, we expect our user growth rate to continue to slow or decline as the impact of the COVID-19 pandemic continues to taper, particularly in light of a potential economic downturn.</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5540" w:right="5160" w:hanging="5208"/>
        <w:spacing w:after="0" w:line="616" w:lineRule="auto"/>
        <w:tabs>
          <w:tab w:leader="none" w:pos="6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hosts and make it more difficult to attract new customers and hosts;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the ongoing “great resignation” occurring throughout the U.S. economy.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as our stock price has fluctuated since our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APAC and EMEA collectively represented 31% and 33% of our revenue for the six months ended July 31, 2022 and 2021,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foreign jurisdictions where the government may impede or interrupt our ability to provide our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as a result of the United Kingdom's (“U.K.”) withdrawal from the European Union (“EU”), and other political tensions between countries in which we do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also intend to expand our research and development presence in Phoenix, Arizona and Pittsburgh, Pennsylvania, as well as in Singapore and India. As a result of this expansion, we could experience, among other things, difficulty in attracting and retaining talent in these locations and higher operating expenses, which would adversely impact our operating margins and harm our business.</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Increased user demand for support may result in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hosts has grown significantly, it has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six months ended July 31, 2022 and 2021, 20.7% and 23.0% of our revenue, respectively, and 12.6% and 13.9%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quarter ended July 31, 2022, our total revenue was lower than anticipated in part due to the strengthening of the U.S. dollar. We do not currently maintain a program to hedge exposures to non-U.S. dollar currencies.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and other government contractors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government-imposed vaccine mandates could result in increased attrition and difficulties in recruiting, and non-compliance with any such mandates could restrict our ability to do business with governmental entities.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requires the capitalization and amortization of research and development expenses effective for years beginning after December 31, 2021. Absent a change in legislation, we expect it will have a material impact on our cash flows beginning in this current fiscal year ending January 31, 2023. Although Congress is considering legislation that would defer the amortization requirement to later years, we have no assurance that the provision will be deferred, repealed, or otherwise modified.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6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the fiscal quarter ended April 30, 2020, we faced unprecedented usage of our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our failure, for any reason, to capitalize on growth opportunities; or our failure to adapt and respond to inflationary factors affecting our business or future economic recessions.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7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continually seeking to improve our ability to measure our key business metrics, and regularly review our processes to assess potential improvements.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Although we endeavor to comply with applicable laws and our policies, publications, certifications, and documentation, and other obligations, we may at times fail to do so or may be perceived to have failed to do so. Moreover, we may not be successful in achieving compliance if our employees, vendors or business partners do not comply with our policies, certifications, and documentation. Any actual or perceived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and the United Kingdom (U.K.) implemented the U.K. GDPR. The GDPR and the U.K. GDPR impose more stringent data protection requirements and provide greater penalties for noncompliance than previous data protection laws. Companies that violate the GDPR can face private litigation (including cases brought by consumer protection organizations),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Additionally, Brazil recently enacted the General Data Protection Law (Lei Geral de Proteção de Dados Pessoais or LGPD) (Law No. 13,709/2018), which broadly regulates the processing of personal information and imposes compliance obligations and penalties comparable to those of the GDPR. Additionally, in August 2021, China adopted the Personal Information Protection Law (“PIPL”), which took effect on November 1, 2021. The PIPL introduces a legal framework similar to the GDPR and is viewed as the beginning of a comprehensive system for the protection of personal information in China, although numerous aspects of the law remain uncertain and developing and the impact that PIPL will have on businesses remains uncertain. 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spacing w:after="0" w:line="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data transfer laws. For example, absent appropriate safeguards or other circumstances, the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lawful mechanism by which entities can transfer personal information out of the EEA to jurisdictions that the European Commission has not found to provide an adequate level of protection. The Standard Contractual Clauses require parties that rely upon them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European restrictions on cross-border transfers of personal information, other jurisdictions (e.g., Russia, China, and Brazil) have enacted or are considering similar cross-border personal information transfer laws and local personal information residency laws, any of which could increase the cost and complexity of doing business. If we cannot implement a valid compliance mechanism for cross-border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limiting our ability to collaborate with parties that are subject to European and other privacy, data protection, and information security laws; or requiring us to increase our personal information processing capabilities in Europe and/or elsewhere at significant expense.</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and e-marketing. European regulators are increasingly focusing on compliance with requirements in the online behavioral advertising ecosystem, and current national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laws that implement the ePrivacy Directive are likely to be replaced by the ePrivacy Regulation, which could lead to substantial costs, limit the effectiveness of our marketing and personalization activities, and subject us to additional liabilities.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allows for statutory fines for noncompliance (up to $7,500 per violation). The CCPA will be expanded substantially on January 1, 2023 when the California Privacy Rights Act of 2020 (the “CPRA”), which was approved by California voters in November 2020, becomes fully operative.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CCPA appears to mark the beginning of a trend toward more stringent privacy legislation in the United States, as other states have followed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Colorado, Utah and Connecticut have similarly enacted comprehensive privacy, data protection and information security laws, that emulate the CCPA and CPRA in many respects and take effect in 2023.</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laws and regulations, such as the GDPR and UK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Additional uses of our services arising out of increased demand associated with the COVID-19 pandemic may require us to address additional privacy, data protection, and information security laws, regulations, standards, policies, and contractual obligations.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liabilities on past sales for taxes, surcharges, and fees.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 will continue to submit as warranted initial and final voluntary self-disclosures regarding compliance with U.S. sanctions and export control laws and regulations to OFAC and the U.S. Department of Commerce’s Bureau of Industry and Security (“BIS”). For instance, in March 2022, we submitted a voluntary self-disclosure to BIS regarding compliance with certain U.S. export control laws and regulations.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device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federal court judge denied a request for a preliminary injunction against California’s state-specific network neutrality law, and as a result, California began enforcing that law on March 25, 2021. Trade associations representing internet service providers appealed the district court’s ruling denying the preliminary injunction, and the appeal was denied on January 28, 2022. On April 20, 2022 the Ninth Circuit declined to rehear the case and the appellants have since announced that they will not file for an appeal with the U.S. Supreme Court. We cannot predict whether other state initiatives will be enforced, modified, overturned, or vacated.</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In response to challenges from industry groups, a federal court enjoined enforcement of the Florida law, and on May 23, 2022, the U.S. Court of Appeals for the Eleventh Circuit upheld the lower court ruling preventing enforcement of restrictions on moderation. Florida recently amended its legislation in an effort to address the issues that led to the injunction barring enforcement of its statute, and both Florida and the parties challenging the law have indicated that they plan to seek Supreme Court review of the Eleventh Circuit decision. The Texas law initially was enjoined by a federal district court in response to a challenge from industry groups, but on May 11, 2022, a panel of the U.S. Court of Appeals for the Fifth Circuit stayed the district court decision pending full review of the district court decision. On May 13, 2022, the industry groups asked the Supreme Court of the United to temporarily vacate the Fifth Circuit’s stay and on May 31, 2022 the Supreme Court granted the application. As a result, the district court’s decision has been reinstated and the Texas law has been enjoined.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8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July 31, 2022, the holders of our outstanding Class B common stock held 65.0% of the voting power of our outstanding capital stock, with our directors, executive officers and 5% stockholders and their respective affiliates holding 60.3% of such voting power in the aggregate. As of July 31, 2022, our founder, President and Chief Executive Officer, Eric S. Yuan, together with his affiliates, held approximately 7.6% of our outstanding capital stock but controlled approximately 31.4%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will not be investing in our stock. These policies may depress the valuations of publicly traded companies excluded from the indices, or depress our trading volume compared to those of other similar companies that are included.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 significant portion of such increase is attributable to free Basic accounts, which do not generate any revenue. For example, we have removed the 40-minute time limit</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our free Basic accounts for customers in K-12 schools in certain countries.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If we raise additional funds through the issuance of equity 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equity-linked or debt securities, those securities may have rights, preferences, or privileges senior to the rights of our Class A common stock, and our stockholders may experience dilution.</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Class A common stock during the three months ended July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6"/>
          <w:szCs w:val="16"/>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May 1 – 31, 2022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June 1 – 30, 2022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July 1 – 31, 2022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162"/>
        </w:trPr>
        <w:tc>
          <w:tcPr>
            <w:tcW w:w="2220" w:type="dxa"/>
            <w:vAlign w:val="bottom"/>
          </w:tcPr>
          <w:p>
            <w:pPr>
              <w:jc w:val="right"/>
              <w:ind w:right="641"/>
              <w:spacing w:after="0" w:line="163"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2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that May Yet Be</w:t>
            </w: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5"/>
                <w:szCs w:val="15"/>
                <w:color w:val="auto"/>
              </w:rPr>
              <w:t>Announced Program</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Purchased Under Publicly</w:t>
            </w:r>
          </w:p>
        </w:tc>
      </w:tr>
      <w:tr>
        <w:trPr>
          <w:trHeight w:val="176"/>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Announced Program (in</w:t>
            </w:r>
          </w:p>
        </w:tc>
      </w:tr>
      <w:tr>
        <w:trPr>
          <w:trHeight w:val="243"/>
        </w:trPr>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1"/>
                <w:szCs w:val="21"/>
                <w:color w:val="auto"/>
                <w:w w:val="95"/>
                <w:vertAlign w:val="superscript"/>
              </w:rPr>
              <w:t>(1)</w:t>
            </w:r>
          </w:p>
        </w:tc>
      </w:tr>
      <w:tr>
        <w:trPr>
          <w:trHeight w:val="21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1,131,226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1,131,226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761,736</w:t>
            </w:r>
          </w:p>
        </w:tc>
      </w:tr>
      <w:tr>
        <w:trPr>
          <w:trHeight w:val="23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686,839</w:t>
            </w:r>
          </w:p>
        </w:tc>
      </w:tr>
      <w:tr>
        <w:trPr>
          <w:trHeight w:val="23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105.96</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574,054</w:t>
            </w:r>
          </w:p>
        </w:tc>
      </w:tr>
      <w:tr>
        <w:trPr>
          <w:trHeight w:val="21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2,864,721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2,864,721</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-616585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-325120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880"/>
          </w:cols>
          <w:pgMar w:left="320" w:top="121" w:right="339" w:bottom="1440" w:gutter="0" w:footer="0" w:header="0"/>
          <w:type w:val="continuous"/>
        </w:sectPr>
      </w:pPr>
    </w:p>
    <w:p>
      <w:pPr>
        <w:spacing w:after="0" w:line="106" w:lineRule="exact"/>
        <w:rPr>
          <w:sz w:val="20"/>
          <w:szCs w:val="20"/>
          <w:color w:val="auto"/>
        </w:rPr>
      </w:pPr>
    </w:p>
    <w:p>
      <w:pPr>
        <w:ind w:right="40" w:firstLine="8"/>
        <w:spacing w:after="0" w:line="229" w:lineRule="auto"/>
        <w:tabs>
          <w:tab w:leader="none" w:pos="181"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2022, our Board of Directors authorized a stock repurchase program of up to $1.0 billion of our Class A common stock, which expires in February 2024. Repurchases of our Class A common stock may be effected from time to time, either on the open market (including preset trading plans), in privately negotiated transactions, and other transactions in accordance with applicable securities laws. The program does not obligate the Company to repurchase any specific number of shares and may be discontinued at any time. See Note 8 "Stockholders’ Equity and Equity Incentive Plans" of this Quarterly Report on Form 10-Q for additional information related to share repurchases.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August 19, 2022, in order to align severance benefits consistently among all executives, the Compensation Committee of the Board of Directors adopted a Severance and Change in Control Plan (the “Severance Plan”) pursuant to which certain employees are eligible to participate, including each of</w:t>
      </w:r>
    </w:p>
    <w:p>
      <w:pPr>
        <w:jc w:val="both"/>
        <w:ind w:firstLine="8"/>
        <w:spacing w:after="0" w:line="255"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executive officers, as well as (ii) Ryan Azus and Janine Pelosi (each of (i) and (ii), a “Participant” and collectively, the “Participants”). Pursuant to the Severance Plan, the Participants are eligible to receive the severance benefits described below, contingent upon the respective Participant’s execution of a general release of claims as further described in the Severance Plan. The benefits provided by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Severance Plan are generally consistent with the benefits to which the Participants were entitled pursuant to their respective offer letters, except that (i) the Change in Control Period (as defined in “Double Trigger’ Change in Control Severance Benefits” below) did not previously include the three months prior to the closing of a change in control for all Participants and (ii) not all Participants were previously entitled to the equity acceleration benefit described under “Non-Change in Control Severance Benefits” below. The benefits provided pursuant to the Severance Plan supersede and replace any severance and/or change in control benefits to which the Participants were previously entitled.</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“Double Trigger” Change in Control Severance Benefits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 Participant is terminated without Cause or resigns for Good Reason (each as defined in the Severance Plan) during the period commencing three months prior to, and ending 12 months following, the closing of a Change in Control (as defined in the Severance Plan) (the “Change in Control Period”), the Participant will be entitled to (i) a cash payment in an amount equal to six months of the Participant’s base salary, (ii) six months of COBRA premiums, and (iii) acceleration of vesting of 100% of the Participant’s then-outstanding equity awards.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Non-Change in Control Severance Benefits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 Participant is terminated without Cause or resigns for Good Reason at a time that is not during the Change in Control Period, the Participant will be entitled to accelerated vesting of the Participant’s then-outstanding equity awards to the extent such awards were scheduled to vest during the 12-month period following the date of the termination or resignation based solely on his or her continued employment with the Company, had he or she remained employed by the Company through such date.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spacing w:after="0"/>
              <w:rPr>
                <w:sz w:val="13"/>
                <w:szCs w:val="13"/>
                <w:color w:val="auto"/>
              </w:rPr>
            </w:pPr>
          </w:p>
        </w:tc>
        <w:tc>
          <w:tcPr>
            <w:tcW w:w="3060" w:type="dxa"/>
            <w:vAlign w:val="bottom"/>
            <w:gridSpan w:val="1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spacing w:after="0"/>
              <w:rPr>
                <w:sz w:val="16"/>
                <w:szCs w:val="16"/>
                <w:color w:val="auto"/>
              </w:rPr>
            </w:pPr>
          </w:p>
        </w:tc>
        <w:tc>
          <w:tcPr>
            <w:tcW w:w="306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Amended and Restated Certificate of Incorporation of Zoom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6"/>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Communications, Inc.</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Offer Letter by and between Zoom Video Communications, Inc.</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and Greg Tomb, dated May 31, 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Zoom Video Communications, Inc. Severance and Change in</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Control Plan and form of Participation Agreement thereunder</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w:t>
            </w:r>
          </w:p>
        </w:tc>
        <w:tc>
          <w:tcPr>
            <w:tcW w:w="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6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0" w:type="dxa"/>
            <w:vAlign w:val="bottom"/>
          </w:tcPr>
          <w:p>
            <w:pPr>
              <w:spacing w:after="0"/>
              <w:rPr>
                <w:sz w:val="1"/>
                <w:szCs w:val="1"/>
                <w:color w:val="auto"/>
              </w:rPr>
            </w:pPr>
          </w:p>
        </w:tc>
      </w:tr>
      <w:tr>
        <w:trPr>
          <w:trHeight w:val="16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EXBRL document)</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180" w:right="360" w:hanging="1154"/>
        <w:spacing w:after="0" w:line="244" w:lineRule="auto"/>
        <w:tabs>
          <w:tab w:leader="none" w:pos="1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Registrant’s Quarterly Report on Form 10-Q for the quarter ended April 30, 2022,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5"/>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23, 2019</w:t>
            </w:r>
          </w:p>
        </w:tc>
      </w:tr>
      <w:tr>
        <w:trPr>
          <w:trHeight w:val="47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333-230444</w:t>
            </w: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3.4</w:t>
            </w:r>
          </w:p>
        </w:tc>
        <w:tc>
          <w:tcPr>
            <w:tcW w:w="1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8, 2019</w:t>
            </w:r>
          </w:p>
        </w:tc>
      </w:tr>
    </w:tbl>
    <w:p>
      <w:pPr>
        <w:spacing w:after="0" w:line="5449" w:lineRule="exact"/>
        <w:rPr>
          <w:sz w:val="20"/>
          <w:szCs w:val="20"/>
          <w:color w:val="auto"/>
        </w:rPr>
      </w:pPr>
    </w:p>
    <w:p>
      <w:pPr>
        <w:sectPr>
          <w:pgSz w:w="11900" w:h="16838" w:orient="portrait"/>
          <w:cols w:equalWidth="0" w:num="2">
            <w:col w:w="5820" w:space="160"/>
            <w:col w:w="5260"/>
          </w:cols>
          <w:pgMar w:left="320" w:top="121" w:right="339" w:bottom="1440" w:gutter="0" w:footer="0" w:header="0"/>
        </w:sect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660" w:hanging="652"/>
        <w:spacing w:after="0" w:line="255" w:lineRule="auto"/>
        <w:tabs>
          <w:tab w:leader="none" w:pos="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2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8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24, 2022</w:t>
            </w:r>
          </w:p>
        </w:tc>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4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24, 2022</w:t>
            </w:r>
          </w:p>
        </w:tc>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8"/>
        </w:trPr>
        <w:tc>
          <w:tcPr>
            <w:tcW w:w="4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28"/>
        </w:trPr>
        <w:tc>
          <w:tcPr>
            <w:tcW w:w="4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288290</wp:posOffset>
            </wp:positionV>
            <wp:extent cx="2272030" cy="4972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2720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May 27, 2022</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Greg Tomb</w:t>
      </w:r>
    </w:p>
    <w:p>
      <w:pPr>
        <w:spacing w:after="0" w:line="39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VIA EMAIL:</w:t>
      </w:r>
    </w:p>
    <w:p>
      <w:pPr>
        <w:spacing w:after="0" w:line="220" w:lineRule="exact"/>
        <w:rPr>
          <w:sz w:val="20"/>
          <w:szCs w:val="20"/>
          <w:color w:val="auto"/>
        </w:rPr>
      </w:pPr>
    </w:p>
    <w:p>
      <w:pPr>
        <w:ind w:left="6"/>
        <w:spacing w:after="0"/>
        <w:tabs>
          <w:tab w:leader="none" w:pos="526"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Employment Terms</w:t>
      </w:r>
    </w:p>
    <w:p>
      <w:pPr>
        <w:spacing w:after="0" w:line="39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color w:val="auto"/>
        </w:rPr>
        <w:t>Dear Greg:</w:t>
      </w:r>
    </w:p>
    <w:p>
      <w:pPr>
        <w:spacing w:after="0" w:line="206" w:lineRule="exact"/>
        <w:rPr>
          <w:sz w:val="20"/>
          <w:szCs w:val="20"/>
          <w:color w:val="auto"/>
        </w:rPr>
      </w:pPr>
    </w:p>
    <w:p>
      <w:pPr>
        <w:ind w:left="6" w:right="360"/>
        <w:spacing w:after="0" w:line="236" w:lineRule="auto"/>
        <w:rPr>
          <w:sz w:val="20"/>
          <w:szCs w:val="20"/>
          <w:color w:val="auto"/>
        </w:rPr>
      </w:pPr>
      <w:r>
        <w:rPr>
          <w:rFonts w:ascii="Times New Roman" w:cs="Times New Roman" w:eastAsia="Times New Roman" w:hAnsi="Times New Roman"/>
          <w:sz w:val="22"/>
          <w:szCs w:val="22"/>
          <w:color w:val="auto"/>
        </w:rPr>
        <w:t>I am pleased to offer you employment with Zoom Video Communications, Inc. (“Zoom”), on the terms set forth in this offer letter agreement:</w:t>
      </w:r>
    </w:p>
    <w:p>
      <w:pPr>
        <w:spacing w:after="0" w:line="173" w:lineRule="exact"/>
        <w:rPr>
          <w:sz w:val="20"/>
          <w:szCs w:val="20"/>
          <w:color w:val="auto"/>
        </w:rPr>
      </w:pPr>
    </w:p>
    <w:p>
      <w:pPr>
        <w:jc w:val="both"/>
        <w:ind w:left="326" w:right="100" w:hanging="326"/>
        <w:spacing w:after="0" w:line="216" w:lineRule="auto"/>
        <w:tabs>
          <w:tab w:leader="none" w:pos="3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You will serve as President, and you will report to Eric Yuan, CEO. This is a full- time exempt position. While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render services to Zoom, you will not engage in any other employment, consulting or other business activity (whether full-time or part-time) that would create a conflict of interest with Zoom. By signing this letter agreement, you confirm that as an employee of Zoom, you will have no contractual commitments or other legal obligations that would prohibit you from performing your duties for Zoom. Your anticipated start date with Zoom is June 6, 2022 (such actual start date, the “</w:t>
      </w:r>
      <w:r>
        <w:rPr>
          <w:rFonts w:ascii="Times New Roman" w:cs="Times New Roman" w:eastAsia="Times New Roman" w:hAnsi="Times New Roman"/>
          <w:sz w:val="22"/>
          <w:szCs w:val="22"/>
          <w:u w:val="single" w:color="auto"/>
          <w:color w:val="auto"/>
        </w:rPr>
        <w:t>Start Date</w:t>
      </w:r>
      <w:r>
        <w:rPr>
          <w:rFonts w:ascii="Times New Roman" w:cs="Times New Roman" w:eastAsia="Times New Roman" w:hAnsi="Times New Roman"/>
          <w:sz w:val="22"/>
          <w:szCs w:val="22"/>
          <w:color w:val="auto"/>
        </w:rPr>
        <w:t>”).</w:t>
      </w:r>
    </w:p>
    <w:p>
      <w:pPr>
        <w:spacing w:after="0" w:line="267" w:lineRule="exact"/>
        <w:rPr>
          <w:rFonts w:ascii="Times New Roman" w:cs="Times New Roman" w:eastAsia="Times New Roman" w:hAnsi="Times New Roman"/>
          <w:sz w:val="22"/>
          <w:szCs w:val="22"/>
          <w:color w:val="auto"/>
        </w:rPr>
      </w:pPr>
    </w:p>
    <w:p>
      <w:pPr>
        <w:jc w:val="both"/>
        <w:ind w:left="326" w:right="100" w:hanging="326"/>
        <w:spacing w:after="0" w:line="226" w:lineRule="auto"/>
        <w:tabs>
          <w:tab w:leader="none" w:pos="32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Cash Compensation. </w:t>
      </w:r>
      <w:r>
        <w:rPr>
          <w:rFonts w:ascii="Times New Roman" w:cs="Times New Roman" w:eastAsia="Times New Roman" w:hAnsi="Times New Roman"/>
          <w:sz w:val="21"/>
          <w:szCs w:val="21"/>
          <w:color w:val="auto"/>
        </w:rPr>
        <w:t>Zoom will pay you a salary at the rate of $400,000 per year, payable in accordance with Zoom’s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standard payroll schedule. You will also be eligible to earn and receive a target annual bonus of 8% of your base salary rate that is based on Zoom's performance and meeting performance targets established by Zoom pursuant to Zoom's applicable incentive compensation plan(s) and will be pro-rated for your services to Zoom during the applicable performance period. No amount of any incentive compensation is guaranteed, and you must satisfy any and all conditions established by Zoom for such incentive compensation program to earn and be eligible for payment of incentive compensation.</w:t>
      </w:r>
    </w:p>
    <w:p>
      <w:pPr>
        <w:spacing w:after="0" w:line="174" w:lineRule="exact"/>
        <w:rPr>
          <w:rFonts w:ascii="Times New Roman" w:cs="Times New Roman" w:eastAsia="Times New Roman" w:hAnsi="Times New Roman"/>
          <w:sz w:val="21"/>
          <w:szCs w:val="21"/>
          <w:color w:val="auto"/>
        </w:rPr>
      </w:pPr>
    </w:p>
    <w:p>
      <w:pPr>
        <w:ind w:left="326" w:right="100" w:hanging="326"/>
        <w:spacing w:after="0" w:line="238" w:lineRule="auto"/>
        <w:tabs>
          <w:tab w:leader="none" w:pos="3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As a regular Zoom employee, you will be eligible to participate in a number of company-sponsored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offered to employees from time to time, subject to the terms and conditions of the applicable plans and policies.</w:t>
      </w:r>
    </w:p>
    <w:p>
      <w:pPr>
        <w:spacing w:after="0" w:line="173" w:lineRule="exact"/>
        <w:rPr>
          <w:rFonts w:ascii="Times New Roman" w:cs="Times New Roman" w:eastAsia="Times New Roman" w:hAnsi="Times New Roman"/>
          <w:sz w:val="22"/>
          <w:szCs w:val="22"/>
          <w:color w:val="auto"/>
        </w:rPr>
      </w:pPr>
    </w:p>
    <w:p>
      <w:pPr>
        <w:jc w:val="both"/>
        <w:ind w:left="326" w:right="100" w:hanging="326"/>
        <w:spacing w:after="0" w:line="209" w:lineRule="auto"/>
        <w:tabs>
          <w:tab w:leader="none" w:pos="3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Equity and Change in Control Severance Benefits. </w:t>
      </w:r>
      <w:r>
        <w:rPr>
          <w:rFonts w:ascii="Times New Roman" w:cs="Times New Roman" w:eastAsia="Times New Roman" w:hAnsi="Times New Roman"/>
          <w:sz w:val="22"/>
          <w:szCs w:val="22"/>
          <w:color w:val="auto"/>
        </w:rPr>
        <w:t>As soon as reasonably practicable on or following your Start Date,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Zoom’s policy for the timing of RSU awards and subject to your continued employment with Zoom, you will be granted a restricted stock unit award with a target grant date value of $45,000,000 of Zoom's Class A common stock (“RSUs”) under and subject to the terms of the Company's 2019 Equity Incentive Plan (the “Equity Plan”) and a restricted stock unit award agreement thereunder, in the form attached as an exhibit to this offer letter agreement. The RSUs shall vest over a four</w:t>
      </w:r>
    </w:p>
    <w:p>
      <w:pPr>
        <w:spacing w:after="0" w:line="2" w:lineRule="exact"/>
        <w:rPr>
          <w:rFonts w:ascii="Times New Roman" w:cs="Times New Roman" w:eastAsia="Times New Roman" w:hAnsi="Times New Roman"/>
          <w:sz w:val="22"/>
          <w:szCs w:val="22"/>
          <w:color w:val="auto"/>
        </w:rPr>
      </w:pPr>
    </w:p>
    <w:p>
      <w:pPr>
        <w:ind w:left="32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year period, with 3.125% of the RSUs vesting twice a fiscal quarter on Zoom’s regularly</w:t>
      </w:r>
    </w:p>
    <w:p>
      <w:pPr>
        <w:sectPr>
          <w:pgSz w:w="11900" w:h="16838" w:orient="portrait"/>
          <w:cols w:equalWidth="0" w:num="1">
            <w:col w:w="11106"/>
          </w:cols>
          <w:pgMar w:left="454" w:top="10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scheduled quarterly vesting dates (commencing on the date of grant), subject to you remaining in Continuous Service (as defined in the Equity Plan) through each such date.</w:t>
      </w:r>
    </w:p>
    <w:p>
      <w:pPr>
        <w:spacing w:after="0" w:line="177" w:lineRule="exact"/>
        <w:rPr>
          <w:sz w:val="20"/>
          <w:szCs w:val="20"/>
          <w:color w:val="auto"/>
        </w:rPr>
      </w:pPr>
    </w:p>
    <w:p>
      <w:pPr>
        <w:jc w:val="both"/>
        <w:ind w:right="100"/>
        <w:spacing w:after="0" w:line="211" w:lineRule="auto"/>
        <w:rPr>
          <w:sz w:val="20"/>
          <w:szCs w:val="20"/>
          <w:color w:val="auto"/>
        </w:rPr>
      </w:pPr>
      <w:r>
        <w:rPr>
          <w:rFonts w:ascii="Times New Roman" w:cs="Times New Roman" w:eastAsia="Times New Roman" w:hAnsi="Times New Roman"/>
          <w:sz w:val="22"/>
          <w:szCs w:val="22"/>
          <w:color w:val="auto"/>
        </w:rPr>
        <w:t>Should you be subject to an Involuntary Termination that occurs during the Change in Control Period (a “CIC Termination”), then Zoom will accelerate the vesting of any then- outstanding RSUs and any other then-outstanding subsequent equity compensation awards granted to you under the Equity Plan or a successor plan thereto prior to the date of such CIC Termination (“Subsequent Awards”) such that 100% of your then-outstanding RSUs and Subsequent Awards (if applicable) will be deemed immediately vested and exercisable (as applicable) as of your Involuntary Termination date (or the effective date of the Change in Control, if later). To the extent your CIC Termination occurs prior to the Change in Control, the acceleration set forth in this Section shall be contingent and effective upon the effectiveness of the Change in Control and your RSUs and Subsequent Awards outstanding as of your CIC Termination, as applicable, will remain outstanding following your CIC Termination as necessary to give effect to such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should a CIC Termination occur, you will receive as severance benefits:</w:t>
      </w:r>
    </w:p>
    <w:p>
      <w:pPr>
        <w:spacing w:after="0" w:line="206" w:lineRule="exact"/>
        <w:rPr>
          <w:sz w:val="20"/>
          <w:szCs w:val="20"/>
          <w:color w:val="auto"/>
        </w:rPr>
      </w:pPr>
    </w:p>
    <w:p>
      <w:pPr>
        <w:jc w:val="both"/>
        <w:ind w:left="700" w:right="120" w:hanging="320"/>
        <w:spacing w:after="0" w:line="212" w:lineRule="auto"/>
        <w:tabs>
          <w:tab w:leader="none" w:pos="69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cash payment equal to six months of your then-current base salary, ignoring any decrease in base salary that would form the basis for your right to Resignation for Good Reason, if any, paid in a lump sum no later than the earliest of</w:t>
      </w:r>
    </w:p>
    <w:p>
      <w:pPr>
        <w:spacing w:after="0" w:line="1" w:lineRule="exact"/>
        <w:rPr>
          <w:rFonts w:ascii="Times New Roman" w:cs="Times New Roman" w:eastAsia="Times New Roman" w:hAnsi="Times New Roman"/>
          <w:sz w:val="22"/>
          <w:szCs w:val="22"/>
          <w:color w:val="auto"/>
        </w:rPr>
      </w:pPr>
    </w:p>
    <w:p>
      <w:pPr>
        <w:ind w:left="700" w:right="12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30 days following the effective date of the Release and (ii) March 15 of the year following the year in which your CIC Termination occurs.</w:t>
      </w:r>
    </w:p>
    <w:p>
      <w:pPr>
        <w:spacing w:after="0" w:line="176" w:lineRule="exact"/>
        <w:rPr>
          <w:rFonts w:ascii="Times New Roman" w:cs="Times New Roman" w:eastAsia="Times New Roman" w:hAnsi="Times New Roman"/>
          <w:sz w:val="22"/>
          <w:szCs w:val="22"/>
          <w:color w:val="auto"/>
        </w:rPr>
      </w:pPr>
    </w:p>
    <w:p>
      <w:pPr>
        <w:jc w:val="both"/>
        <w:ind w:left="700" w:right="100" w:hanging="320"/>
        <w:spacing w:after="0" w:line="208" w:lineRule="auto"/>
        <w:tabs>
          <w:tab w:leader="none" w:pos="6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w:t>
      </w:r>
    </w:p>
    <w:p>
      <w:pPr>
        <w:sectPr>
          <w:pgSz w:w="11900" w:h="16838" w:orient="portrait"/>
          <w:cols w:equalWidth="0" w:num="1">
            <w:col w:w="10780"/>
          </w:cols>
          <w:pgMar w:left="780" w:top="10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700" w:right="100"/>
        <w:spacing w:after="0" w:line="225" w:lineRule="auto"/>
        <w:rPr>
          <w:sz w:val="20"/>
          <w:szCs w:val="20"/>
          <w:color w:val="auto"/>
        </w:rPr>
      </w:pPr>
      <w:r>
        <w:rPr>
          <w:rFonts w:ascii="Times New Roman" w:cs="Times New Roman" w:eastAsia="Times New Roman" w:hAnsi="Times New Roman"/>
          <w:sz w:val="22"/>
          <w:szCs w:val="22"/>
          <w:color w:val="auto"/>
        </w:rPr>
        <w:t>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179" w:lineRule="exact"/>
        <w:rPr>
          <w:sz w:val="20"/>
          <w:szCs w:val="20"/>
          <w:color w:val="auto"/>
        </w:rPr>
      </w:pPr>
    </w:p>
    <w:p>
      <w:pPr>
        <w:jc w:val="both"/>
        <w:ind w:right="100"/>
        <w:spacing w:after="0" w:line="212" w:lineRule="auto"/>
        <w:rPr>
          <w:sz w:val="20"/>
          <w:szCs w:val="20"/>
          <w:color w:val="auto"/>
        </w:rPr>
      </w:pPr>
      <w:r>
        <w:rPr>
          <w:rFonts w:ascii="Times New Roman" w:cs="Times New Roman" w:eastAsia="Times New Roman" w:hAnsi="Times New Roman"/>
          <w:sz w:val="22"/>
          <w:szCs w:val="22"/>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Involuntary Termination (the “Release”) within the time period set forth therein, and not revoking such Release so that it becomes effective within the time period specified therein, but no later than 60 days following your Involuntary Termination (the obligations set forth in (i) and (ii), the “Severance Conditions”). The form of required Release will be consistent with the terms of this letter and impose no material obligations on you other than a general release of claims and mutual non-disparagement.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offer letter agreement, the following definitions shall apply:</w:t>
      </w:r>
    </w:p>
    <w:p>
      <w:pPr>
        <w:spacing w:after="0" w:line="206" w:lineRule="exact"/>
        <w:rPr>
          <w:sz w:val="20"/>
          <w:szCs w:val="20"/>
          <w:color w:val="auto"/>
        </w:rPr>
      </w:pPr>
    </w:p>
    <w:p>
      <w:pPr>
        <w:jc w:val="both"/>
        <w:ind w:left="640" w:right="100" w:hanging="319"/>
        <w:spacing w:after="0" w:line="212" w:lineRule="auto"/>
        <w:tabs>
          <w:tab w:leader="none" w:pos="6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“Cause” means your: (a) unauthorized use or disclosure of Zoom’s confidential information or trade secrets, which use or disclosure causes or could cause material harm to Zoom, (b) material breach of any agreement between you and Zoom,</w:t>
      </w:r>
    </w:p>
    <w:p>
      <w:pPr>
        <w:jc w:val="both"/>
        <w:ind w:left="640" w:right="100" w:firstLine="6"/>
        <w:spacing w:after="0" w:line="211" w:lineRule="auto"/>
        <w:tabs>
          <w:tab w:leader="none" w:pos="147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failure to comply with Zoom’s written policies or rules which are made available to you and uniformly applied to all Zoom executive officers,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194" w:lineRule="exact"/>
        <w:rPr>
          <w:rFonts w:ascii="Times New Roman" w:cs="Times New Roman" w:eastAsia="Times New Roman" w:hAnsi="Times New Roman"/>
          <w:sz w:val="22"/>
          <w:szCs w:val="22"/>
          <w:color w:val="auto"/>
        </w:rPr>
      </w:pPr>
    </w:p>
    <w:p>
      <w:pPr>
        <w:jc w:val="both"/>
        <w:ind w:left="640" w:right="100" w:hanging="318"/>
        <w:spacing w:after="0" w:line="212" w:lineRule="auto"/>
        <w:tabs>
          <w:tab w:leader="none" w:pos="662"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182" w:lineRule="exact"/>
        <w:rPr>
          <w:rFonts w:ascii="Arial" w:cs="Arial" w:eastAsia="Arial" w:hAnsi="Arial"/>
          <w:sz w:val="22"/>
          <w:szCs w:val="22"/>
          <w:color w:val="auto"/>
        </w:rPr>
      </w:pPr>
    </w:p>
    <w:p>
      <w:pPr>
        <w:ind w:left="640" w:right="120" w:hanging="318"/>
        <w:spacing w:after="0" w:line="235" w:lineRule="auto"/>
        <w:tabs>
          <w:tab w:leader="none" w:pos="63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“Change in Control Period” means the period commencing three months prior to, and ending 12 months following, the effective date of a Change in Control.</w:t>
      </w:r>
    </w:p>
    <w:p>
      <w:pPr>
        <w:spacing w:after="0" w:line="164" w:lineRule="exact"/>
        <w:rPr>
          <w:rFonts w:ascii="Arial" w:cs="Arial" w:eastAsia="Arial" w:hAnsi="Arial"/>
          <w:sz w:val="22"/>
          <w:szCs w:val="22"/>
          <w:color w:val="auto"/>
        </w:rPr>
      </w:pPr>
    </w:p>
    <w:p>
      <w:pPr>
        <w:ind w:left="640" w:hanging="318"/>
        <w:spacing w:after="0"/>
        <w:tabs>
          <w:tab w:leader="none" w:pos="64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22"/>
          <w:szCs w:val="22"/>
          <w:color w:val="auto"/>
        </w:rPr>
        <w:t>“Involuntary Termination” means either (a) your Termination Without Cause or</w:t>
      </w:r>
    </w:p>
    <w:p>
      <w:pPr>
        <w:ind w:left="960" w:hanging="314"/>
        <w:spacing w:after="0"/>
        <w:tabs>
          <w:tab w:leader="none" w:pos="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Resignation for Good Reason.</w:t>
      </w:r>
    </w:p>
    <w:p>
      <w:pPr>
        <w:sectPr>
          <w:pgSz w:w="11900" w:h="16838" w:orient="portrait"/>
          <w:cols w:equalWidth="0" w:num="1">
            <w:col w:w="10780"/>
          </w:cols>
          <w:pgMar w:left="780" w:top="10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67" w:right="120" w:hanging="318"/>
        <w:spacing w:after="0" w:line="235" w:lineRule="auto"/>
        <w:tabs>
          <w:tab w:leader="none" w:pos="976" w:val="left"/>
        </w:tabs>
        <w:numPr>
          <w:ilvl w:val="0"/>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“Resignation for Good Reason” means a Separation from Zoom as a result of your resignation within 12 months after one of the following conditions has come into existence without your consent:</w:t>
      </w:r>
    </w:p>
    <w:p>
      <w:pPr>
        <w:spacing w:after="0" w:line="219" w:lineRule="exact"/>
        <w:rPr>
          <w:sz w:val="20"/>
          <w:szCs w:val="20"/>
          <w:color w:val="auto"/>
        </w:rPr>
      </w:pPr>
    </w:p>
    <w:p>
      <w:pPr>
        <w:ind w:left="1607" w:hanging="311"/>
        <w:spacing w:after="0"/>
        <w:tabs>
          <w:tab w:leader="none" w:pos="1607"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 reduction in your base salary by more than 5%;</w:t>
      </w:r>
    </w:p>
    <w:p>
      <w:pPr>
        <w:spacing w:after="0" w:line="22" w:lineRule="exact"/>
        <w:rPr>
          <w:rFonts w:ascii="Courier New" w:cs="Courier New" w:eastAsia="Courier New" w:hAnsi="Courier New"/>
          <w:sz w:val="22"/>
          <w:szCs w:val="22"/>
          <w:color w:val="auto"/>
        </w:rPr>
      </w:pPr>
    </w:p>
    <w:p>
      <w:pPr>
        <w:jc w:val="both"/>
        <w:ind w:left="1627" w:right="100" w:hanging="331"/>
        <w:spacing w:after="0" w:line="233" w:lineRule="auto"/>
        <w:tabs>
          <w:tab w:leader="none" w:pos="1622"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1" w:lineRule="exact"/>
        <w:rPr>
          <w:rFonts w:ascii="Courier New" w:cs="Courier New" w:eastAsia="Courier New" w:hAnsi="Courier New"/>
          <w:sz w:val="22"/>
          <w:szCs w:val="22"/>
          <w:color w:val="auto"/>
        </w:rPr>
      </w:pPr>
    </w:p>
    <w:p>
      <w:pPr>
        <w:jc w:val="both"/>
        <w:ind w:left="1627" w:right="120" w:hanging="331"/>
        <w:spacing w:after="0" w:line="233" w:lineRule="auto"/>
        <w:tabs>
          <w:tab w:leader="none" w:pos="1622"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pacing w:after="0" w:line="1" w:lineRule="exact"/>
        <w:rPr>
          <w:rFonts w:ascii="Courier New" w:cs="Courier New" w:eastAsia="Courier New" w:hAnsi="Courier New"/>
          <w:sz w:val="22"/>
          <w:szCs w:val="22"/>
          <w:color w:val="auto"/>
        </w:rPr>
      </w:pPr>
    </w:p>
    <w:p>
      <w:pPr>
        <w:ind w:left="1627" w:right="120" w:hanging="331"/>
        <w:spacing w:after="0" w:line="235" w:lineRule="auto"/>
        <w:tabs>
          <w:tab w:leader="none" w:pos="1622" w:val="left"/>
        </w:tabs>
        <w:numPr>
          <w:ilvl w:val="0"/>
          <w:numId w:val="3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A relocation of your principal workplace to a place that increases your one- way commute by more than 40 miles as compared to your then-current principal workplace immediately prior to such relocation.</w:t>
      </w:r>
    </w:p>
    <w:p>
      <w:pPr>
        <w:spacing w:after="0" w:line="191" w:lineRule="exact"/>
        <w:rPr>
          <w:sz w:val="20"/>
          <w:szCs w:val="20"/>
          <w:color w:val="auto"/>
        </w:rPr>
      </w:pPr>
    </w:p>
    <w:p>
      <w:pPr>
        <w:jc w:val="both"/>
        <w:ind w:left="967" w:right="100"/>
        <w:spacing w:after="0" w:line="225" w:lineRule="auto"/>
        <w:rPr>
          <w:sz w:val="20"/>
          <w:szCs w:val="20"/>
          <w:color w:val="auto"/>
        </w:rPr>
      </w:pPr>
      <w:r>
        <w:rPr>
          <w:rFonts w:ascii="Times New Roman" w:cs="Times New Roman" w:eastAsia="Times New Roman" w:hAnsi="Times New Roman"/>
          <w:sz w:val="22"/>
          <w:szCs w:val="22"/>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193" w:lineRule="exact"/>
        <w:rPr>
          <w:sz w:val="20"/>
          <w:szCs w:val="20"/>
          <w:color w:val="auto"/>
        </w:rPr>
      </w:pPr>
    </w:p>
    <w:p>
      <w:pPr>
        <w:ind w:left="967" w:hanging="319"/>
        <w:spacing w:after="0"/>
        <w:tabs>
          <w:tab w:leader="none" w:pos="967"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“Separation” means a “separation from service,” as defined in the regulations under Section 409A of the Code.</w:t>
      </w:r>
    </w:p>
    <w:p>
      <w:pPr>
        <w:spacing w:after="0" w:line="205" w:lineRule="exact"/>
        <w:rPr>
          <w:rFonts w:ascii="Arial" w:cs="Arial" w:eastAsia="Arial" w:hAnsi="Arial"/>
          <w:sz w:val="22"/>
          <w:szCs w:val="22"/>
          <w:color w:val="auto"/>
        </w:rPr>
      </w:pPr>
    </w:p>
    <w:p>
      <w:pPr>
        <w:jc w:val="both"/>
        <w:ind w:left="967" w:right="120" w:hanging="319"/>
        <w:spacing w:after="0" w:line="225" w:lineRule="auto"/>
        <w:tabs>
          <w:tab w:leader="none" w:pos="1003"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179" w:lineRule="exact"/>
        <w:rPr>
          <w:sz w:val="20"/>
          <w:szCs w:val="20"/>
          <w:color w:val="auto"/>
        </w:rPr>
      </w:pPr>
    </w:p>
    <w:p>
      <w:pPr>
        <w:ind w:left="967"/>
        <w:spacing w:after="0"/>
        <w:rPr>
          <w:sz w:val="20"/>
          <w:szCs w:val="20"/>
          <w:color w:val="auto"/>
        </w:rPr>
      </w:pPr>
      <w:r>
        <w:rPr>
          <w:rFonts w:ascii="Times New Roman" w:cs="Times New Roman" w:eastAsia="Times New Roman" w:hAnsi="Times New Roman"/>
          <w:sz w:val="22"/>
          <w:szCs w:val="22"/>
          <w:color w:val="auto"/>
        </w:rPr>
        <w:t>References in this offer letter to Zoom shall refer to any successor entity to Zoom following a Change in Control.</w:t>
      </w:r>
    </w:p>
    <w:p>
      <w:pPr>
        <w:spacing w:after="0" w:line="216" w:lineRule="exact"/>
        <w:rPr>
          <w:sz w:val="20"/>
          <w:szCs w:val="20"/>
          <w:color w:val="auto"/>
        </w:rPr>
      </w:pPr>
    </w:p>
    <w:p>
      <w:pPr>
        <w:jc w:val="both"/>
        <w:ind w:left="327" w:right="100" w:hanging="327"/>
        <w:spacing w:after="0" w:line="213" w:lineRule="auto"/>
        <w:tabs>
          <w:tab w:leader="none" w:pos="3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Acceleration Upon Involuntary Termination Outside of a Change in Control</w:t>
      </w:r>
      <w:r>
        <w:rPr>
          <w:rFonts w:ascii="Times New Roman" w:cs="Times New Roman" w:eastAsia="Times New Roman" w:hAnsi="Times New Roman"/>
          <w:sz w:val="22"/>
          <w:szCs w:val="22"/>
          <w:color w:val="auto"/>
        </w:rPr>
        <w:t>. If you are subject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Involuntary Termination that occurs at a time other than during the Change in Control Period, then, subject to your compliance with the Severance Conditions described in Section 4 above, Zoom will accelerate the vesting of any then-outstanding RSUs and Subsequent Awards (if applicable) to the extent such awards were scheduled to vest during the twelve (12) month period following the date of your Involuntary Termination based solely on your continued employment with Zoom, had you remained employed by Zoom through such date, such that such portion of your then-outstanding RSUs and Subsequent Awards (if applicable) will be deemed immediately vested and exercisable (as applicable) as of the date immediately preceding your Involuntary Termination date.</w:t>
      </w:r>
    </w:p>
    <w:p>
      <w:pPr>
        <w:spacing w:after="0" w:line="174" w:lineRule="exact"/>
        <w:rPr>
          <w:rFonts w:ascii="Times New Roman" w:cs="Times New Roman" w:eastAsia="Times New Roman" w:hAnsi="Times New Roman"/>
          <w:sz w:val="22"/>
          <w:szCs w:val="22"/>
          <w:color w:val="auto"/>
        </w:rPr>
      </w:pPr>
    </w:p>
    <w:p>
      <w:pPr>
        <w:jc w:val="both"/>
        <w:ind w:left="327" w:right="100" w:hanging="326"/>
        <w:spacing w:after="0" w:line="227" w:lineRule="auto"/>
        <w:tabs>
          <w:tab w:leader="none" w:pos="3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Relationship</w:t>
      </w:r>
      <w:r>
        <w:rPr>
          <w:rFonts w:ascii="Times New Roman" w:cs="Times New Roman" w:eastAsia="Times New Roman" w:hAnsi="Times New Roman"/>
          <w:sz w:val="22"/>
          <w:szCs w:val="22"/>
          <w:color w:val="auto"/>
        </w:rPr>
        <w:t>. Employment with Zoom is for no specific period of time. Your employment with Zoom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“at will,” meaning that either you or Zoom may terminate your employment at any time and for any reason, with or without Cause or advance notice.</w:t>
      </w:r>
    </w:p>
    <w:p>
      <w:pPr>
        <w:sectPr>
          <w:pgSz w:w="11900" w:h="16838" w:orient="portrait"/>
          <w:cols w:equalWidth="0" w:num="1">
            <w:col w:w="11107"/>
          </w:cols>
          <w:pgMar w:left="453" w:top="10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327" w:right="100"/>
        <w:spacing w:after="0" w:line="217" w:lineRule="auto"/>
        <w:rPr>
          <w:sz w:val="20"/>
          <w:szCs w:val="20"/>
          <w:color w:val="auto"/>
        </w:rPr>
      </w:pPr>
      <w:r>
        <w:rPr>
          <w:rFonts w:ascii="Times New Roman" w:cs="Times New Roman" w:eastAsia="Times New Roman" w:hAnsi="Times New Roman"/>
          <w:sz w:val="22"/>
          <w:szCs w:val="22"/>
          <w:color w:val="auto"/>
        </w:rPr>
        <w:t>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175" w:lineRule="exact"/>
        <w:rPr>
          <w:sz w:val="20"/>
          <w:szCs w:val="20"/>
          <w:color w:val="auto"/>
        </w:rPr>
      </w:pPr>
    </w:p>
    <w:p>
      <w:pPr>
        <w:jc w:val="both"/>
        <w:ind w:left="327" w:right="120" w:hanging="327"/>
        <w:spacing w:after="0" w:line="221" w:lineRule="auto"/>
        <w:tabs>
          <w:tab w:leader="none" w:pos="32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All forms of compensation referred to in this letter agreement are subject to reduction to reflect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and payroll taxes 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175" w:lineRule="exact"/>
        <w:rPr>
          <w:rFonts w:ascii="Times New Roman" w:cs="Times New Roman" w:eastAsia="Times New Roman" w:hAnsi="Times New Roman"/>
          <w:sz w:val="22"/>
          <w:szCs w:val="22"/>
          <w:color w:val="auto"/>
        </w:rPr>
      </w:pPr>
    </w:p>
    <w:p>
      <w:pPr>
        <w:jc w:val="both"/>
        <w:ind w:left="327" w:right="100" w:hanging="327"/>
        <w:spacing w:after="0" w:line="208" w:lineRule="auto"/>
        <w:tabs>
          <w:tab w:leader="none" w:pos="32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intended that all of the benefits and other payments payable under this letter agreement satisfy,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greatest extent possible, 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181" w:lineRule="exact"/>
        <w:rPr>
          <w:rFonts w:ascii="Times New Roman" w:cs="Times New Roman" w:eastAsia="Times New Roman" w:hAnsi="Times New Roman"/>
          <w:sz w:val="22"/>
          <w:szCs w:val="22"/>
          <w:color w:val="auto"/>
        </w:rPr>
      </w:pPr>
    </w:p>
    <w:p>
      <w:pPr>
        <w:jc w:val="both"/>
        <w:ind w:left="327" w:right="120" w:hanging="327"/>
        <w:spacing w:after="0" w:line="216" w:lineRule="auto"/>
        <w:tabs>
          <w:tab w:leader="none" w:pos="32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Parachute Payments. </w:t>
      </w:r>
      <w:r>
        <w:rPr>
          <w:rFonts w:ascii="Times New Roman" w:cs="Times New Roman" w:eastAsia="Times New Roman" w:hAnsi="Times New Roman"/>
          <w:sz w:val="22"/>
          <w:szCs w:val="22"/>
          <w:color w:val="auto"/>
        </w:rPr>
        <w:t>If any payment or benefit you will or may receive from Zoom or otherwise (a “Payment”) would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“parachute 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w:t>
      </w:r>
    </w:p>
    <w:p>
      <w:pPr>
        <w:sectPr>
          <w:pgSz w:w="11900" w:h="16838" w:orient="portrait"/>
          <w:cols w:equalWidth="0" w:num="1">
            <w:col w:w="11107"/>
          </w:cols>
          <w:pgMar w:left="453" w:top="10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6" w:right="100"/>
        <w:spacing w:after="0" w:line="212" w:lineRule="auto"/>
        <w:rPr>
          <w:sz w:val="20"/>
          <w:szCs w:val="20"/>
          <w:color w:val="auto"/>
        </w:rPr>
      </w:pPr>
      <w:r>
        <w:rPr>
          <w:rFonts w:ascii="Times New Roman" w:cs="Times New Roman" w:eastAsia="Times New Roman" w:hAnsi="Times New Roman"/>
          <w:sz w:val="22"/>
          <w:szCs w:val="22"/>
          <w:color w:val="auto"/>
        </w:rPr>
        <w:t>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183" w:lineRule="exact"/>
        <w:rPr>
          <w:sz w:val="20"/>
          <w:szCs w:val="20"/>
          <w:color w:val="auto"/>
        </w:rPr>
      </w:pPr>
    </w:p>
    <w:p>
      <w:pPr>
        <w:jc w:val="both"/>
        <w:ind w:left="326" w:right="100"/>
        <w:spacing w:after="0" w:line="218" w:lineRule="auto"/>
        <w:rPr>
          <w:sz w:val="20"/>
          <w:szCs w:val="20"/>
          <w:color w:val="auto"/>
        </w:rPr>
      </w:pPr>
      <w:r>
        <w:rPr>
          <w:rFonts w:ascii="Times New Roman" w:cs="Times New Roman" w:eastAsia="Times New Roman" w:hAnsi="Times New Roman"/>
          <w:sz w:val="21"/>
          <w:szCs w:val="21"/>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being terminated without Cause), shall be reduced (or eliminated) before Payments that are not contingent on future events; and</w:t>
      </w:r>
    </w:p>
    <w:p>
      <w:pPr>
        <w:spacing w:after="0" w:line="1" w:lineRule="exact"/>
        <w:rPr>
          <w:sz w:val="20"/>
          <w:szCs w:val="20"/>
          <w:color w:val="auto"/>
        </w:rPr>
      </w:pPr>
    </w:p>
    <w:p>
      <w:pPr>
        <w:ind w:left="326" w:right="120" w:hanging="2"/>
        <w:spacing w:after="0" w:line="225" w:lineRule="auto"/>
        <w:tabs>
          <w:tab w:leader="none" w:pos="66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third priority, Payments that are “deferred compensation” within the meaning of Section 409A shall be reduced (or eliminated) before Payments that are not deferred compensation within the meaning of Section 409A.</w:t>
      </w:r>
    </w:p>
    <w:p>
      <w:pPr>
        <w:spacing w:after="0" w:line="177" w:lineRule="exact"/>
        <w:rPr>
          <w:sz w:val="20"/>
          <w:szCs w:val="20"/>
          <w:color w:val="auto"/>
        </w:rPr>
      </w:pPr>
    </w:p>
    <w:p>
      <w:pPr>
        <w:jc w:val="both"/>
        <w:ind w:left="326" w:right="100"/>
        <w:spacing w:after="0" w:line="212" w:lineRule="auto"/>
        <w:rPr>
          <w:sz w:val="20"/>
          <w:szCs w:val="20"/>
          <w:color w:val="auto"/>
        </w:rPr>
      </w:pPr>
      <w:r>
        <w:rPr>
          <w:rFonts w:ascii="Times New Roman" w:cs="Times New Roman" w:eastAsia="Times New Roman" w:hAnsi="Times New Roman"/>
          <w:sz w:val="22"/>
          <w:szCs w:val="22"/>
          <w:color w:val="auto"/>
        </w:rPr>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 (x)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183" w:lineRule="exact"/>
        <w:rPr>
          <w:sz w:val="20"/>
          <w:szCs w:val="20"/>
          <w:color w:val="auto"/>
        </w:rPr>
      </w:pPr>
    </w:p>
    <w:p>
      <w:pPr>
        <w:jc w:val="both"/>
        <w:ind w:left="326" w:right="100"/>
        <w:spacing w:after="0" w:line="217" w:lineRule="auto"/>
        <w:rPr>
          <w:sz w:val="20"/>
          <w:szCs w:val="20"/>
          <w:color w:val="auto"/>
        </w:rPr>
      </w:pPr>
      <w:r>
        <w:rPr>
          <w:rFonts w:ascii="Times New Roman" w:cs="Times New Roman" w:eastAsia="Times New Roman" w:hAnsi="Times New Roman"/>
          <w:sz w:val="22"/>
          <w:szCs w:val="22"/>
          <w:color w:val="auto"/>
        </w:rPr>
        <w:t>Notwithstanding the foregoing, if at the time that a Payment would constitute a parachute payment within the meaning of Section 280G of the Code, Zoom is a corporation no stock in which is readily tradable on an established securities market (or otherwise) within the meaning of Code Section 280G(b)(5)(A)(ii)(I), then, provided you choose to timely and conditionally waive the right to all or any portion of the Payments that would be subject to the Excise Tax, Zoom shall use its best efforts to timely seek a stockholder vote in accordance with Code Section 280G(b)(5)(B).</w:t>
      </w:r>
    </w:p>
    <w:p>
      <w:pPr>
        <w:spacing w:after="0" w:line="175" w:lineRule="exact"/>
        <w:rPr>
          <w:sz w:val="20"/>
          <w:szCs w:val="20"/>
          <w:color w:val="auto"/>
        </w:rPr>
      </w:pPr>
    </w:p>
    <w:p>
      <w:pPr>
        <w:jc w:val="both"/>
        <w:ind w:left="326" w:right="100" w:hanging="326"/>
        <w:spacing w:after="0" w:line="227" w:lineRule="auto"/>
        <w:tabs>
          <w:tab w:leader="none" w:pos="32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Agreements and Conditions of Employment</w:t>
      </w:r>
      <w:r>
        <w:rPr>
          <w:rFonts w:ascii="Times New Roman" w:cs="Times New Roman" w:eastAsia="Times New Roman" w:hAnsi="Times New Roman"/>
          <w:sz w:val="22"/>
          <w:szCs w:val="22"/>
          <w:color w:val="auto"/>
        </w:rPr>
        <w:t>. This offer of employment is contingent upon your producing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and satisfactory documentation establishing your identity and right to work in the United States, and completing the INS form I-9,</w:t>
      </w:r>
    </w:p>
    <w:p>
      <w:pPr>
        <w:sectPr>
          <w:pgSz w:w="11900" w:h="16838" w:orient="portrait"/>
          <w:cols w:equalWidth="0" w:num="1">
            <w:col w:w="11106"/>
          </w:cols>
          <w:pgMar w:left="454" w:top="10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7" w:right="100"/>
        <w:spacing w:after="0" w:line="217" w:lineRule="auto"/>
        <w:rPr>
          <w:sz w:val="20"/>
          <w:szCs w:val="20"/>
          <w:color w:val="auto"/>
        </w:rPr>
      </w:pPr>
      <w:r>
        <w:rPr>
          <w:rFonts w:ascii="Times New Roman" w:cs="Times New Roman" w:eastAsia="Times New Roman" w:hAnsi="Times New Roman"/>
          <w:sz w:val="22"/>
          <w:szCs w:val="22"/>
          <w:color w:val="auto"/>
        </w:rPr>
        <w:t>attesting that you have the right to work in the United States. Such documentation must be produced within three business days of hire. If you have questions about this requirement, which applies to U.S. citizens and non-U.S. citizens alike, you may contact Human Resources. Further, this offer of employment is contingent upon satisfactory clearance of a background check and reference checks, and your signing and returning with this letter the enclosed “Employment, Confidential Information and Assignment of Creative Works Agreement” and “Arbitration Agreement”.</w:t>
      </w:r>
    </w:p>
    <w:p>
      <w:pPr>
        <w:spacing w:after="0" w:line="179" w:lineRule="exact"/>
        <w:rPr>
          <w:sz w:val="20"/>
          <w:szCs w:val="20"/>
          <w:color w:val="auto"/>
        </w:rPr>
      </w:pPr>
    </w:p>
    <w:p>
      <w:pPr>
        <w:jc w:val="both"/>
        <w:ind w:left="327" w:right="120"/>
        <w:spacing w:after="0" w:line="220" w:lineRule="auto"/>
        <w:rPr>
          <w:sz w:val="20"/>
          <w:szCs w:val="20"/>
          <w:color w:val="auto"/>
        </w:rPr>
      </w:pPr>
      <w:r>
        <w:rPr>
          <w:rFonts w:ascii="Times New Roman" w:cs="Times New Roman" w:eastAsia="Times New Roman" w:hAnsi="Times New Roman"/>
          <w:sz w:val="22"/>
          <w:szCs w:val="22"/>
          <w:color w:val="auto"/>
        </w:rPr>
        <w:t>You agree not to bring to Zoom or use in the performance of your responsibilities at Zoom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Zoom.</w:t>
      </w:r>
    </w:p>
    <w:p>
      <w:pPr>
        <w:spacing w:after="0" w:line="175" w:lineRule="exact"/>
        <w:rPr>
          <w:sz w:val="20"/>
          <w:szCs w:val="20"/>
          <w:color w:val="auto"/>
        </w:rPr>
      </w:pPr>
    </w:p>
    <w:p>
      <w:pPr>
        <w:jc w:val="both"/>
        <w:ind w:left="327" w:right="100" w:hanging="327"/>
        <w:spacing w:after="0" w:line="222" w:lineRule="auto"/>
        <w:tabs>
          <w:tab w:leader="none" w:pos="31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Interpretation, Amendment and Enforcement</w:t>
      </w:r>
      <w:r>
        <w:rPr>
          <w:rFonts w:ascii="Times New Roman" w:cs="Times New Roman" w:eastAsia="Times New Roman" w:hAnsi="Times New Roman"/>
          <w:sz w:val="21"/>
          <w:szCs w:val="21"/>
          <w:color w:val="auto"/>
        </w:rPr>
        <w:t>. This letter agreement, together with your Employment, Confidential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and Assignment of Creative Works Agreement and Arbitration Agreement,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81" w:lineRule="exact"/>
        <w:rPr>
          <w:sz w:val="20"/>
          <w:szCs w:val="20"/>
          <w:color w:val="auto"/>
        </w:rPr>
      </w:pPr>
    </w:p>
    <w:p>
      <w:pPr>
        <w:jc w:val="both"/>
        <w:ind w:left="7" w:right="120"/>
        <w:spacing w:after="0" w:line="225" w:lineRule="auto"/>
        <w:rPr>
          <w:sz w:val="20"/>
          <w:szCs w:val="20"/>
          <w:color w:val="auto"/>
        </w:rPr>
      </w:pPr>
      <w:r>
        <w:rPr>
          <w:rFonts w:ascii="Times New Roman" w:cs="Times New Roman" w:eastAsia="Times New Roman" w:hAnsi="Times New Roman"/>
          <w:sz w:val="22"/>
          <w:szCs w:val="22"/>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79" w:lineRule="exact"/>
        <w:rPr>
          <w:sz w:val="20"/>
          <w:szCs w:val="20"/>
          <w:color w:val="auto"/>
        </w:rPr>
      </w:pPr>
    </w:p>
    <w:p>
      <w:pPr>
        <w:jc w:val="both"/>
        <w:ind w:left="7" w:right="120"/>
        <w:spacing w:after="0" w:line="220" w:lineRule="auto"/>
        <w:rPr>
          <w:sz w:val="20"/>
          <w:szCs w:val="20"/>
          <w:color w:val="auto"/>
        </w:rPr>
      </w:pPr>
      <w:r>
        <w:rPr>
          <w:rFonts w:ascii="Times New Roman" w:cs="Times New Roman" w:eastAsia="Times New Roman" w:hAnsi="Times New Roman"/>
          <w:sz w:val="22"/>
          <w:szCs w:val="22"/>
          <w:color w:val="auto"/>
        </w:rPr>
        <w:t>If you wish to accept employment at Zoom under the terms described in this letter agreement, please sign and date this letter agreement, the Employment, Confidential Information and Assignment of Creative Works Agreement and the Arbitration Agreement, and return them to me on or before May 31, 2022. The offer of employment herein will expire if I do not receive this signed letter by that date. If you have any questions, please contact me.</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822960" cy="403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822960" cy="40322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619760</wp:posOffset>
            </wp:positionV>
            <wp:extent cx="2468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Eric Yuan</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ectPr>
          <w:pgSz w:w="11900" w:h="16838" w:orient="portrait"/>
          <w:cols w:equalWidth="0" w:num="1">
            <w:col w:w="11107"/>
          </w:cols>
          <w:pgMar w:left="453" w:top="10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77265" cy="403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9772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40119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174" w:lineRule="exact"/>
        <w:rPr>
          <w:sz w:val="20"/>
          <w:szCs w:val="20"/>
          <w:color w:val="auto"/>
        </w:rPr>
      </w:pPr>
    </w:p>
    <w:p>
      <w:pPr>
        <w:ind w:left="140"/>
        <w:spacing w:after="0"/>
        <w:tabs>
          <w:tab w:leader="none" w:pos="1320" w:val="left"/>
        </w:tabs>
        <w:rPr>
          <w:sz w:val="20"/>
          <w:szCs w:val="20"/>
          <w:color w:val="auto"/>
        </w:rPr>
      </w:pPr>
      <w:r>
        <w:rPr>
          <w:rFonts w:ascii="Times New Roman" w:cs="Times New Roman" w:eastAsia="Times New Roman" w:hAnsi="Times New Roman"/>
          <w:sz w:val="22"/>
          <w:szCs w:val="22"/>
          <w:color w:val="auto"/>
        </w:rPr>
        <w:t>Greg Tomb</w:t>
      </w:r>
      <w:r>
        <w:rPr>
          <w:sz w:val="20"/>
          <w:szCs w:val="20"/>
          <w:color w:val="auto"/>
        </w:rPr>
        <w:tab/>
      </w: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04" w:right="339" w:bottom="1440" w:gutter="0" w:footer="0" w:header="0"/>
        </w:sectPr>
      </w:pPr>
    </w:p>
    <w:bookmarkStart w:id="79" w:name="page80"/>
    <w:bookmarkEnd w:id="79"/>
    <w:p>
      <w:pPr>
        <w:ind w:left="9140"/>
        <w:spacing w:after="0"/>
        <w:rPr>
          <w:sz w:val="20"/>
          <w:szCs w:val="20"/>
          <w:color w:val="auto"/>
        </w:rPr>
      </w:pPr>
      <w:r>
        <w:rPr>
          <w:rFonts w:ascii="Times New Roman" w:cs="Times New Roman" w:eastAsia="Times New Roman" w:hAnsi="Times New Roman"/>
          <w:sz w:val="19"/>
          <w:szCs w:val="19"/>
          <w:color w:val="auto"/>
        </w:rPr>
        <w:t>Exhibit 10.1</w:t>
      </w:r>
    </w:p>
    <w:p>
      <w:pPr>
        <w:sectPr>
          <w:pgSz w:w="11900" w:h="16838" w:orient="portrait"/>
          <w:cols w:equalWidth="0" w:num="1">
            <w:col w:w="10120"/>
          </w:cols>
          <w:pgMar w:left="1440" w:top="10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and Change in Control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August 19, 2022</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Introduction.</w:t>
      </w:r>
    </w:p>
    <w:p>
      <w:pPr>
        <w:spacing w:after="0" w:line="18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2"/>
          <w:szCs w:val="22"/>
          <w:color w:val="auto"/>
        </w:rPr>
        <w:t>The purpose of this Zoom Video Communications,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is to provide for severance and/or Change in Control (as defined below) benefits to eligible employees of the Company under circumstances described in the Plan. The Plan first became effective on the Effective Date listed above. This Plan document also is the Summary Plan Description for the Plan.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the Plan, the following terms are defined as follows:</w:t>
      </w:r>
    </w:p>
    <w:p>
      <w:pPr>
        <w:spacing w:after="0" w:line="173" w:lineRule="exact"/>
        <w:rPr>
          <w:sz w:val="20"/>
          <w:szCs w:val="20"/>
          <w:color w:val="auto"/>
        </w:rPr>
      </w:pPr>
    </w:p>
    <w:p>
      <w:pPr>
        <w:jc w:val="both"/>
        <w:ind w:firstLine="1304"/>
        <w:spacing w:after="0" w:line="238" w:lineRule="auto"/>
        <w:tabs>
          <w:tab w:leader="none" w:pos="1932"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45" w:lineRule="exact"/>
        <w:rPr>
          <w:rFonts w:ascii="Times New Roman" w:cs="Times New Roman" w:eastAsia="Times New Roman" w:hAnsi="Times New Roman"/>
          <w:sz w:val="19"/>
          <w:szCs w:val="19"/>
          <w:b w:val="1"/>
          <w:bCs w:val="1"/>
          <w:color w:val="auto"/>
        </w:rPr>
      </w:pPr>
    </w:p>
    <w:p>
      <w:pPr>
        <w:jc w:val="both"/>
        <w:ind w:right="20" w:firstLine="1304"/>
        <w:spacing w:after="0" w:line="227" w:lineRule="auto"/>
        <w:tabs>
          <w:tab w:leader="none" w:pos="201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12" w:lineRule="auto"/>
        <w:tabs>
          <w:tab w:leader="none" w:pos="2002"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with respect to a particular employee, the employee’s (i) unauthorized use or disclosure of the Company’s confidential information or trade secrets, which use or disclosure causes or could cause material harm to the Company; (ii) material breach of any agreement between the employee and the Company; (iii) material failure to comply with the Company’s written policies or rules which are made available to the employee and uniformly applied to all Company executive officers; (iv) conviction of, or plea of “guilty” or “no contest” to, a felony under the laws of the United States or any state; (v) gross negligence or willful misconduct; (vi) willful and continuing failure to perform assigned duties after receiving written notification of the failure from the Company’s Board of Directors; or (vii) failure to cooperate in good faith with a governmental or internal investigation of the Company or its directors, officers or employees, if the Company has requested the employee’s cooperation.</w:t>
      </w:r>
    </w:p>
    <w:p>
      <w:pPr>
        <w:spacing w:after="0" w:line="148" w:lineRule="exact"/>
        <w:rPr>
          <w:rFonts w:ascii="Times New Roman" w:cs="Times New Roman" w:eastAsia="Times New Roman" w:hAnsi="Times New Roman"/>
          <w:sz w:val="20"/>
          <w:szCs w:val="20"/>
          <w:b w:val="1"/>
          <w:bCs w:val="1"/>
          <w:color w:val="auto"/>
        </w:rPr>
      </w:pPr>
    </w:p>
    <w:p>
      <w:pPr>
        <w:jc w:val="both"/>
        <w:ind w:firstLine="1304"/>
        <w:spacing w:after="0" w:line="214" w:lineRule="auto"/>
        <w:tabs>
          <w:tab w:leader="none" w:pos="1943"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(i) the consummation of a merger or consolidation of the Company with or into another entity, or any corporate reorganization in which the stockholders of the Company immediately prior to such merger, consolidation or reorganization own less than fifty percent (50%) of the voting power of the surviving entity immediately after such consolidation, merger or reorganization; (ii) a sale or other disposition of all or substantially all of the assets of the Company; or (iii) the dissolution, liquidation or winding up of the Company. The foregoing notwithstanding, a Change in Control shall not include any transaction or series of transactions principally for bona fide equity financing purposes in which cash is received by the Company or indebtedness of the Company is cancelled or converted or a combination thereof.</w:t>
      </w:r>
    </w:p>
    <w:p>
      <w:pPr>
        <w:spacing w:after="0" w:line="148"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1934"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color w:val="auto"/>
        </w:rPr>
        <w:t>” means the period commencing three months prior to, and ending 12 months following, the Closing of a Change in Control.</w:t>
      </w:r>
    </w:p>
    <w:p>
      <w:pPr>
        <w:spacing w:after="0" w:line="144"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1939"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means the initial closing date of the Change in Control as set forth in the definitive agreement executed in connection with the Change in Control.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00" w:right="339" w:bottom="1440" w:gutter="0" w:footer="0" w:header="0"/>
        </w:sectPr>
      </w:pPr>
    </w:p>
    <w:bookmarkStart w:id="81" w:name="page82"/>
    <w:bookmarkEnd w:id="81"/>
    <w:p>
      <w:pPr>
        <w:spacing w:after="0" w:line="236" w:lineRule="auto"/>
        <w:rPr>
          <w:sz w:val="20"/>
          <w:szCs w:val="20"/>
          <w:color w:val="auto"/>
        </w:rPr>
      </w:pPr>
      <w:r>
        <w:rPr>
          <w:rFonts w:ascii="Times New Roman" w:cs="Times New Roman" w:eastAsia="Times New Roman" w:hAnsi="Times New Roman"/>
          <w:sz w:val="22"/>
          <w:szCs w:val="22"/>
          <w:color w:val="auto"/>
        </w:rPr>
        <w:t>of a series of transactions constituting a Change in Control, “Closing” means the first closing that satisfies the threshold of the definition for a Change in Control.</w:t>
      </w:r>
    </w:p>
    <w:p>
      <w:pPr>
        <w:spacing w:after="0" w:line="137" w:lineRule="exact"/>
        <w:rPr>
          <w:sz w:val="20"/>
          <w:szCs w:val="20"/>
          <w:color w:val="auto"/>
        </w:rPr>
      </w:pPr>
    </w:p>
    <w:p>
      <w:pPr>
        <w:ind w:left="2000" w:hanging="696"/>
        <w:spacing w:after="0"/>
        <w:tabs>
          <w:tab w:leader="none" w:pos="20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guidance thereunder.</w:t>
      </w:r>
    </w:p>
    <w:p>
      <w:pPr>
        <w:spacing w:after="0" w:line="142" w:lineRule="exact"/>
        <w:rPr>
          <w:rFonts w:ascii="Times New Roman" w:cs="Times New Roman" w:eastAsia="Times New Roman" w:hAnsi="Times New Roman"/>
          <w:sz w:val="20"/>
          <w:szCs w:val="20"/>
          <w:b w:val="1"/>
          <w:bCs w:val="1"/>
          <w:color w:val="auto"/>
        </w:rPr>
      </w:pPr>
    </w:p>
    <w:p>
      <w:pPr>
        <w:ind w:left="1960" w:hanging="656"/>
        <w:spacing w:after="0"/>
        <w:tabs>
          <w:tab w:leader="none" w:pos="19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Board of Directors or the Compensation Committee of the Board of Directors of</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Company.</w:t>
      </w:r>
    </w:p>
    <w:p>
      <w:pPr>
        <w:spacing w:after="0" w:line="149"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1942"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Zoom Video Communications, Inc. or, following a Change in Control, the surviving entity resulting from such event.</w:t>
      </w:r>
    </w:p>
    <w:p>
      <w:pPr>
        <w:spacing w:after="0" w:line="144" w:lineRule="exact"/>
        <w:rPr>
          <w:rFonts w:ascii="Times New Roman" w:cs="Times New Roman" w:eastAsia="Times New Roman" w:hAnsi="Times New Roman"/>
          <w:sz w:val="20"/>
          <w:szCs w:val="20"/>
          <w:b w:val="1"/>
          <w:bCs w:val="1"/>
          <w:color w:val="auto"/>
        </w:rPr>
      </w:pPr>
    </w:p>
    <w:p>
      <w:pPr>
        <w:ind w:right="20" w:firstLine="1304"/>
        <w:spacing w:after="0" w:line="239" w:lineRule="auto"/>
        <w:tabs>
          <w:tab w:leader="none" w:pos="1939"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means the Company’s standard form of Employment, Confidential Information and Assignment of Creative Works Agreement or any similar or successor document.</w:t>
      </w:r>
    </w:p>
    <w:p>
      <w:pPr>
        <w:spacing w:after="0" w:line="144"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43"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with respect to an employee, except as otherwise provided in an individual Participation Agreement, a termination of employment that is due to (1) a Termination Without Cause or (2) the employee’s Resignation for Good Reason.</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32" w:lineRule="auto"/>
        <w:tabs>
          <w:tab w:leader="none" w:pos="1996"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any physical or mental condition which renders an employee incapable of performing the work for which such employee was employed by the Company or similar work offered by the Company. The Disability of an employee shall be established if (i) the employee satisfies the requirements for benefits under the Company’s long-term disability plan or (ii) if no long-term disability plan, the employee satisfies the requirements for Social Security disability benefits.</w:t>
      </w:r>
    </w:p>
    <w:p>
      <w:pPr>
        <w:spacing w:after="0" w:line="146" w:lineRule="exact"/>
        <w:rPr>
          <w:rFonts w:ascii="Times New Roman" w:cs="Times New Roman" w:eastAsia="Times New Roman" w:hAnsi="Times New Roman"/>
          <w:sz w:val="19"/>
          <w:szCs w:val="19"/>
          <w:b w:val="1"/>
          <w:bCs w:val="1"/>
          <w:color w:val="auto"/>
        </w:rPr>
      </w:pPr>
    </w:p>
    <w:p>
      <w:pPr>
        <w:ind w:right="20" w:firstLine="1304"/>
        <w:spacing w:after="0" w:line="239" w:lineRule="auto"/>
        <w:tabs>
          <w:tab w:leader="none" w:pos="2011"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means an employee of the Company that meets the requirements to be eligible to receive Plan benefits as set forth in Section 2.</w:t>
      </w:r>
    </w:p>
    <w:p>
      <w:pPr>
        <w:spacing w:after="0" w:line="144" w:lineRule="exact"/>
        <w:rPr>
          <w:rFonts w:ascii="Times New Roman" w:cs="Times New Roman" w:eastAsia="Times New Roman" w:hAnsi="Times New Roman"/>
          <w:sz w:val="20"/>
          <w:szCs w:val="20"/>
          <w:b w:val="1"/>
          <w:bCs w:val="1"/>
          <w:color w:val="auto"/>
        </w:rPr>
      </w:pPr>
    </w:p>
    <w:p>
      <w:pPr>
        <w:ind w:right="20" w:firstLine="1304"/>
        <w:spacing w:after="0" w:line="239" w:lineRule="auto"/>
        <w:tabs>
          <w:tab w:leader="none" w:pos="1943"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means the Zoom Video Communications, Inc. 2019 Equity Incentive Plan, as amended from time to time, or any successor plan thereto.</w:t>
      </w:r>
    </w:p>
    <w:p>
      <w:pPr>
        <w:spacing w:after="0" w:line="144"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32"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xml:space="preserve">” means an agreement between an employee and the Company in substantially the form of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attached hereto, and which may include such other terms as the Committee deems necessary or advisable in the administration of the Plan.</w:t>
      </w:r>
    </w:p>
    <w:p>
      <w:pPr>
        <w:spacing w:after="0" w:line="146"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1943"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means the Committee prior to the Closing and the Representative upon and following the Closing, as applicable.</w:t>
      </w:r>
    </w:p>
    <w:p>
      <w:pPr>
        <w:spacing w:after="0" w:line="144"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43"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9(a).</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34"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Resignation for Good Reason</w:t>
      </w:r>
      <w:r>
        <w:rPr>
          <w:rFonts w:ascii="Times New Roman" w:cs="Times New Roman" w:eastAsia="Times New Roman" w:hAnsi="Times New Roman"/>
          <w:sz w:val="22"/>
          <w:szCs w:val="22"/>
          <w:color w:val="auto"/>
        </w:rPr>
        <w:t>” means a Separation from Service as a result of the employee’s resignation from the Company within 12 months after one of the following conditions has come into existence (i) without the employee’s consent and (ii) on or after such employee becomes eligible to participate in the Plan:</w:t>
      </w:r>
    </w:p>
    <w:p>
      <w:pPr>
        <w:spacing w:after="0" w:line="152"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reduction in the employee’s base salary by more than 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2" w:name="page83"/>
    <w:bookmarkEnd w:id="82"/>
    <w:p>
      <w:pPr>
        <w:jc w:val="both"/>
        <w:ind w:left="80" w:firstLine="1953"/>
        <w:spacing w:after="0" w:line="225" w:lineRule="auto"/>
        <w:tabs>
          <w:tab w:leader="none" w:pos="2579"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Any material breach by the Company of any material written agreement between the employee and the Company; provided, that, the foregoing shall not include (i) any agreement that is among the Company, the employee and any third party or parties or (ii) the Company’s written policies or rules;</w:t>
      </w:r>
    </w:p>
    <w:p>
      <w:pPr>
        <w:spacing w:after="0" w:line="148" w:lineRule="exact"/>
        <w:rPr>
          <w:rFonts w:ascii="Times New Roman" w:cs="Times New Roman" w:eastAsia="Times New Roman" w:hAnsi="Times New Roman"/>
          <w:sz w:val="20"/>
          <w:szCs w:val="20"/>
          <w:b w:val="1"/>
          <w:bCs w:val="1"/>
          <w:color w:val="auto"/>
        </w:rPr>
      </w:pPr>
    </w:p>
    <w:p>
      <w:pPr>
        <w:jc w:val="both"/>
        <w:ind w:left="80" w:firstLine="1953"/>
        <w:spacing w:after="0" w:line="227" w:lineRule="auto"/>
        <w:tabs>
          <w:tab w:leader="none" w:pos="2579"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material diminution of the employee’s authority, duties or responsibilities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change in job position, including a change in title, shall not be deemed a “material diminution” in and of itself unless the employee’s new duties are materially reduced from the prior duties); or</w:t>
      </w:r>
    </w:p>
    <w:p>
      <w:pPr>
        <w:spacing w:after="0" w:line="150" w:lineRule="exact"/>
        <w:rPr>
          <w:rFonts w:ascii="Times New Roman" w:cs="Times New Roman" w:eastAsia="Times New Roman" w:hAnsi="Times New Roman"/>
          <w:sz w:val="20"/>
          <w:szCs w:val="20"/>
          <w:b w:val="1"/>
          <w:bCs w:val="1"/>
          <w:color w:val="auto"/>
        </w:rPr>
      </w:pPr>
    </w:p>
    <w:p>
      <w:pPr>
        <w:jc w:val="both"/>
        <w:ind w:left="80" w:firstLine="1953"/>
        <w:spacing w:after="0" w:line="215" w:lineRule="auto"/>
        <w:tabs>
          <w:tab w:leader="none" w:pos="2579"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 xml:space="preserve">A relocation of the employee’s principal workplace to a place that increases the employee’s one-way commute by more than 40 miles as compared to the employee’s then-current principal workplace immediately prior to such relocation,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the employee works remotely during any period in which such employee’s regular principal place of employment at a Company office is closed or attendance is optional, then neither employee’s relocation to remote work or back to the office from remote work will be considered a relocation of such employee’s principal place of employment with the Company for purposes of this definition.</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 Resignation for Good Reason will not be deemed to have occurred unless the employee gives the Company written notice of the condition setting forth the basis for the resignation within 90 days after the condition comes into existence and the Company fails to remedy the condition within 30 days after receiving the employee’s written notice.</w:t>
      </w:r>
    </w:p>
    <w:p>
      <w:pPr>
        <w:spacing w:after="0" w:line="173" w:lineRule="exact"/>
        <w:rPr>
          <w:sz w:val="20"/>
          <w:szCs w:val="20"/>
          <w:color w:val="auto"/>
        </w:rPr>
      </w:pPr>
    </w:p>
    <w:p>
      <w:pPr>
        <w:ind w:firstLine="1304"/>
        <w:spacing w:after="0" w:line="239" w:lineRule="auto"/>
        <w:tabs>
          <w:tab w:leader="none" w:pos="1937"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 and the treasury regulations and other guidance thereunder and any state law of similar effect.</w:t>
      </w:r>
    </w:p>
    <w:p>
      <w:pPr>
        <w:spacing w:after="0" w:line="144"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1939"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means a “separation from service” within the meaning of Treasury Regulations Section 1.409A-1(h), without regard to any alternative definition thereunder.</w:t>
      </w:r>
    </w:p>
    <w:p>
      <w:pPr>
        <w:spacing w:after="0" w:line="144"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43"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Without Cause</w:t>
      </w:r>
      <w:r>
        <w:rPr>
          <w:rFonts w:ascii="Times New Roman" w:cs="Times New Roman" w:eastAsia="Times New Roman" w:hAnsi="Times New Roman"/>
          <w:sz w:val="22"/>
          <w:szCs w:val="22"/>
          <w:color w:val="auto"/>
        </w:rPr>
        <w:t>” means a Separation from Service as a result of a termination of employment by the Company without Cause (and other than as a result of the employee’s death or Disability), provided the employee is willing and able to continue performing services within the meaning of Treasury Regulation 1.409A-1(n)(1).</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Eligibility for Benefits.</w:t>
      </w:r>
    </w:p>
    <w:p>
      <w:pPr>
        <w:spacing w:after="0" w:line="191" w:lineRule="exact"/>
        <w:rPr>
          <w:sz w:val="20"/>
          <w:szCs w:val="20"/>
          <w:color w:val="auto"/>
        </w:rPr>
      </w:pPr>
    </w:p>
    <w:p>
      <w:pPr>
        <w:jc w:val="both"/>
        <w:ind w:firstLine="1304"/>
        <w:spacing w:after="0" w:line="216" w:lineRule="auto"/>
        <w:tabs>
          <w:tab w:leader="none" w:pos="1932"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An employee of the Company is eligible to participate in the Plan if (i)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has designated such employee as eligible to participate in the Plan by providing such employee a Participation Agreement; (ii) such employee has signed and returned such Participation Agreement to the Company within the time period required therein; and (iii) such employee meets the other Plan eligibility requirements set forth in this Section 2 and in the Participation Agreement. The determination of whether an employee is an Eligible Employee shall be made by the Plan Administrator, in its sole discretion, and such determination shall be binding and conclusive on all persons.</w:t>
      </w:r>
    </w:p>
    <w:p>
      <w:pPr>
        <w:spacing w:after="0" w:line="145" w:lineRule="exact"/>
        <w:rPr>
          <w:rFonts w:ascii="Times New Roman" w:cs="Times New Roman" w:eastAsia="Times New Roman" w:hAnsi="Times New Roman"/>
          <w:sz w:val="20"/>
          <w:szCs w:val="20"/>
          <w:b w:val="1"/>
          <w:bCs w:val="1"/>
          <w:color w:val="auto"/>
        </w:rPr>
      </w:pPr>
    </w:p>
    <w:p>
      <w:pPr>
        <w:jc w:val="both"/>
        <w:ind w:firstLine="1304"/>
        <w:spacing w:after="0" w:line="218" w:lineRule="auto"/>
        <w:tabs>
          <w:tab w:leader="none" w:pos="1935"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Release Requirement. </w:t>
      </w:r>
      <w:r>
        <w:rPr>
          <w:rFonts w:ascii="Times New Roman" w:cs="Times New Roman" w:eastAsia="Times New Roman" w:hAnsi="Times New Roman"/>
          <w:sz w:val="22"/>
          <w:szCs w:val="22"/>
          <w:color w:val="auto"/>
        </w:rPr>
        <w:t>Except as otherwise provided in an individual Participation Agreement, in order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eligible to receive benefits under the Plan, the employee also must execute a general waiver and release, in such a form as provided by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3" w:name="page84"/>
    <w:bookmarkEnd w:id="83"/>
    <w:p>
      <w:pPr>
        <w:jc w:val="both"/>
        <w:ind w:left="-20" w:firstLine="1304"/>
        <w:spacing w:after="0" w:line="213" w:lineRule="auto"/>
        <w:tabs>
          <w:tab w:leader="none" w:pos="1912"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Benefits Provided In Lieu of Any Previous Benefits. </w:t>
      </w:r>
      <w:r>
        <w:rPr>
          <w:rFonts w:ascii="Times New Roman" w:cs="Times New Roman" w:eastAsia="Times New Roman" w:hAnsi="Times New Roman"/>
          <w:sz w:val="22"/>
          <w:szCs w:val="22"/>
          <w:color w:val="auto"/>
        </w:rPr>
        <w:t>Except as otherwise provided in an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Agreement, this Plan shall supersede any change in control or severance benefit plan, policy or practice previously maintained by the Company with respect to an Eligible Employee and any change in control or severance benefits in any individually negotiated employment offer letter, contract or other agreement between the Company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47" w:lineRule="exact"/>
        <w:rPr>
          <w:rFonts w:ascii="Times New Roman" w:cs="Times New Roman" w:eastAsia="Times New Roman" w:hAnsi="Times New Roman"/>
          <w:sz w:val="20"/>
          <w:szCs w:val="20"/>
          <w:b w:val="1"/>
          <w:bCs w:val="1"/>
          <w:color w:val="auto"/>
        </w:rPr>
      </w:pPr>
    </w:p>
    <w:p>
      <w:pPr>
        <w:jc w:val="both"/>
        <w:ind w:left="-20" w:firstLine="1304"/>
        <w:spacing w:after="0" w:line="259" w:lineRule="auto"/>
        <w:tabs>
          <w:tab w:leader="none" w:pos="1912"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Exceptions to Severance Benefit Entitlement. </w:t>
      </w:r>
      <w:r>
        <w:rPr>
          <w:rFonts w:ascii="Times New Roman" w:cs="Times New Roman" w:eastAsia="Times New Roman" w:hAnsi="Times New Roman"/>
          <w:sz w:val="21"/>
          <w:szCs w:val="21"/>
          <w:color w:val="auto"/>
        </w:rPr>
        <w:t>An employee who otherwise is an Eligible Employee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receive benefits under the Plan in the following circumstances, as determined by the Plan Administrator in its sole discretion:</w:t>
      </w:r>
    </w:p>
    <w:p>
      <w:pPr>
        <w:spacing w:after="0" w:line="130" w:lineRule="exact"/>
        <w:rPr>
          <w:rFonts w:ascii="Times New Roman" w:cs="Times New Roman" w:eastAsia="Times New Roman" w:hAnsi="Times New Roman"/>
          <w:sz w:val="19"/>
          <w:szCs w:val="19"/>
          <w:b w:val="1"/>
          <w:bCs w:val="1"/>
          <w:color w:val="auto"/>
        </w:rPr>
      </w:pPr>
    </w:p>
    <w:p>
      <w:pPr>
        <w:jc w:val="both"/>
        <w:ind w:left="60" w:firstLine="1953"/>
        <w:spacing w:after="0" w:line="220" w:lineRule="auto"/>
        <w:tabs>
          <w:tab w:leader="none" w:pos="2559"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employee’s employment is terminated by the Company for any reason (including due to the employee’s death or Disability) or the employee voluntarily terminates employment with the Company in any manner, and in either case, such termination does not constitute a Covered Termination. Voluntary terminations include, but are not limited to, resignation, retirement, job abandonment or failure to return from a leave of absence on the scheduled date.</w:t>
      </w:r>
    </w:p>
    <w:p>
      <w:pPr>
        <w:spacing w:after="0" w:line="152" w:lineRule="exact"/>
        <w:rPr>
          <w:rFonts w:ascii="Times New Roman" w:cs="Times New Roman" w:eastAsia="Times New Roman" w:hAnsi="Times New Roman"/>
          <w:sz w:val="20"/>
          <w:szCs w:val="20"/>
          <w:b w:val="1"/>
          <w:bCs w:val="1"/>
          <w:color w:val="auto"/>
        </w:rPr>
      </w:pPr>
    </w:p>
    <w:p>
      <w:pPr>
        <w:ind w:left="60" w:firstLine="1953"/>
        <w:spacing w:after="0" w:line="236" w:lineRule="auto"/>
        <w:tabs>
          <w:tab w:leader="none" w:pos="2559"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voluntarily terminates employment with the Company in order to accept employment with another entity that is wholly or partly owned (directly or indirectly) by the Company or an Affiliate.</w:t>
      </w:r>
    </w:p>
    <w:p>
      <w:pPr>
        <w:spacing w:after="0" w:line="150" w:lineRule="exact"/>
        <w:rPr>
          <w:rFonts w:ascii="Times New Roman" w:cs="Times New Roman" w:eastAsia="Times New Roman" w:hAnsi="Times New Roman"/>
          <w:sz w:val="20"/>
          <w:szCs w:val="20"/>
          <w:b w:val="1"/>
          <w:bCs w:val="1"/>
          <w:color w:val="auto"/>
        </w:rPr>
      </w:pPr>
    </w:p>
    <w:p>
      <w:pPr>
        <w:jc w:val="both"/>
        <w:ind w:left="60" w:firstLine="1953"/>
        <w:spacing w:after="0" w:line="220" w:lineRule="auto"/>
        <w:tabs>
          <w:tab w:leader="none" w:pos="2559"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offered an identical or substantially equivalent or comparable position with the Company or an Affiliate.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152" w:lineRule="exact"/>
        <w:rPr>
          <w:rFonts w:ascii="Times New Roman" w:cs="Times New Roman" w:eastAsia="Times New Roman" w:hAnsi="Times New Roman"/>
          <w:sz w:val="20"/>
          <w:szCs w:val="20"/>
          <w:b w:val="1"/>
          <w:bCs w:val="1"/>
          <w:color w:val="auto"/>
        </w:rPr>
      </w:pPr>
    </w:p>
    <w:p>
      <w:pPr>
        <w:jc w:val="both"/>
        <w:ind w:left="60" w:firstLine="1953"/>
        <w:spacing w:after="0" w:line="211" w:lineRule="auto"/>
        <w:tabs>
          <w:tab w:leader="none" w:pos="2559"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58" w:lineRule="exact"/>
        <w:rPr>
          <w:rFonts w:ascii="Times New Roman" w:cs="Times New Roman" w:eastAsia="Times New Roman" w:hAnsi="Times New Roman"/>
          <w:sz w:val="20"/>
          <w:szCs w:val="20"/>
          <w:b w:val="1"/>
          <w:bCs w:val="1"/>
          <w:color w:val="auto"/>
        </w:rPr>
      </w:pPr>
    </w:p>
    <w:p>
      <w:pPr>
        <w:ind w:left="60" w:firstLine="1953"/>
        <w:spacing w:after="0" w:line="236" w:lineRule="auto"/>
        <w:tabs>
          <w:tab w:leader="none" w:pos="2559" w:val="left"/>
        </w:tabs>
        <w:numPr>
          <w:ilvl w:val="1"/>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employee is rehired by the Company or an Affiliate and recommences employment prior to the date severance benefits under the Plan are scheduled to commence.</w:t>
      </w:r>
    </w:p>
    <w:p>
      <w:pPr>
        <w:spacing w:after="0" w:line="146" w:lineRule="exact"/>
        <w:rPr>
          <w:rFonts w:ascii="Times New Roman" w:cs="Times New Roman" w:eastAsia="Times New Roman" w:hAnsi="Times New Roman"/>
          <w:sz w:val="20"/>
          <w:szCs w:val="20"/>
          <w:b w:val="1"/>
          <w:bCs w:val="1"/>
          <w:color w:val="auto"/>
        </w:rPr>
      </w:pPr>
    </w:p>
    <w:p>
      <w:pPr>
        <w:jc w:val="both"/>
        <w:ind w:left="-20" w:firstLine="1304"/>
        <w:spacing w:after="0" w:line="227" w:lineRule="auto"/>
        <w:tabs>
          <w:tab w:leader="none" w:pos="1914"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Termination of Severance Benefits</w:t>
      </w:r>
      <w:r>
        <w:rPr>
          <w:rFonts w:ascii="Times New Roman" w:cs="Times New Roman" w:eastAsia="Times New Roman" w:hAnsi="Times New Roman"/>
          <w:sz w:val="22"/>
          <w:szCs w:val="22"/>
          <w:color w:val="auto"/>
        </w:rPr>
        <w:t>. In addition to any other potential reduction or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benefits set forth in this Plan, an Eligible Employee’s right to receive severance benefits under this Plan shall terminate immediately if, at any time prior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20"/>
          </w:cols>
          <w:pgMar w:left="340" w:top="139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or during the period for which the Eligible Employee is receiving severance benefits under the Plan, the Eligible Employee</w:t>
      </w:r>
    </w:p>
    <w:p>
      <w:pPr>
        <w:spacing w:after="0" w:line="179" w:lineRule="exact"/>
        <w:rPr>
          <w:sz w:val="20"/>
          <w:szCs w:val="20"/>
          <w:color w:val="auto"/>
        </w:rPr>
      </w:pPr>
    </w:p>
    <w:p>
      <w:pPr>
        <w:jc w:val="both"/>
        <w:ind w:left="80" w:firstLine="1953"/>
        <w:spacing w:after="0" w:line="220" w:lineRule="auto"/>
        <w:tabs>
          <w:tab w:leader="none" w:pos="257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willfully breaches any material statutory, common law, or contractual obligation to the Company or an Affiliate (including, without limitation, the contractual obligations set forth in the Confidentiality Agreement and any other confidentiality, non-disclosure and developments agreement, non-competition, non-solicitation, or similar type agreement between the Eligible Employee and the Company, as applicable);</w:t>
      </w:r>
    </w:p>
    <w:p>
      <w:pPr>
        <w:spacing w:after="0" w:line="152"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fails to enter into the terms of the Confidentiality Agreement; or</w:t>
      </w:r>
    </w:p>
    <w:p>
      <w:pPr>
        <w:spacing w:after="0" w:line="179" w:lineRule="exact"/>
        <w:rPr>
          <w:rFonts w:ascii="Times New Roman" w:cs="Times New Roman" w:eastAsia="Times New Roman" w:hAnsi="Times New Roman"/>
          <w:sz w:val="20"/>
          <w:szCs w:val="20"/>
          <w:b w:val="1"/>
          <w:bCs w:val="1"/>
          <w:color w:val="auto"/>
        </w:rPr>
      </w:pPr>
    </w:p>
    <w:p>
      <w:pPr>
        <w:jc w:val="both"/>
        <w:ind w:left="80" w:firstLine="1953"/>
        <w:spacing w:after="0" w:line="210" w:lineRule="auto"/>
        <w:tabs>
          <w:tab w:leader="none" w:pos="2579"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on such terms and conditions as shall be determined by the Plan Administrator, in its sole discretion. The “</w:t>
      </w:r>
      <w:r>
        <w:rPr>
          <w:rFonts w:ascii="Times New Roman" w:cs="Times New Roman" w:eastAsia="Times New Roman" w:hAnsi="Times New Roman"/>
          <w:sz w:val="22"/>
          <w:szCs w:val="22"/>
          <w:b w:val="1"/>
          <w:bCs w:val="1"/>
          <w:i w:val="1"/>
          <w:iCs w:val="1"/>
          <w:color w:val="auto"/>
        </w:rPr>
        <w:t>Prohibited Period</w:t>
      </w:r>
      <w:r>
        <w:rPr>
          <w:rFonts w:ascii="Times New Roman" w:cs="Times New Roman" w:eastAsia="Times New Roman" w:hAnsi="Times New Roman"/>
          <w:sz w:val="22"/>
          <w:szCs w:val="22"/>
          <w:color w:val="auto"/>
        </w:rPr>
        <w:t>” shall commence on the date of the Eligible Employee’s Covered Termination and continue for the number of months corresponding to the Severance Period set forth in such Eligible Employee’s Participation Agreement. A “</w:t>
      </w:r>
      <w:r>
        <w:rPr>
          <w:rFonts w:ascii="Times New Roman" w:cs="Times New Roman" w:eastAsia="Times New Roman" w:hAnsi="Times New Roman"/>
          <w:sz w:val="22"/>
          <w:szCs w:val="22"/>
          <w:b w:val="1"/>
          <w:bCs w:val="1"/>
          <w:i w:val="1"/>
          <w:iCs w:val="1"/>
          <w:color w:val="auto"/>
        </w:rPr>
        <w:t>Prohibited Action</w:t>
      </w:r>
      <w:r>
        <w:rPr>
          <w:rFonts w:ascii="Times New Roman" w:cs="Times New Roman" w:eastAsia="Times New Roman" w:hAnsi="Times New Roman"/>
          <w:sz w:val="22"/>
          <w:szCs w:val="22"/>
          <w:color w:val="auto"/>
        </w:rPr>
        <w:t>” shall occur if the Eligible Employee: breaches a material provision of the Confidentiality Agreement and/or any obligations of confidentiality, non-solicitation, non-disparagement, no conflicts or non-competition set forth in the Eligible Employee’s employment agreement, offer letter, any other written agreement between the Eligible Employee and the Company, or under applicable law.</w:t>
      </w:r>
    </w:p>
    <w:p>
      <w:pPr>
        <w:spacing w:after="0" w:line="1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Amount of Benefits.</w:t>
      </w:r>
    </w:p>
    <w:p>
      <w:pPr>
        <w:spacing w:after="0" w:line="191" w:lineRule="exact"/>
        <w:rPr>
          <w:sz w:val="20"/>
          <w:szCs w:val="20"/>
          <w:color w:val="auto"/>
        </w:rPr>
      </w:pPr>
    </w:p>
    <w:p>
      <w:pPr>
        <w:ind w:firstLine="1304"/>
        <w:spacing w:after="0" w:line="238" w:lineRule="auto"/>
        <w:tabs>
          <w:tab w:leader="none" w:pos="1932"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Benefits in Participation Agreement. </w:t>
      </w:r>
      <w:r>
        <w:rPr>
          <w:rFonts w:ascii="Times New Roman" w:cs="Times New Roman" w:eastAsia="Times New Roman" w:hAnsi="Times New Roman"/>
          <w:sz w:val="22"/>
          <w:szCs w:val="22"/>
          <w:color w:val="auto"/>
        </w:rPr>
        <w:t>Benefits under the Plan shall be provided to an Eligible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set forth in the Participation Agreement.</w:t>
      </w:r>
    </w:p>
    <w:p>
      <w:pPr>
        <w:spacing w:after="0" w:line="146" w:lineRule="exact"/>
        <w:rPr>
          <w:rFonts w:ascii="Times New Roman" w:cs="Times New Roman" w:eastAsia="Times New Roman" w:hAnsi="Times New Roman"/>
          <w:sz w:val="20"/>
          <w:szCs w:val="20"/>
          <w:b w:val="1"/>
          <w:bCs w:val="1"/>
          <w:color w:val="auto"/>
        </w:rPr>
      </w:pPr>
    </w:p>
    <w:p>
      <w:pPr>
        <w:jc w:val="both"/>
        <w:ind w:firstLine="1304"/>
        <w:spacing w:after="0" w:line="216" w:lineRule="auto"/>
        <w:tabs>
          <w:tab w:leader="none" w:pos="1943"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Additional Benefits. </w:t>
      </w:r>
      <w:r>
        <w:rPr>
          <w:rFonts w:ascii="Times New Roman" w:cs="Times New Roman" w:eastAsia="Times New Roman" w:hAnsi="Times New Roman"/>
          <w:sz w:val="22"/>
          <w:szCs w:val="22"/>
          <w:color w:val="auto"/>
        </w:rPr>
        <w:t>Notwithstanding the foregoing, the Committee may, in its sole discretion,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to individuals who are not Eligible Employees (“</w:t>
      </w:r>
      <w:r>
        <w:rPr>
          <w:rFonts w:ascii="Times New Roman" w:cs="Times New Roman" w:eastAsia="Times New Roman" w:hAnsi="Times New Roman"/>
          <w:sz w:val="22"/>
          <w:szCs w:val="22"/>
          <w:b w:val="1"/>
          <w:bCs w:val="1"/>
          <w:i w:val="1"/>
          <w:iCs w:val="1"/>
          <w:color w:val="auto"/>
        </w:rPr>
        <w:t>Non-Eligible Employees</w:t>
      </w:r>
      <w:r>
        <w:rPr>
          <w:rFonts w:ascii="Times New Roman" w:cs="Times New Roman" w:eastAsia="Times New Roman" w:hAnsi="Times New Roman"/>
          <w:sz w:val="22"/>
          <w:szCs w:val="22"/>
          <w:color w:val="auto"/>
        </w:rPr>
        <w:t>”) chosen by the Plan Administrator, in its sole discretion, and the provision of any such benefits to a Non-Eligible Employee shall in no way obligate the Company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45" w:lineRule="exact"/>
        <w:rPr>
          <w:rFonts w:ascii="Times New Roman" w:cs="Times New Roman" w:eastAsia="Times New Roman" w:hAnsi="Times New Roman"/>
          <w:sz w:val="20"/>
          <w:szCs w:val="20"/>
          <w:b w:val="1"/>
          <w:bCs w:val="1"/>
          <w:color w:val="auto"/>
        </w:rPr>
      </w:pPr>
    </w:p>
    <w:p>
      <w:pPr>
        <w:jc w:val="both"/>
        <w:ind w:firstLine="1304"/>
        <w:spacing w:after="0" w:line="210" w:lineRule="auto"/>
        <w:tabs>
          <w:tab w:leader="none" w:pos="1934"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Certain Reductions. </w:t>
      </w:r>
      <w:r>
        <w:rPr>
          <w:rFonts w:ascii="Times New Roman" w:cs="Times New Roman" w:eastAsia="Times New Roman" w:hAnsi="Times New Roman"/>
          <w:sz w:val="22"/>
          <w:szCs w:val="22"/>
          <w:color w:val="auto"/>
        </w:rPr>
        <w:t>In addition to Section 2(e) above, the Company, in its sole discretion,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reduce an 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or an Affiliate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any cash severance benefits under the Plan shall be reduced solely by any cash payments or severance benefits under such legal requirement, agreement, policy or practice). The Company’s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5" w:name="page86"/>
    <w:bookmarkEnd w:id="85"/>
    <w:p>
      <w:pPr>
        <w:jc w:val="both"/>
        <w:spacing w:after="0" w:line="220" w:lineRule="auto"/>
        <w:rPr>
          <w:sz w:val="20"/>
          <w:szCs w:val="20"/>
          <w:color w:val="auto"/>
        </w:rPr>
      </w:pPr>
      <w:r>
        <w:rPr>
          <w:rFonts w:ascii="Times New Roman" w:cs="Times New Roman" w:eastAsia="Times New Roman" w:hAnsi="Times New Roman"/>
          <w:sz w:val="22"/>
          <w:szCs w:val="22"/>
          <w:color w:val="auto"/>
        </w:rPr>
        <w:t>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48" w:lineRule="exact"/>
        <w:rPr>
          <w:sz w:val="20"/>
          <w:szCs w:val="20"/>
          <w:color w:val="auto"/>
        </w:rPr>
      </w:pPr>
    </w:p>
    <w:p>
      <w:pPr>
        <w:jc w:val="both"/>
        <w:ind w:firstLine="1304"/>
        <w:spacing w:after="0" w:line="210" w:lineRule="auto"/>
        <w:tabs>
          <w:tab w:leader="none" w:pos="1943"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Parachute Payments. </w:t>
      </w:r>
      <w:r>
        <w:rPr>
          <w:rFonts w:ascii="Times New Roman" w:cs="Times New Roman" w:eastAsia="Times New Roman" w:hAnsi="Times New Roman"/>
          <w:sz w:val="22"/>
          <w:szCs w:val="22"/>
          <w:color w:val="auto"/>
        </w:rPr>
        <w:t>If any payment or benefit an Eligible Employee will or may receive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otherwise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Payment shall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the Eligible Employee.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w:t>
      </w:r>
    </w:p>
    <w:p>
      <w:pPr>
        <w:spacing w:after="0" w:line="2" w:lineRule="exact"/>
        <w:rPr>
          <w:sz w:val="20"/>
          <w:szCs w:val="20"/>
          <w:color w:val="auto"/>
        </w:rPr>
      </w:pPr>
    </w:p>
    <w:p>
      <w:pPr>
        <w:jc w:val="both"/>
        <w:ind w:firstLine="8"/>
        <w:spacing w:after="0" w:line="212" w:lineRule="auto"/>
        <w:tabs>
          <w:tab w:leader="none" w:pos="31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the Internal Revenue Service determines thereafter that some portion of the Payment is subject to the Excise Tax, the Eligible Employee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Employee shall have no obligation to return any portion of the Payment pursuant to the preceding sentence.</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Notwithstanding the foregoing, if at the time that a Payment would constitute a parachute payment within the meaning of Section 280G of the Code, the Company is a corporation no stock in which is readily tradable on an established securities market (or otherwise) within the meaning of Code Section 280G(b)(5)(A)(ii)(I), then, provided the Eligible Employee chooses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36" w:lineRule="auto"/>
        <w:rPr>
          <w:sz w:val="20"/>
          <w:szCs w:val="20"/>
          <w:color w:val="auto"/>
        </w:rPr>
      </w:pPr>
      <w:r>
        <w:rPr>
          <w:rFonts w:ascii="Times New Roman" w:cs="Times New Roman" w:eastAsia="Times New Roman" w:hAnsi="Times New Roman"/>
          <w:sz w:val="22"/>
          <w:szCs w:val="22"/>
          <w:color w:val="auto"/>
        </w:rPr>
        <w:t>timely and conditionally waive the right to all or any portion of the Payments that would be subject to the Excise Tax, the Company shall use its best efforts to timely seek a stockholder vote in accordance with Code Section 280G(b)(5)(B).</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Return of Company Property.</w:t>
      </w:r>
    </w:p>
    <w:p>
      <w:pPr>
        <w:spacing w:after="0" w:line="19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An Eligible Employee will not be entitled to any severance benefit under the Plan unless and until the Eligible Employee returns all Company Property. For this purpose, “</w:t>
      </w:r>
      <w:r>
        <w:rPr>
          <w:rFonts w:ascii="Times New Roman" w:cs="Times New Roman" w:eastAsia="Times New Roman" w:hAnsi="Times New Roman"/>
          <w:sz w:val="22"/>
          <w:szCs w:val="22"/>
          <w:b w:val="1"/>
          <w:bCs w:val="1"/>
          <w:i w:val="1"/>
          <w:iCs w:val="1"/>
          <w:color w:val="auto"/>
        </w:rPr>
        <w:t>Company Property</w:t>
      </w:r>
      <w:r>
        <w:rPr>
          <w:rFonts w:ascii="Times New Roman" w:cs="Times New Roman" w:eastAsia="Times New Roman" w:hAnsi="Times New Roman"/>
          <w:sz w:val="22"/>
          <w:szCs w:val="22"/>
          <w:color w:val="auto"/>
        </w:rPr>
        <w:t>” means all paper and electronic Company documents (and all copies thereof) and other Company property which the Eligible Employee had in his or her possession or control at any time, including, but not limited to, Company files, notes, drawings, records, plans, forecasts, reports, studies, analyses, proposals, agreements, financial information, research and development information, sales and marketing information, operational and personnel information, password, login and account information for any Company device or database or any Company accounts with third parties,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 As a condition to receiving benefits under the Plan, an Eligible Employee must not make or retain copies, reproductions or summaries of any such Company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Time of Payment and Form of Benefits.</w:t>
      </w:r>
    </w:p>
    <w:p>
      <w:pPr>
        <w:spacing w:after="0" w:line="19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It is intended that all of the benefits and other payments payable under the Plan satisfy, to the greatest extent possible, an exemption from the application of Section 409A, and the Plan will be construed to the greatest extent possible as consistent with those provisions, and to the extent no so exempt, the Plan (and any definitions hereunder) will be construed in a manner that complies with Section 409A, and any ambiguities herein shall be interpreted accordingly. Specifically, the severance benefits under the Plan are intended to satisfy the exemptions from application of Section 409A provided under Treasury Regulations Sections 1.409A-1(b)</w:t>
      </w:r>
    </w:p>
    <w:p>
      <w:pPr>
        <w:spacing w:after="0" w:line="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(4), 1.409A-1(b)(5) and 1.409A-1(b)(9) and each installment of severance benefits, if any, is a separate “payment” for purposes of Treasury Regulations Section 1.409A-2(b)(2)(i). However, if such exemptions are not available and the Eligible Employee is, upon Separation from Service, a “specified employee” for purposes of Section 409A, then, solely to the extent necessary to avoid adverse personal tax consequences under Section 409A, the timing of the severance benefits payments shall be delayed until the earlier of (i) six months and one day after the Eligible Employee’s Separation from Service, or (ii) the Eligible Employee’s death. Severance benefits shall not commence until the Eligible Employee has a Separation from Service. If severance benefits are not covered by one or more exemptions from the application of Section 409A and the Release could become effective in the calendar year following the calendar year in which the Separation from Service occurs, the Release will not be deemed effective, for purposes of payment of severance benefits, any earlier than the first day of the second calendar year. Except to the minimum extent that payments must be delayed because the Eligible Employee is a “specified employee” or until the effectiveness of the Release, all severance amounts will be paid as soon as practicable in accordance with the Plan and the Company’s normal payroll practices.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7" w:name="page88"/>
    <w:bookmarkEnd w:id="87"/>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Transfer and Assignment.</w:t>
      </w:r>
    </w:p>
    <w:p>
      <w:pPr>
        <w:spacing w:after="0" w:line="19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Mitigation.</w:t>
      </w:r>
    </w:p>
    <w:p>
      <w:pPr>
        <w:spacing w:after="0" w:line="195" w:lineRule="exact"/>
        <w:rPr>
          <w:sz w:val="20"/>
          <w:szCs w:val="20"/>
          <w:color w:val="auto"/>
        </w:rPr>
      </w:pPr>
    </w:p>
    <w:p>
      <w:pPr>
        <w:jc w:val="both"/>
        <w:ind w:firstLine="729"/>
        <w:spacing w:after="0" w:line="217" w:lineRule="auto"/>
        <w:rPr>
          <w:sz w:val="20"/>
          <w:szCs w:val="20"/>
          <w:color w:val="auto"/>
        </w:rPr>
      </w:pPr>
      <w:r>
        <w:rPr>
          <w:rFonts w:ascii="Times New Roman" w:cs="Times New Roman" w:eastAsia="Times New Roman" w:hAnsi="Times New Roman"/>
          <w:sz w:val="22"/>
          <w:szCs w:val="22"/>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Clawback; Recovery.</w:t>
      </w:r>
    </w:p>
    <w:p>
      <w:pPr>
        <w:spacing w:after="0" w:line="19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All payments and severance benefits provided under the Plan will be subject to recoupment in accordance with the Zoom Incentive Compensation Recoupment Policy (as amended from time to time or any successor policy thereto) (the “</w:t>
      </w:r>
      <w:r>
        <w:rPr>
          <w:rFonts w:ascii="Times New Roman" w:cs="Times New Roman" w:eastAsia="Times New Roman" w:hAnsi="Times New Roman"/>
          <w:sz w:val="22"/>
          <w:szCs w:val="22"/>
          <w:b w:val="1"/>
          <w:bCs w:val="1"/>
          <w:i w:val="1"/>
          <w:iCs w:val="1"/>
          <w:color w:val="auto"/>
        </w:rPr>
        <w:t>Zoom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Clawback Policy</w:t>
      </w:r>
      <w:r>
        <w:rPr>
          <w:rFonts w:ascii="Times New Roman" w:cs="Times New Roman" w:eastAsia="Times New Roman" w:hAnsi="Times New Roman"/>
          <w:sz w:val="22"/>
          <w:szCs w:val="22"/>
          <w:color w:val="auto"/>
        </w:rPr>
        <w:t>”), as well as any clawback policy that the Company is required to adopt pursuant to the listing standards of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the Zoom Clawback Policy or other such clawback policy will be an event giving rise to a right to Resignation for Good Reason, constructive termination, or any similar term under any plan of or agreement with the Company.</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Right to Interpret and Administer Plan; Amendment and Termination.</w:t>
      </w:r>
    </w:p>
    <w:p>
      <w:pPr>
        <w:spacing w:after="0" w:line="191" w:lineRule="exact"/>
        <w:rPr>
          <w:sz w:val="20"/>
          <w:szCs w:val="20"/>
          <w:color w:val="auto"/>
        </w:rPr>
      </w:pPr>
    </w:p>
    <w:p>
      <w:pPr>
        <w:jc w:val="both"/>
        <w:ind w:firstLine="1304"/>
        <w:spacing w:after="0" w:line="211" w:lineRule="auto"/>
        <w:tabs>
          <w:tab w:leader="none" w:pos="1932"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Interpretation and Administration. </w:t>
      </w:r>
      <w:r>
        <w:rPr>
          <w:rFonts w:ascii="Times New Roman" w:cs="Times New Roman" w:eastAsia="Times New Roman" w:hAnsi="Times New Roman"/>
          <w:sz w:val="22"/>
          <w:szCs w:val="22"/>
          <w:color w:val="auto"/>
        </w:rPr>
        <w:t>Prior to the Closing, the Committee shall be the Plan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51"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43"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The Plan Administrator reserves the right to amend or terminate this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 any time;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amendment or termination of the Plan will not be effective as to a particular employee who is or may be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1" w:right="339" w:bottom="1440" w:gutter="0" w:footer="0" w:header="0"/>
        </w:sectPr>
      </w:pPr>
    </w:p>
    <w:bookmarkStart w:id="88" w:name="page89"/>
    <w:bookmarkEnd w:id="88"/>
    <w:p>
      <w:pPr>
        <w:jc w:val="both"/>
        <w:spacing w:after="0" w:line="225" w:lineRule="auto"/>
        <w:rPr>
          <w:sz w:val="20"/>
          <w:szCs w:val="20"/>
          <w:color w:val="auto"/>
        </w:rPr>
      </w:pPr>
      <w:r>
        <w:rPr>
          <w:rFonts w:ascii="Times New Roman" w:cs="Times New Roman" w:eastAsia="Times New Roman" w:hAnsi="Times New Roman"/>
          <w:sz w:val="22"/>
          <w:szCs w:val="22"/>
          <w:color w:val="auto"/>
        </w:rPr>
        <w:t>adversely impacted by such amendment or termination and has an effective Participation Agreement without the written consent of such employee. Unless otherwise extended by the Committee, the Plan will automatically terminate upon the satisfaction of all the Company’s obligations under the Plan.</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No Implied Employment Contract.</w:t>
      </w:r>
    </w:p>
    <w:p>
      <w:pPr>
        <w:spacing w:after="0" w:line="19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 This Plan does not modify the at-will employment status of any Eligible Employee.</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Legal Construction.</w:t>
      </w:r>
    </w:p>
    <w:p>
      <w:pPr>
        <w:spacing w:after="0" w:line="19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This Plan is intended to be governed by and shall be construed in accordance with the Employee Retirement Income Security Act of 1974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and, to the extent not preempted by ERISA, the laws of the State of California.</w:t>
      </w:r>
    </w:p>
    <w:p>
      <w:pPr>
        <w:spacing w:after="0" w:line="14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Claims, Inquiries and Appeals.</w:t>
      </w:r>
    </w:p>
    <w:p>
      <w:pPr>
        <w:spacing w:after="0" w:line="191" w:lineRule="exact"/>
        <w:rPr>
          <w:sz w:val="20"/>
          <w:szCs w:val="20"/>
          <w:color w:val="auto"/>
        </w:rPr>
      </w:pPr>
    </w:p>
    <w:p>
      <w:pPr>
        <w:jc w:val="both"/>
        <w:ind w:firstLine="1304"/>
        <w:spacing w:after="0" w:line="227" w:lineRule="auto"/>
        <w:tabs>
          <w:tab w:leader="none" w:pos="1932"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Applications for Benefits and Inquiries. </w:t>
      </w:r>
      <w:r>
        <w:rPr>
          <w:rFonts w:ascii="Times New Roman" w:cs="Times New Roman" w:eastAsia="Times New Roman" w:hAnsi="Times New Roman"/>
          <w:sz w:val="22"/>
          <w:szCs w:val="22"/>
          <w:color w:val="auto"/>
        </w:rPr>
        <w:t>Any application for benefits, inquiries about the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inquiries about present or future rights under the Plan must be submitted to the Plan Administrator in writing by an applicant (or his or her authorized representative). The Plan Administrator is: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Zoom Video Communications, Inc.</w:t>
      </w:r>
    </w:p>
    <w:p>
      <w:pPr>
        <w:jc w:val="center"/>
        <w:ind w:right="-19"/>
        <w:spacing w:after="0" w:line="204" w:lineRule="auto"/>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jc w:val="center"/>
        <w:ind w:right="-19"/>
        <w:spacing w:after="0" w:line="205" w:lineRule="auto"/>
        <w:rPr>
          <w:sz w:val="20"/>
          <w:szCs w:val="20"/>
          <w:color w:val="auto"/>
        </w:rPr>
      </w:pPr>
      <w:r>
        <w:rPr>
          <w:rFonts w:ascii="Times New Roman" w:cs="Times New Roman" w:eastAsia="Times New Roman" w:hAnsi="Times New Roman"/>
          <w:sz w:val="22"/>
          <w:szCs w:val="22"/>
          <w:color w:val="auto"/>
        </w:rPr>
        <w:t>Attention to: Corporate Secretary</w:t>
      </w:r>
    </w:p>
    <w:p>
      <w:pPr>
        <w:jc w:val="center"/>
        <w:ind w:right="-19"/>
        <w:spacing w:after="0" w:line="205" w:lineRule="auto"/>
        <w:rPr>
          <w:sz w:val="20"/>
          <w:szCs w:val="20"/>
          <w:color w:val="auto"/>
        </w:rPr>
      </w:pPr>
      <w:r>
        <w:rPr>
          <w:rFonts w:ascii="Times New Roman" w:cs="Times New Roman" w:eastAsia="Times New Roman" w:hAnsi="Times New Roman"/>
          <w:sz w:val="22"/>
          <w:szCs w:val="22"/>
          <w:color w:val="auto"/>
        </w:rPr>
        <w:t>55 Almaden Blvd., 6th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Jose, California 95113</w:t>
      </w:r>
    </w:p>
    <w:p>
      <w:pPr>
        <w:spacing w:after="0" w:line="178" w:lineRule="exact"/>
        <w:rPr>
          <w:sz w:val="20"/>
          <w:szCs w:val="20"/>
          <w:color w:val="auto"/>
        </w:rPr>
      </w:pPr>
    </w:p>
    <w:p>
      <w:pPr>
        <w:jc w:val="both"/>
        <w:ind w:firstLine="1304"/>
        <w:spacing w:after="0" w:line="221" w:lineRule="auto"/>
        <w:tabs>
          <w:tab w:leader="none" w:pos="1943"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Denial of Claims. </w:t>
      </w:r>
      <w:r>
        <w:rPr>
          <w:rFonts w:ascii="Times New Roman" w:cs="Times New Roman" w:eastAsia="Times New Roman" w:hAnsi="Times New Roman"/>
          <w:sz w:val="22"/>
          <w:szCs w:val="22"/>
          <w:color w:val="auto"/>
        </w:rPr>
        <w:t>In the event that any application for benefits is denied in whole or in part,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52"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references to the specific Plan provisions upon which the denial is based;</w:t>
      </w:r>
    </w:p>
    <w:p>
      <w:pPr>
        <w:spacing w:after="0" w:line="179" w:lineRule="exact"/>
        <w:rPr>
          <w:rFonts w:ascii="Times New Roman" w:cs="Times New Roman" w:eastAsia="Times New Roman" w:hAnsi="Times New Roman"/>
          <w:sz w:val="20"/>
          <w:szCs w:val="20"/>
          <w:b w:val="1"/>
          <w:bCs w:val="1"/>
          <w:color w:val="auto"/>
        </w:rPr>
      </w:pPr>
    </w:p>
    <w:p>
      <w:pPr>
        <w:ind w:left="80" w:firstLine="1953"/>
        <w:spacing w:after="0" w:line="236" w:lineRule="auto"/>
        <w:tabs>
          <w:tab w:leader="none" w:pos="2579"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description of any additional information or material that the Plan Administrator needs to complete the review and an explanation of why such information or material is necessary; and</w:t>
      </w:r>
    </w:p>
    <w:p>
      <w:pPr>
        <w:spacing w:after="0" w:line="150" w:lineRule="exact"/>
        <w:rPr>
          <w:rFonts w:ascii="Times New Roman" w:cs="Times New Roman" w:eastAsia="Times New Roman" w:hAnsi="Times New Roman"/>
          <w:sz w:val="20"/>
          <w:szCs w:val="20"/>
          <w:b w:val="1"/>
          <w:bCs w:val="1"/>
          <w:color w:val="auto"/>
        </w:rPr>
      </w:pPr>
    </w:p>
    <w:p>
      <w:pPr>
        <w:jc w:val="both"/>
        <w:ind w:left="80" w:firstLine="1953"/>
        <w:spacing w:after="0" w:line="225" w:lineRule="auto"/>
        <w:tabs>
          <w:tab w:leader="none" w:pos="2579" w:val="left"/>
        </w:tabs>
        <w:numPr>
          <w:ilvl w:val="1"/>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pacing w:after="0" w:line="153"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This notice of denial will be given to the applicant within 90 days after the Plan Administrator receives the application, unless special circumstances require an extension of time,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89" w:name="page90"/>
    <w:bookmarkEnd w:id="89"/>
    <w:p>
      <w:pPr>
        <w:jc w:val="both"/>
        <w:spacing w:after="0" w:line="255" w:lineRule="auto"/>
        <w:rPr>
          <w:sz w:val="20"/>
          <w:szCs w:val="20"/>
          <w:color w:val="auto"/>
        </w:rPr>
      </w:pPr>
      <w:r>
        <w:rPr>
          <w:rFonts w:ascii="Times New Roman" w:cs="Times New Roman" w:eastAsia="Times New Roman" w:hAnsi="Times New Roman"/>
          <w:sz w:val="21"/>
          <w:szCs w:val="21"/>
          <w:color w:val="auto"/>
        </w:rPr>
        <w:t>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35"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This notice of extension will describe the special circumstances necessitating the additional time and the date by which the Plan Administrator is to render its decision on the application.</w:t>
      </w:r>
    </w:p>
    <w:p>
      <w:pPr>
        <w:spacing w:after="0" w:line="146" w:lineRule="exact"/>
        <w:rPr>
          <w:sz w:val="20"/>
          <w:szCs w:val="20"/>
          <w:color w:val="auto"/>
        </w:rPr>
      </w:pPr>
    </w:p>
    <w:p>
      <w:pPr>
        <w:jc w:val="both"/>
        <w:ind w:firstLine="1304"/>
        <w:spacing w:after="0" w:line="227" w:lineRule="auto"/>
        <w:tabs>
          <w:tab w:leader="none" w:pos="193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Request for a Review. </w:t>
      </w:r>
      <w:r>
        <w:rPr>
          <w:rFonts w:ascii="Times New Roman" w:cs="Times New Roman" w:eastAsia="Times New Roman" w:hAnsi="Times New Roman"/>
          <w:sz w:val="22"/>
          <w:szCs w:val="22"/>
          <w:color w:val="auto"/>
        </w:rPr>
        <w:t>Any person (or that person’s authorized representative) for whom an application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benefits is denied, in whole or in part, may appeal the denial by submitting a request for a review to the Plan Administrator within 60 days after the application is denied. A request for a review shall be in writing and shall be addressed 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Zoom Video Communications, Inc.</w:t>
      </w:r>
    </w:p>
    <w:p>
      <w:pPr>
        <w:jc w:val="center"/>
        <w:spacing w:after="0" w:line="204" w:lineRule="auto"/>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jc w:val="center"/>
        <w:spacing w:after="0" w:line="205" w:lineRule="auto"/>
        <w:rPr>
          <w:sz w:val="20"/>
          <w:szCs w:val="20"/>
          <w:color w:val="auto"/>
        </w:rPr>
      </w:pPr>
      <w:r>
        <w:rPr>
          <w:rFonts w:ascii="Times New Roman" w:cs="Times New Roman" w:eastAsia="Times New Roman" w:hAnsi="Times New Roman"/>
          <w:sz w:val="22"/>
          <w:szCs w:val="22"/>
          <w:color w:val="auto"/>
        </w:rPr>
        <w:t>Attention to: Corporate Secretary</w:t>
      </w:r>
    </w:p>
    <w:p>
      <w:pPr>
        <w:jc w:val="center"/>
        <w:spacing w:after="0" w:line="205" w:lineRule="auto"/>
        <w:rPr>
          <w:sz w:val="20"/>
          <w:szCs w:val="20"/>
          <w:color w:val="auto"/>
        </w:rPr>
      </w:pPr>
      <w:r>
        <w:rPr>
          <w:rFonts w:ascii="Times New Roman" w:cs="Times New Roman" w:eastAsia="Times New Roman" w:hAnsi="Times New Roman"/>
          <w:sz w:val="22"/>
          <w:szCs w:val="22"/>
          <w:color w:val="auto"/>
        </w:rPr>
        <w:t>55 Almaden Blvd., 6th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Jose, California 95113</w:t>
      </w:r>
    </w:p>
    <w:p>
      <w:pPr>
        <w:spacing w:after="0" w:line="18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46" w:lineRule="exact"/>
        <w:rPr>
          <w:sz w:val="20"/>
          <w:szCs w:val="20"/>
          <w:color w:val="auto"/>
        </w:rPr>
      </w:pPr>
    </w:p>
    <w:p>
      <w:pPr>
        <w:jc w:val="both"/>
        <w:ind w:firstLine="1304"/>
        <w:spacing w:after="0" w:line="213" w:lineRule="auto"/>
        <w:tabs>
          <w:tab w:leader="none" w:pos="1943"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Decision on Review. </w:t>
      </w:r>
      <w:r>
        <w:rPr>
          <w:rFonts w:ascii="Times New Roman" w:cs="Times New Roman" w:eastAsia="Times New Roman" w:hAnsi="Times New Roman"/>
          <w:sz w:val="22"/>
          <w:szCs w:val="22"/>
          <w:color w:val="auto"/>
        </w:rPr>
        <w:t>The Plan Administrator will act on each request for review within 60 days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the request, 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51"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specific reason or reasons for the denial;</w:t>
      </w:r>
    </w:p>
    <w:p>
      <w:pPr>
        <w:spacing w:after="0" w:line="179"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references to the specific Plan provisions upon which the denial is based;</w:t>
      </w:r>
    </w:p>
    <w:p>
      <w:pPr>
        <w:spacing w:after="0" w:line="179" w:lineRule="exact"/>
        <w:rPr>
          <w:rFonts w:ascii="Times New Roman" w:cs="Times New Roman" w:eastAsia="Times New Roman" w:hAnsi="Times New Roman"/>
          <w:sz w:val="20"/>
          <w:szCs w:val="20"/>
          <w:b w:val="1"/>
          <w:bCs w:val="1"/>
          <w:color w:val="auto"/>
        </w:rPr>
      </w:pPr>
    </w:p>
    <w:p>
      <w:pPr>
        <w:ind w:left="80" w:right="20" w:firstLine="1953"/>
        <w:spacing w:after="0" w:line="236" w:lineRule="auto"/>
        <w:tabs>
          <w:tab w:leader="none" w:pos="2579" w:val="left"/>
        </w:tabs>
        <w:numPr>
          <w:ilvl w:val="1"/>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statement that the applicant is entitled to receive, upon request and free of charge, reasonable access to, and copies of, all documents, records and other information relevant to his or her claim; and</w:t>
      </w:r>
    </w:p>
    <w:p>
      <w:pPr>
        <w:spacing w:after="0" w:line="150" w:lineRule="exact"/>
        <w:rPr>
          <w:rFonts w:ascii="Times New Roman" w:cs="Times New Roman" w:eastAsia="Times New Roman" w:hAnsi="Times New Roman"/>
          <w:sz w:val="20"/>
          <w:szCs w:val="20"/>
          <w:b w:val="1"/>
          <w:bCs w:val="1"/>
          <w:color w:val="auto"/>
        </w:rPr>
      </w:pPr>
    </w:p>
    <w:p>
      <w:pPr>
        <w:ind w:left="2580" w:hanging="547"/>
        <w:spacing w:after="0"/>
        <w:tabs>
          <w:tab w:leader="none" w:pos="2580" w:val="left"/>
        </w:tabs>
        <w:numPr>
          <w:ilvl w:val="1"/>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 statement of the applicant’s right to bring a civil action under Section 502(a) of ERISA.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90" w:name="page91"/>
    <w:bookmarkEnd w:id="90"/>
    <w:p>
      <w:pPr>
        <w:jc w:val="both"/>
        <w:ind w:firstLine="1304"/>
        <w:spacing w:after="0" w:line="221" w:lineRule="auto"/>
        <w:tabs>
          <w:tab w:leader="none" w:pos="1934"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Rules and Procedures. </w:t>
      </w:r>
      <w:r>
        <w:rPr>
          <w:rFonts w:ascii="Times New Roman" w:cs="Times New Roman" w:eastAsia="Times New Roman" w:hAnsi="Times New Roman"/>
          <w:sz w:val="22"/>
          <w:szCs w:val="22"/>
          <w:color w:val="auto"/>
        </w:rPr>
        <w:t>The Plan Administrator will establish rules and procedures, consistent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39"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Exhaustion of Remedies. </w:t>
      </w:r>
      <w:r>
        <w:rPr>
          <w:rFonts w:ascii="Times New Roman" w:cs="Times New Roman" w:eastAsia="Times New Roman" w:hAnsi="Times New Roman"/>
          <w:sz w:val="22"/>
          <w:szCs w:val="22"/>
          <w:color w:val="auto"/>
        </w:rPr>
        <w:t>No legal action for benefits under the Plan may be brought until the applicant</w:t>
      </w:r>
    </w:p>
    <w:p>
      <w:pPr>
        <w:jc w:val="both"/>
        <w:ind w:firstLine="8"/>
        <w:spacing w:after="0" w:line="209" w:lineRule="auto"/>
        <w:tabs>
          <w:tab w:leader="none" w:pos="27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submitted a written 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Employee’s claim or appeal within the relevant time limits specified in this Section 12, the Eligible Employee may bring legal action for benefits under the Plan pursuant to Section 502(a) of ERISA. Any legal action filed pursuant to ERISA Section 502(a) must be filed within one year of the date of the Plan Administrator’s denial of the Eligible Employee’s claim on appeal, and in the U.S. District Court for the Northern District of California.</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21"/>
          <w:szCs w:val="21"/>
          <w:b w:val="1"/>
          <w:bCs w:val="1"/>
          <w:color w:val="auto"/>
        </w:rPr>
        <w:t>Basis of Payments to and from Plan.</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Plan shall be unfunded, and all cash payments under the Plan shall be paid only from the general assets of the</w:t>
      </w: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21"/>
          <w:szCs w:val="21"/>
          <w:b w:val="1"/>
          <w:bCs w:val="1"/>
          <w:color w:val="auto"/>
        </w:rPr>
        <w:t>Other Plan Information.</w:t>
      </w:r>
    </w:p>
    <w:p>
      <w:pPr>
        <w:spacing w:after="0" w:line="191" w:lineRule="exact"/>
        <w:rPr>
          <w:sz w:val="20"/>
          <w:szCs w:val="20"/>
          <w:color w:val="auto"/>
        </w:rPr>
      </w:pPr>
    </w:p>
    <w:p>
      <w:pPr>
        <w:jc w:val="both"/>
        <w:ind w:firstLine="1304"/>
        <w:spacing w:after="0" w:line="227" w:lineRule="auto"/>
        <w:tabs>
          <w:tab w:leader="none" w:pos="1934"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Employer and Plan Identification Numbers. </w:t>
      </w:r>
      <w:r>
        <w:rPr>
          <w:rFonts w:ascii="Times New Roman" w:cs="Times New Roman" w:eastAsia="Times New Roman" w:hAnsi="Times New Roman"/>
          <w:sz w:val="22"/>
          <w:szCs w:val="22"/>
          <w:color w:val="auto"/>
        </w:rPr>
        <w:t>The Employer Identification Number assigned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(which is the “Plan Sponsor” as that term is used in ERISA) by the Internal Revenue Service is 61-1648780. The Plan Number assigned to the Plan by the Plan Sponsor pursuant to the instructions of the Internal Revenue Service is 502.</w:t>
      </w:r>
    </w:p>
    <w:p>
      <w:pPr>
        <w:spacing w:after="0" w:line="146" w:lineRule="exact"/>
        <w:rPr>
          <w:rFonts w:ascii="Times New Roman" w:cs="Times New Roman" w:eastAsia="Times New Roman" w:hAnsi="Times New Roman"/>
          <w:sz w:val="20"/>
          <w:szCs w:val="20"/>
          <w:b w:val="1"/>
          <w:bCs w:val="1"/>
          <w:color w:val="auto"/>
        </w:rPr>
      </w:pPr>
    </w:p>
    <w:p>
      <w:pPr>
        <w:ind w:firstLine="1304"/>
        <w:spacing w:after="0" w:line="238" w:lineRule="auto"/>
        <w:tabs>
          <w:tab w:leader="none" w:pos="1939"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Ending Date for Plan’s Fiscal Year. </w:t>
      </w:r>
      <w:r>
        <w:rPr>
          <w:rFonts w:ascii="Times New Roman" w:cs="Times New Roman" w:eastAsia="Times New Roman" w:hAnsi="Times New Roman"/>
          <w:sz w:val="22"/>
          <w:szCs w:val="22"/>
          <w:color w:val="auto"/>
        </w:rPr>
        <w:t>The date of the end of the fiscal year for the purpose of maintaining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Plan’s records is January 31.</w:t>
      </w:r>
    </w:p>
    <w:p>
      <w:pPr>
        <w:spacing w:after="0" w:line="146"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Agent for the Service of Legal Process. </w:t>
      </w:r>
      <w:r>
        <w:rPr>
          <w:rFonts w:ascii="Times New Roman" w:cs="Times New Roman" w:eastAsia="Times New Roman" w:hAnsi="Times New Roman"/>
          <w:sz w:val="21"/>
          <w:szCs w:val="21"/>
          <w:color w:val="auto"/>
        </w:rPr>
        <w:t>The agent for the service of legal process with respect to the Plan</w:t>
      </w:r>
    </w:p>
    <w:p>
      <w:pPr>
        <w:spacing w:after="0" w:line="2"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2"/>
          <w:szCs w:val="22"/>
          <w:color w:val="auto"/>
        </w:rPr>
        <w:t>is: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Zoom Video Communications, Inc.</w:t>
      </w:r>
    </w:p>
    <w:p>
      <w:pPr>
        <w:jc w:val="center"/>
        <w:spacing w:after="0" w:line="204" w:lineRule="auto"/>
        <w:rPr>
          <w:sz w:val="20"/>
          <w:szCs w:val="20"/>
          <w:color w:val="auto"/>
        </w:rPr>
      </w:pPr>
      <w:r>
        <w:rPr>
          <w:rFonts w:ascii="Times New Roman" w:cs="Times New Roman" w:eastAsia="Times New Roman" w:hAnsi="Times New Roman"/>
          <w:sz w:val="22"/>
          <w:szCs w:val="22"/>
          <w:color w:val="auto"/>
        </w:rPr>
        <w:t>Attention to: Corporate Secretary</w:t>
      </w:r>
    </w:p>
    <w:p>
      <w:pPr>
        <w:jc w:val="center"/>
        <w:spacing w:after="0" w:line="205" w:lineRule="auto"/>
        <w:rPr>
          <w:sz w:val="20"/>
          <w:szCs w:val="20"/>
          <w:color w:val="auto"/>
        </w:rPr>
      </w:pPr>
      <w:r>
        <w:rPr>
          <w:rFonts w:ascii="Times New Roman" w:cs="Times New Roman" w:eastAsia="Times New Roman" w:hAnsi="Times New Roman"/>
          <w:sz w:val="22"/>
          <w:szCs w:val="22"/>
          <w:color w:val="auto"/>
        </w:rPr>
        <w:t>55 Almaden Blvd., 6th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Jose, California 95113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service of legal process may be made upon the Plan Administrator.</w:t>
      </w:r>
    </w:p>
    <w:p>
      <w:pPr>
        <w:spacing w:after="0" w:line="175" w:lineRule="exact"/>
        <w:rPr>
          <w:sz w:val="20"/>
          <w:szCs w:val="20"/>
          <w:color w:val="auto"/>
        </w:rPr>
      </w:pPr>
    </w:p>
    <w:p>
      <w:pPr>
        <w:ind w:left="1960" w:hanging="656"/>
        <w:spacing w:after="0"/>
        <w:tabs>
          <w:tab w:leader="none" w:pos="19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Sponsor. </w:t>
      </w:r>
      <w:r>
        <w:rPr>
          <w:rFonts w:ascii="Times New Roman" w:cs="Times New Roman" w:eastAsia="Times New Roman" w:hAnsi="Times New Roman"/>
          <w:sz w:val="22"/>
          <w:szCs w:val="22"/>
          <w:color w:val="auto"/>
        </w:rPr>
        <w:t>The “Plan Sponsor” is: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Zoom Video Communications, Inc.</w:t>
      </w:r>
    </w:p>
    <w:p>
      <w:pPr>
        <w:jc w:val="center"/>
        <w:spacing w:after="0" w:line="204" w:lineRule="auto"/>
        <w:rPr>
          <w:sz w:val="20"/>
          <w:szCs w:val="20"/>
          <w:color w:val="auto"/>
        </w:rPr>
      </w:pPr>
      <w:r>
        <w:rPr>
          <w:rFonts w:ascii="Times New Roman" w:cs="Times New Roman" w:eastAsia="Times New Roman" w:hAnsi="Times New Roman"/>
          <w:sz w:val="22"/>
          <w:szCs w:val="22"/>
          <w:color w:val="auto"/>
        </w:rPr>
        <w:t>55 Almaden Blvd., 6th Floor</w:t>
      </w:r>
    </w:p>
    <w:p>
      <w:pPr>
        <w:jc w:val="center"/>
        <w:spacing w:after="0" w:line="205" w:lineRule="auto"/>
        <w:rPr>
          <w:sz w:val="20"/>
          <w:szCs w:val="20"/>
          <w:color w:val="auto"/>
        </w:rPr>
      </w:pPr>
      <w:r>
        <w:rPr>
          <w:rFonts w:ascii="Times New Roman" w:cs="Times New Roman" w:eastAsia="Times New Roman" w:hAnsi="Times New Roman"/>
          <w:sz w:val="22"/>
          <w:szCs w:val="22"/>
          <w:color w:val="auto"/>
        </w:rPr>
        <w:t>San Jose, California 95113</w:t>
      </w:r>
    </w:p>
    <w:p>
      <w:pPr>
        <w:spacing w:after="0" w:line="1" w:lineRule="exact"/>
        <w:rPr>
          <w:sz w:val="20"/>
          <w:szCs w:val="20"/>
          <w:color w:val="auto"/>
        </w:rPr>
      </w:pPr>
    </w:p>
    <w:p>
      <w:pPr>
        <w:ind w:left="5480" w:hanging="531"/>
        <w:spacing w:after="0"/>
        <w:tabs>
          <w:tab w:leader="none" w:pos="54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151" w:lineRule="exact"/>
        <w:rPr>
          <w:rFonts w:ascii="Times New Roman" w:cs="Times New Roman" w:eastAsia="Times New Roman" w:hAnsi="Times New Roman"/>
          <w:sz w:val="22"/>
          <w:szCs w:val="22"/>
          <w:color w:val="auto"/>
        </w:rPr>
      </w:pPr>
    </w:p>
    <w:p>
      <w:pPr>
        <w:ind w:right="20" w:firstLine="1304"/>
        <w:spacing w:after="0" w:line="238" w:lineRule="auto"/>
        <w:tabs>
          <w:tab w:leader="none" w:pos="1942"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Plan Administrator. </w:t>
      </w:r>
      <w:r>
        <w:rPr>
          <w:rFonts w:ascii="Times New Roman" w:cs="Times New Roman" w:eastAsia="Times New Roman" w:hAnsi="Times New Roman"/>
          <w:sz w:val="22"/>
          <w:szCs w:val="22"/>
          <w:color w:val="auto"/>
        </w:rPr>
        <w:t>The Plan Administrator is the Committee prior to the Closing and the Representative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and following the Closing. The Plan Administrator’s contact information 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color w:val="auto"/>
        </w:rPr>
        <w:t>Zoom Video Communications, Inc.</w:t>
      </w:r>
    </w:p>
    <w:p>
      <w:pPr>
        <w:jc w:val="center"/>
        <w:spacing w:after="0" w:line="204" w:lineRule="auto"/>
        <w:rPr>
          <w:sz w:val="20"/>
          <w:szCs w:val="20"/>
          <w:color w:val="auto"/>
        </w:rPr>
      </w:pPr>
      <w:r>
        <w:rPr>
          <w:rFonts w:ascii="Times New Roman" w:cs="Times New Roman" w:eastAsia="Times New Roman" w:hAnsi="Times New Roman"/>
          <w:sz w:val="22"/>
          <w:szCs w:val="22"/>
          <w:color w:val="auto"/>
        </w:rPr>
        <w:t>Compensation Committee of the Board of Directors or Representative</w:t>
      </w:r>
    </w:p>
    <w:p>
      <w:pPr>
        <w:jc w:val="center"/>
        <w:spacing w:after="0" w:line="205" w:lineRule="auto"/>
        <w:rPr>
          <w:sz w:val="20"/>
          <w:szCs w:val="20"/>
          <w:color w:val="auto"/>
        </w:rPr>
      </w:pPr>
      <w:r>
        <w:rPr>
          <w:rFonts w:ascii="Times New Roman" w:cs="Times New Roman" w:eastAsia="Times New Roman" w:hAnsi="Times New Roman"/>
          <w:sz w:val="22"/>
          <w:szCs w:val="22"/>
          <w:color w:val="auto"/>
        </w:rPr>
        <w:t>55 Almaden Blvd., 6th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San Jose, California 95113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Administrator is the named fiduciary charged with the responsibility for administering the Plan.</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21"/>
          <w:szCs w:val="21"/>
          <w:b w:val="1"/>
          <w:bCs w:val="1"/>
          <w:color w:val="auto"/>
        </w:rPr>
        <w:t>Statement of ERISA Rights.</w:t>
      </w:r>
    </w:p>
    <w:p>
      <w:pPr>
        <w:spacing w:after="0" w:line="195" w:lineRule="exact"/>
        <w:rPr>
          <w:sz w:val="20"/>
          <w:szCs w:val="20"/>
          <w:color w:val="auto"/>
        </w:rPr>
      </w:pPr>
    </w:p>
    <w:p>
      <w:pPr>
        <w:jc w:val="both"/>
        <w:ind w:firstLine="1219"/>
        <w:spacing w:after="0" w:line="225" w:lineRule="auto"/>
        <w:rPr>
          <w:sz w:val="20"/>
          <w:szCs w:val="20"/>
          <w:color w:val="auto"/>
        </w:rPr>
      </w:pPr>
      <w:r>
        <w:rPr>
          <w:rFonts w:ascii="Times New Roman" w:cs="Times New Roman" w:eastAsia="Times New Roman" w:hAnsi="Times New Roman"/>
          <w:sz w:val="22"/>
          <w:szCs w:val="22"/>
          <w:color w:val="auto"/>
        </w:rPr>
        <w:t>Participants in this Plan (which is a welfare benefit plan sponsored by Zoom Video Communications, Inc.) are entitled to certain rights and protections under ERISA. If you are an Eligible Employee, you are considered a participant in the Plan and, under ERISA, you are entitled to:</w:t>
      </w:r>
    </w:p>
    <w:p>
      <w:pPr>
        <w:spacing w:after="0" w:line="148" w:lineRule="exact"/>
        <w:rPr>
          <w:sz w:val="20"/>
          <w:szCs w:val="20"/>
          <w:color w:val="auto"/>
        </w:rPr>
      </w:pPr>
    </w:p>
    <w:p>
      <w:pPr>
        <w:ind w:left="1940" w:hanging="636"/>
        <w:spacing w:after="0"/>
        <w:tabs>
          <w:tab w:leader="none" w:pos="19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Receive Information About Your Plan and Benefits</w:t>
      </w:r>
    </w:p>
    <w:p>
      <w:pPr>
        <w:spacing w:after="0" w:line="183" w:lineRule="exact"/>
        <w:rPr>
          <w:rFonts w:ascii="Times New Roman" w:cs="Times New Roman" w:eastAsia="Times New Roman" w:hAnsi="Times New Roman"/>
          <w:sz w:val="20"/>
          <w:szCs w:val="20"/>
          <w:b w:val="1"/>
          <w:bCs w:val="1"/>
          <w:color w:val="auto"/>
        </w:rPr>
      </w:pPr>
    </w:p>
    <w:p>
      <w:pPr>
        <w:jc w:val="both"/>
        <w:ind w:left="80" w:firstLine="1953"/>
        <w:spacing w:after="0" w:line="220" w:lineRule="auto"/>
        <w:tabs>
          <w:tab w:leader="none" w:pos="2579"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52" w:lineRule="exact"/>
        <w:rPr>
          <w:rFonts w:ascii="Times New Roman" w:cs="Times New Roman" w:eastAsia="Times New Roman" w:hAnsi="Times New Roman"/>
          <w:sz w:val="20"/>
          <w:szCs w:val="20"/>
          <w:b w:val="1"/>
          <w:bCs w:val="1"/>
          <w:color w:val="auto"/>
        </w:rPr>
      </w:pPr>
    </w:p>
    <w:p>
      <w:pPr>
        <w:jc w:val="both"/>
        <w:ind w:left="80" w:firstLine="1953"/>
        <w:spacing w:after="0" w:line="225" w:lineRule="auto"/>
        <w:tabs>
          <w:tab w:leader="none" w:pos="2579"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52" w:lineRule="exact"/>
        <w:rPr>
          <w:rFonts w:ascii="Times New Roman" w:cs="Times New Roman" w:eastAsia="Times New Roman" w:hAnsi="Times New Roman"/>
          <w:sz w:val="20"/>
          <w:szCs w:val="20"/>
          <w:b w:val="1"/>
          <w:bCs w:val="1"/>
          <w:color w:val="auto"/>
        </w:rPr>
      </w:pPr>
    </w:p>
    <w:p>
      <w:pPr>
        <w:ind w:left="80" w:firstLine="1953"/>
        <w:spacing w:after="0" w:line="236" w:lineRule="auto"/>
        <w:tabs>
          <w:tab w:leader="none" w:pos="2579"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Receive a summary of the Plan’s annual financial report, if applicable. The Plan Administrator is required by law to furnish each Eligible Employee with a copy of this summary annual report.</w:t>
      </w:r>
    </w:p>
    <w:p>
      <w:pPr>
        <w:spacing w:after="0" w:line="146" w:lineRule="exact"/>
        <w:rPr>
          <w:sz w:val="20"/>
          <w:szCs w:val="20"/>
          <w:color w:val="auto"/>
        </w:rPr>
      </w:pPr>
    </w:p>
    <w:p>
      <w:pPr>
        <w:jc w:val="both"/>
        <w:ind w:firstLine="1304"/>
        <w:spacing w:after="0" w:line="218" w:lineRule="auto"/>
        <w:tabs>
          <w:tab w:leader="none" w:pos="1939"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Prudent Actions by Plan Fiduciaries. </w:t>
      </w:r>
      <w:r>
        <w:rPr>
          <w:rFonts w:ascii="Times New Roman" w:cs="Times New Roman" w:eastAsia="Times New Roman" w:hAnsi="Times New Roman"/>
          <w:sz w:val="22"/>
          <w:szCs w:val="22"/>
          <w:color w:val="auto"/>
        </w:rPr>
        <w:t>In addition to creating rights for Plan Eligible Employees, ERISA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imposes duties upon the 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47" w:lineRule="exact"/>
        <w:rPr>
          <w:rFonts w:ascii="Times New Roman" w:cs="Times New Roman" w:eastAsia="Times New Roman" w:hAnsi="Times New Roman"/>
          <w:sz w:val="20"/>
          <w:szCs w:val="20"/>
          <w:b w:val="1"/>
          <w:bCs w:val="1"/>
          <w:color w:val="auto"/>
        </w:rPr>
      </w:pPr>
    </w:p>
    <w:p>
      <w:pPr>
        <w:jc w:val="both"/>
        <w:ind w:firstLine="1304"/>
        <w:spacing w:after="0" w:line="227" w:lineRule="auto"/>
        <w:tabs>
          <w:tab w:leader="none" w:pos="1943"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Enforce Your Rights. </w:t>
      </w:r>
      <w:r>
        <w:rPr>
          <w:rFonts w:ascii="Times New Roman" w:cs="Times New Roman" w:eastAsia="Times New Roman" w:hAnsi="Times New Roman"/>
          <w:sz w:val="22"/>
          <w:szCs w:val="22"/>
          <w:color w:val="auto"/>
        </w:rPr>
        <w:t>If your claim for a Plan benefit is denied or ignored, in whole or in part, you have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know why this was done, to obtain copies of documents relating to the decision without charge, and to appeal any denial, all within certain time schedules.</w:t>
      </w:r>
    </w:p>
    <w:p>
      <w:pPr>
        <w:spacing w:after="0" w:line="150"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2"/>
          <w:szCs w:val="22"/>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If you have a claim for benefits which is denied or ignored, in whole or in part, you may file suit in a state</w:t>
      </w:r>
    </w:p>
    <w:p>
      <w:pPr>
        <w:spacing w:after="0"/>
        <w:rPr>
          <w:sz w:val="20"/>
          <w:szCs w:val="20"/>
          <w:color w:val="auto"/>
        </w:rPr>
      </w:pPr>
      <w:r>
        <w:rPr>
          <w:rFonts w:ascii="Times New Roman" w:cs="Times New Roman" w:eastAsia="Times New Roman" w:hAnsi="Times New Roman"/>
          <w:sz w:val="22"/>
          <w:szCs w:val="22"/>
          <w:color w:val="auto"/>
        </w:rPr>
        <w:t>or Federal court.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82" w:right="339" w:bottom="1440" w:gutter="0" w:footer="0" w:header="0"/>
        </w:sectPr>
      </w:pPr>
    </w:p>
    <w:bookmarkStart w:id="92" w:name="page93"/>
    <w:bookmarkEnd w:id="92"/>
    <w:p>
      <w:pPr>
        <w:jc w:val="both"/>
        <w:ind w:firstLine="1944"/>
        <w:spacing w:after="0" w:line="220" w:lineRule="auto"/>
        <w:rPr>
          <w:sz w:val="20"/>
          <w:szCs w:val="20"/>
          <w:color w:val="auto"/>
        </w:rPr>
      </w:pPr>
      <w:r>
        <w:rPr>
          <w:rFonts w:ascii="Times New Roman" w:cs="Times New Roman" w:eastAsia="Times New Roman" w:hAnsi="Times New Roman"/>
          <w:sz w:val="22"/>
          <w:szCs w:val="22"/>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48" w:lineRule="exact"/>
        <w:rPr>
          <w:sz w:val="20"/>
          <w:szCs w:val="20"/>
          <w:color w:val="auto"/>
        </w:rPr>
      </w:pPr>
    </w:p>
    <w:p>
      <w:pPr>
        <w:jc w:val="both"/>
        <w:ind w:firstLine="1304"/>
        <w:spacing w:after="0" w:line="214" w:lineRule="auto"/>
        <w:tabs>
          <w:tab w:leader="none" w:pos="1942"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Assistance with Your Questions. </w:t>
      </w:r>
      <w:r>
        <w:rPr>
          <w:rFonts w:ascii="Times New Roman" w:cs="Times New Roman" w:eastAsia="Times New Roman" w:hAnsi="Times New Roman"/>
          <w:sz w:val="22"/>
          <w:szCs w:val="22"/>
          <w:color w:val="auto"/>
        </w:rPr>
        <w:t>If you have any questions about the Plan, you should contact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Participation Agreement</w:t>
      </w:r>
    </w:p>
    <w:p>
      <w:pPr>
        <w:sectPr>
          <w:pgSz w:w="11900" w:h="16838" w:orient="portrait"/>
          <w:cols w:equalWidth="0" w:num="1">
            <w:col w:w="11240"/>
          </w:cols>
          <w:pgMar w:left="320" w:top="1391"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w:t>
      </w:r>
    </w:p>
    <w:p>
      <w:pPr>
        <w:spacing w:after="0" w:line="191" w:lineRule="exact"/>
        <w:rPr>
          <w:sz w:val="20"/>
          <w:szCs w:val="20"/>
          <w:color w:val="auto"/>
        </w:rPr>
      </w:pPr>
    </w:p>
    <w:p>
      <w:pPr>
        <w:sectPr>
          <w:pgSz w:w="11900" w:h="16838" w:orient="portrait"/>
          <w:cols w:equalWidth="0" w:num="2">
            <w:col w:w="620" w:space="320"/>
            <w:col w:w="10300"/>
          </w:cols>
          <w:pgMar w:left="320" w:top="139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Section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Eligibility.</w:t>
      </w:r>
    </w:p>
    <w:p>
      <w:pPr>
        <w:spacing w:after="0" w:line="195" w:lineRule="exact"/>
        <w:rPr>
          <w:sz w:val="20"/>
          <w:szCs w:val="20"/>
          <w:color w:val="auto"/>
        </w:rPr>
      </w:pPr>
    </w:p>
    <w:p>
      <w:pPr>
        <w:sectPr>
          <w:pgSz w:w="11900" w:h="16838" w:orient="portrait"/>
          <w:cols w:equalWidth="0" w:num="2">
            <w:col w:w="820" w:space="480"/>
            <w:col w:w="9940"/>
          </w:cols>
          <w:pgMar w:left="320" w:top="1391" w:right="339" w:bottom="1440" w:gutter="0" w:footer="0" w:header="0"/>
          <w:type w:val="continuous"/>
        </w:sect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You have been designated as eligible to participate in the Zoom Video Communications, Inc. Severance and Change in Control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 copy of which is attached to this Participation Agreement (the “</w:t>
      </w:r>
      <w:r>
        <w:rPr>
          <w:rFonts w:ascii="Times New Roman" w:cs="Times New Roman" w:eastAsia="Times New Roman" w:hAnsi="Times New Roman"/>
          <w:sz w:val="22"/>
          <w:szCs w:val="22"/>
          <w:b w:val="1"/>
          <w:bCs w:val="1"/>
          <w:i w:val="1"/>
          <w:iCs w:val="1"/>
          <w:color w:val="auto"/>
        </w:rPr>
        <w:t>Participation Agreement</w:t>
      </w:r>
      <w:r>
        <w:rPr>
          <w:rFonts w:ascii="Times New Roman" w:cs="Times New Roman" w:eastAsia="Times New Roman" w:hAnsi="Times New Roman"/>
          <w:sz w:val="22"/>
          <w:szCs w:val="22"/>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and this Participation Agreement. Notwithstanding the schedule for provision of benefits as set forth below, the schedule and timing of payment of any benefits under this Participant Agreement is subject to any delay in payment that may be required under Section 5 of the Plan. All severance benefits described herein are subject to standard deductions and withholdings.</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Change in Control Severance Benefits.</w:t>
      </w:r>
    </w:p>
    <w:p>
      <w:pPr>
        <w:spacing w:after="0" w:line="18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If your Covered Termination occurs during the Change in Control Period (a “</w:t>
      </w:r>
      <w:r>
        <w:rPr>
          <w:rFonts w:ascii="Times New Roman" w:cs="Times New Roman" w:eastAsia="Times New Roman" w:hAnsi="Times New Roman"/>
          <w:sz w:val="22"/>
          <w:szCs w:val="22"/>
          <w:b w:val="1"/>
          <w:bCs w:val="1"/>
          <w:i w:val="1"/>
          <w:iCs w:val="1"/>
          <w:color w:val="auto"/>
        </w:rPr>
        <w:t>CIC Covered Termination</w:t>
      </w:r>
      <w:r>
        <w:rPr>
          <w:rFonts w:ascii="Times New Roman" w:cs="Times New Roman" w:eastAsia="Times New Roman" w:hAnsi="Times New Roman"/>
          <w:sz w:val="22"/>
          <w:szCs w:val="22"/>
          <w:color w:val="auto"/>
        </w:rPr>
        <w:t>”), you will receive the severance benefits set forth in this Section 2. The severance benefits described in Section 2(a) and (b) below are expressly contingent on you executing the Release (as described in the Plan) within the applicable time period set forth therein and allowing such Release to become effective in accordance with its terms.</w:t>
      </w:r>
    </w:p>
    <w:p>
      <w:pPr>
        <w:spacing w:after="0" w:line="144" w:lineRule="exact"/>
        <w:rPr>
          <w:sz w:val="20"/>
          <w:szCs w:val="20"/>
          <w:color w:val="auto"/>
        </w:rPr>
      </w:pPr>
    </w:p>
    <w:p>
      <w:pPr>
        <w:jc w:val="both"/>
        <w:ind w:firstLine="1304"/>
        <w:spacing w:after="0" w:line="222" w:lineRule="auto"/>
        <w:tabs>
          <w:tab w:leader="none" w:pos="1932"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You shall receive a cash payment in an amount equal to six months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payment of your Base Salary. The Base Salary payment will be paid to you in a lump sum cash payment no later than the earliest of (i) 30 days following the effective date of the Release and (ii) March 15 of the year following the year in which your CIC Covered Termination occurs.</w:t>
      </w:r>
    </w:p>
    <w:p>
      <w:pPr>
        <w:spacing w:after="0" w:line="145" w:lineRule="exact"/>
        <w:rPr>
          <w:rFonts w:ascii="Times New Roman" w:cs="Times New Roman" w:eastAsia="Times New Roman" w:hAnsi="Times New Roman"/>
          <w:sz w:val="20"/>
          <w:szCs w:val="20"/>
          <w:b w:val="1"/>
          <w:bCs w:val="1"/>
          <w:color w:val="auto"/>
        </w:rPr>
      </w:pPr>
    </w:p>
    <w:p>
      <w:pPr>
        <w:jc w:val="both"/>
        <w:ind w:firstLine="1304"/>
        <w:spacing w:after="0" w:line="216" w:lineRule="auto"/>
        <w:tabs>
          <w:tab w:leader="none" w:pos="1943" w:val="left"/>
        </w:tabs>
        <w:numPr>
          <w:ilvl w:val="1"/>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Payment of Continued Group Health Plan Benefits</w:t>
      </w:r>
      <w:r>
        <w:rPr>
          <w:rFonts w:ascii="Times New Roman" w:cs="Times New Roman" w:eastAsia="Times New Roman" w:hAnsi="Times New Roman"/>
          <w:sz w:val="21"/>
          <w:szCs w:val="21"/>
          <w:color w:val="auto"/>
        </w:rPr>
        <w:t>. If you timely elect continued coverage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Consolidated Omnibus Budget Reconciliation Act of 1985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the Company will pay your COBRA premiums to continue your coverage (including coverage for your eligible dependents, if applicable) through the end of the Severance Period (the “</w:t>
      </w:r>
      <w:r>
        <w:rPr>
          <w:rFonts w:ascii="Times New Roman" w:cs="Times New Roman" w:eastAsia="Times New Roman" w:hAnsi="Times New Roman"/>
          <w:sz w:val="21"/>
          <w:szCs w:val="21"/>
          <w:b w:val="1"/>
          <w:bCs w:val="1"/>
          <w:i w:val="1"/>
          <w:iCs w:val="1"/>
          <w:color w:val="auto"/>
        </w:rPr>
        <w:t>COBRA Premium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the Company will instead pay to you, on the first day of each calendar month during the COBRA Premium Period, a fully taxable cash payment equal to the applicable COBRA premiums for that month, subject to required payroll deductions and withholdings (such amount, the “</w:t>
      </w:r>
      <w:r>
        <w:rPr>
          <w:rFonts w:ascii="Times New Roman" w:cs="Times New Roman" w:eastAsia="Times New Roman" w:hAnsi="Times New Roman"/>
          <w:sz w:val="21"/>
          <w:szCs w:val="21"/>
          <w:b w:val="1"/>
          <w:bCs w:val="1"/>
          <w:i w:val="1"/>
          <w:iCs w:val="1"/>
          <w:color w:val="auto"/>
        </w:rPr>
        <w:t>Special Cash Payment</w:t>
      </w:r>
      <w:r>
        <w:rPr>
          <w:rFonts w:ascii="Times New Roman" w:cs="Times New Roman" w:eastAsia="Times New Roman" w:hAnsi="Times New Roman"/>
          <w:sz w:val="21"/>
          <w:szCs w:val="21"/>
          <w:color w:val="auto"/>
        </w:rPr>
        <w:t>”), for the remainder of the COBRA Premium Period. You may, but are not obligated to, use such Special Cash Payments toward the cost of COBRA. For purposes of this Section 2(b), (i) references to COBRA shall be deemed to refer also to analogous provisions of state law and</w:t>
      </w:r>
    </w:p>
    <w:p>
      <w:pPr>
        <w:spacing w:after="0" w:line="7" w:lineRule="exact"/>
        <w:rPr>
          <w:rFonts w:ascii="Times New Roman" w:cs="Times New Roman" w:eastAsia="Times New Roman" w:hAnsi="Times New Roman"/>
          <w:sz w:val="19"/>
          <w:szCs w:val="19"/>
          <w:b w:val="1"/>
          <w:bCs w:val="1"/>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insurance premiums that are paid by the Company shall not include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1" w:right="339" w:bottom="1440" w:gutter="0" w:footer="0" w:header="0"/>
          <w:type w:val="continuous"/>
        </w:sectPr>
      </w:pPr>
    </w:p>
    <w:bookmarkStart w:id="94" w:name="page95"/>
    <w:bookmarkEnd w:id="94"/>
    <w:p>
      <w:pPr>
        <w:spacing w:after="0" w:line="236" w:lineRule="auto"/>
        <w:rPr>
          <w:sz w:val="20"/>
          <w:szCs w:val="20"/>
          <w:color w:val="auto"/>
        </w:rPr>
      </w:pPr>
      <w:r>
        <w:rPr>
          <w:rFonts w:ascii="Times New Roman" w:cs="Times New Roman" w:eastAsia="Times New Roman" w:hAnsi="Times New Roman"/>
          <w:sz w:val="22"/>
          <w:szCs w:val="22"/>
          <w:color w:val="auto"/>
        </w:rPr>
        <w:t>amounts payable by you under an Internal Revenue Code Section 125 health care reimbursement plan, which amounts, if any, are your sole responsibility.</w:t>
      </w:r>
    </w:p>
    <w:p>
      <w:pPr>
        <w:spacing w:after="0" w:line="146" w:lineRule="exact"/>
        <w:rPr>
          <w:sz w:val="20"/>
          <w:szCs w:val="20"/>
          <w:color w:val="auto"/>
        </w:rPr>
      </w:pPr>
    </w:p>
    <w:p>
      <w:pPr>
        <w:jc w:val="both"/>
        <w:ind w:firstLine="1304"/>
        <w:spacing w:after="0" w:line="213" w:lineRule="auto"/>
        <w:tabs>
          <w:tab w:leader="none" w:pos="1934"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The Company will accelerate the vesting of any then-outstanding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 awards and other then-outstanding equity compensation awards granted to you under the Equity Plan or otherwise granted to you by the Company (the “</w:t>
      </w:r>
      <w:r>
        <w:rPr>
          <w:rFonts w:ascii="Times New Roman" w:cs="Times New Roman" w:eastAsia="Times New Roman" w:hAnsi="Times New Roman"/>
          <w:sz w:val="22"/>
          <w:szCs w:val="22"/>
          <w:b w:val="1"/>
          <w:bCs w:val="1"/>
          <w:i w:val="1"/>
          <w:iCs w:val="1"/>
          <w:color w:val="auto"/>
        </w:rPr>
        <w:t>Equity Awards</w:t>
      </w:r>
      <w:r>
        <w:rPr>
          <w:rFonts w:ascii="Times New Roman" w:cs="Times New Roman" w:eastAsia="Times New Roman" w:hAnsi="Times New Roman"/>
          <w:sz w:val="22"/>
          <w:szCs w:val="22"/>
          <w:color w:val="auto"/>
        </w:rPr>
        <w:t>”) prior to the date of such CIC Covered Termination such that 100% of your then-outstanding Equity Awards will be deemed immediately vested and exercisable (as applicable) as of your CIC Covered Termination date (or the effective date of the Change in Control, if later). To the extent your CIC Covered Termination occurs prior to the Change in Control, the acceleration set forth in this Section 2(c) shall be contingent and effective upon the Closing of the Change in Control and your Equity Awards outstanding as of your CIC Covered Termination, as applicable, will remain outstanding following your CIC Covered Termination as necessary to give effect to such acceleration.</w:t>
      </w:r>
    </w:p>
    <w:p>
      <w:pPr>
        <w:spacing w:after="0" w:line="14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1"/>
          <w:szCs w:val="21"/>
          <w:b w:val="1"/>
          <w:bCs w:val="1"/>
          <w:color w:val="auto"/>
        </w:rPr>
        <w:t>Non-Change in Control Severance Benefits</w:t>
      </w:r>
      <w:r>
        <w:rPr>
          <w:rFonts w:ascii="Times New Roman" w:cs="Times New Roman" w:eastAsia="Times New Roman" w:hAnsi="Times New Roman"/>
          <w:sz w:val="21"/>
          <w:szCs w:val="21"/>
          <w:color w:val="auto"/>
        </w:rPr>
        <w:t>. If your Covered Termination occurs at a time that is not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Change in Control Period, you will receive the severance benefits set forth in this Section 3. The severance benefits described in this Section 3 are expressly contingent on you executing the Release (as described in the Plan) within the applicable time period set forth therein and allowing such Release to become effective in accordance with its terms.</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1"/>
          <w:szCs w:val="21"/>
          <w:b w:val="1"/>
          <w:bCs w:val="1"/>
          <w:color w:val="auto"/>
        </w:rPr>
        <w:t>Equity Acceleration</w:t>
      </w:r>
      <w:r>
        <w:rPr>
          <w:rFonts w:ascii="Times New Roman" w:cs="Times New Roman" w:eastAsia="Times New Roman" w:hAnsi="Times New Roman"/>
          <w:sz w:val="21"/>
          <w:szCs w:val="21"/>
          <w:color w:val="auto"/>
        </w:rPr>
        <w:t>. The Company will accelerate the vesting of any then-outstanding Equity Awards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color w:val="auto"/>
        </w:rPr>
        <w:t>the extent such awards were scheduled to vest during the 12-month period following the date of your Covered Termination based solely on your continued employment with the Company, had you remained employed by the Company through such date, such that such portion of your then-outstanding Equity Awards will be deemed immediately vested and exercisable (as applicable) as of the date immediately preceding your Covered Termination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shall not be eligible to receive any other benefits under the Plan except as described in this Section 3.</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For the avoidance of doubt, 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Acknowledgements; Interaction with Prior Benefits.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a condition to participation in the Plan, you hereby acknowledge each of the following:</w:t>
      </w:r>
    </w:p>
    <w:p>
      <w:pPr>
        <w:spacing w:after="0" w:line="206" w:lineRule="exact"/>
        <w:rPr>
          <w:sz w:val="20"/>
          <w:szCs w:val="20"/>
          <w:color w:val="auto"/>
        </w:rPr>
      </w:pPr>
    </w:p>
    <w:p>
      <w:pPr>
        <w:ind w:firstLine="1304"/>
        <w:spacing w:after="0" w:line="236" w:lineRule="auto"/>
        <w:tabs>
          <w:tab w:leader="none" w:pos="1943"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benefits that may be provided to you under this Participation Agreement are subject to certain reductions and termination under the Plan, including without limitation under Section 2 and Section 3 of the Plan.</w:t>
      </w:r>
    </w:p>
    <w:p>
      <w:pPr>
        <w:spacing w:after="0" w:line="150" w:lineRule="exact"/>
        <w:rPr>
          <w:rFonts w:ascii="Times New Roman" w:cs="Times New Roman" w:eastAsia="Times New Roman" w:hAnsi="Times New Roman"/>
          <w:sz w:val="20"/>
          <w:szCs w:val="20"/>
          <w:b w:val="1"/>
          <w:bCs w:val="1"/>
          <w:color w:val="auto"/>
        </w:rPr>
      </w:pPr>
    </w:p>
    <w:p>
      <w:pPr>
        <w:jc w:val="both"/>
        <w:ind w:firstLine="1304"/>
        <w:spacing w:after="0" w:line="217" w:lineRule="auto"/>
        <w:tabs>
          <w:tab w:leader="none" w:pos="193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 or as otherwise may be set forth in the Plan.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95" w:name="page96"/>
    <w:bookmarkEnd w:id="95"/>
    <w:p>
      <w:pPr>
        <w:jc w:val="both"/>
        <w:ind w:firstLine="1304"/>
        <w:spacing w:after="0" w:line="217" w:lineRule="auto"/>
        <w:tabs>
          <w:tab w:leader="none" w:pos="1939"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As further described in Section 2(c) of the Plan, this Participation Agreement and the Plan supersede and replace the change in control or severance benefits previously provided to you, including but not limited to such benefits under your employment offer letter or other written agreement with the Company, provided that your Equity Awards shall remain subject to the terms of the Equity Plan or other applicable equity plan under which such awards were granted (including the award documentation governing such awards) that may apply upon a Change in Control and/or termination of your service.</w:t>
      </w:r>
    </w:p>
    <w:p>
      <w:pPr>
        <w:spacing w:after="0" w:line="15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To accept the terms of this Participation Agreement and participate in the Plan, please sign and date this Participation Agreement in the space provided below and return it to _____________________ no later than _________, ____.</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Eligible Employee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269871456 v8</w:t>
      </w:r>
    </w:p>
    <w:p>
      <w:pPr>
        <w:sectPr>
          <w:pgSz w:w="11900" w:h="16838" w:orient="portrait"/>
          <w:cols w:equalWidth="0" w:num="1">
            <w:col w:w="11240"/>
          </w:cols>
          <w:pgMar w:left="320" w:top="139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211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780" w:val="left"/>
        </w:tabs>
        <w:rPr>
          <w:sz w:val="20"/>
          <w:szCs w:val="20"/>
          <w:color w:val="auto"/>
        </w:rPr>
      </w:pPr>
      <w:r>
        <w:rPr>
          <w:rFonts w:ascii="Times New Roman" w:cs="Times New Roman" w:eastAsia="Times New Roman" w:hAnsi="Times New Roman"/>
          <w:sz w:val="18"/>
          <w:szCs w:val="18"/>
          <w:color w:val="auto"/>
        </w:rPr>
        <w:t>Date: August 24, 2022</w:t>
      </w:r>
      <w:r>
        <w:rPr>
          <w:sz w:val="20"/>
          <w:szCs w:val="20"/>
          <w:color w:val="auto"/>
        </w:rPr>
        <w:tab/>
      </w:r>
      <w:r>
        <w:rPr>
          <w:rFonts w:ascii="Times New Roman" w:cs="Times New Roman" w:eastAsia="Times New Roman" w:hAnsi="Times New Roman"/>
          <w:sz w:val="17"/>
          <w:szCs w:val="17"/>
          <w:color w:val="auto"/>
        </w:rPr>
        <w:t>Eric S. Yuan</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22117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Times New Roman" w:cs="Times New Roman" w:eastAsia="Times New Roman" w:hAnsi="Times New Roman"/>
          <w:sz w:val="18"/>
          <w:szCs w:val="18"/>
          <w:color w:val="auto"/>
        </w:rPr>
        <w:t>Date: August 24, 2022</w:t>
      </w:r>
      <w:r>
        <w:rPr>
          <w:sz w:val="20"/>
          <w:szCs w:val="20"/>
          <w:color w:val="auto"/>
        </w:rPr>
        <w:tab/>
      </w:r>
      <w:r>
        <w:rPr>
          <w:rFonts w:ascii="Times New Roman" w:cs="Times New Roman" w:eastAsia="Times New Roman" w:hAnsi="Times New Roman"/>
          <w:sz w:val="17"/>
          <w:szCs w:val="17"/>
          <w:color w:val="auto"/>
        </w:rPr>
        <w:t>Kelly Steckelberg</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62"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July 31,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August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Eric S. Yuan</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July 31, 2022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August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Kelly Steckelberg</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6"/>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lowerRoman"/>
      <w:start w:val="1"/>
    </w:lvl>
  </w:abstractNum>
  <w:abstractNum w:abstractNumId="22">
    <w:nsid w:val="57E4CCAF"/>
    <w:multiLevelType w:val="hybridMultilevel"/>
    <w:lvl w:ilvl="0">
      <w:lvlJc w:val="left"/>
      <w:lvlText w:val="%1"/>
      <w:numFmt w:val="decimal"/>
      <w:start w:val="104"/>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
      <w:numFmt w:val="bullet"/>
      <w:start w:val="1"/>
    </w:lvl>
    <w:lvl w:ilvl="1">
      <w:lvlJc w:val="left"/>
      <w:lvlText w:val="(%2)"/>
      <w:numFmt w:val="lowerLetter"/>
      <w:start w:val="3"/>
    </w:lvl>
  </w:abstractNum>
  <w:abstractNum w:abstractNumId="27">
    <w:nsid w:val="38437FDB"/>
    <w:multiLevelType w:val="hybridMultilevel"/>
    <w:lvl w:ilvl="0">
      <w:lvlJc w:val="left"/>
      <w:lvlText w:val="●"/>
      <w:numFmt w:val="bullet"/>
      <w:start w:val="1"/>
    </w:lvl>
    <w:lvl w:ilvl="1">
      <w:lvlJc w:val="left"/>
      <w:lvlText w:val="(%2)"/>
      <w:numFmt w:val="lowerLetter"/>
      <w:start w:val="2"/>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o"/>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5"/>
    </w:lvl>
  </w:abstractNum>
  <w:abstractNum w:abstractNumId="32">
    <w:nsid w:val="749ABB43"/>
    <w:multiLevelType w:val="hybridMultilevel"/>
    <w:lvl w:ilvl="0">
      <w:lvlJc w:val="left"/>
      <w:lvlText w:val="%1."/>
      <w:numFmt w:val="decimal"/>
      <w:start w:val="7"/>
    </w:lvl>
  </w:abstractNum>
  <w:abstractNum w:abstractNumId="33">
    <w:nsid w:val="3DC240FB"/>
    <w:multiLevelType w:val="hybridMultilevel"/>
    <w:lvl w:ilvl="0">
      <w:lvlJc w:val="left"/>
      <w:lvlText w:val="(%1)"/>
      <w:numFmt w:val="upperLetter"/>
      <w:start w:val="3"/>
    </w:lvl>
  </w:abstractNum>
  <w:abstractNum w:abstractNumId="34">
    <w:nsid w:val="1BA026FA"/>
    <w:multiLevelType w:val="hybridMultilevel"/>
    <w:lvl w:ilvl="0">
      <w:lvlJc w:val="left"/>
      <w:lvlText w:val="%1."/>
      <w:numFmt w:val="decimal"/>
      <w:start w:val="10"/>
    </w:lvl>
  </w:abstractNum>
  <w:abstractNum w:abstractNumId="35">
    <w:nsid w:val="79A1DEAA"/>
    <w:multiLevelType w:val="hybridMultilevel"/>
    <w:lvl w:ilvl="0">
      <w:lvlJc w:val="left"/>
      <w:lvlText w:val="%1."/>
      <w:numFmt w:val="decimal"/>
      <w:start w:val="1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7"/>
    </w:lvl>
    <w:lvl w:ilvl="1">
      <w:lvlJc w:val="left"/>
      <w:lvlText w:val="(%2)"/>
      <w:numFmt w:val="decimal"/>
      <w:start w:val="1"/>
    </w:lvl>
  </w:abstractNum>
  <w:abstractNum w:abstractNumId="38">
    <w:nsid w:val="70C6A529"/>
    <w:multiLevelType w:val="hybridMultilevel"/>
    <w:lvl w:ilvl="0">
      <w:lvlJc w:val="left"/>
      <w:lvlText w:val="(%1)"/>
      <w:numFmt w:val="decimal"/>
      <w:start w:val="2"/>
    </w:lvl>
  </w:abstractNum>
  <w:abstractNum w:abstractNumId="39">
    <w:nsid w:val="520EEDD1"/>
    <w:multiLevelType w:val="hybridMultilevel"/>
    <w:lvl w:ilvl="0">
      <w:lvlJc w:val="left"/>
      <w:lvlText w:val="(%1)"/>
      <w:numFmt w:val="lowerLetter"/>
      <w:start w:val="19"/>
    </w:lvl>
  </w:abstractNum>
  <w:abstractNum w:abstractNumId="40">
    <w:nsid w:val="374A3FE6"/>
    <w:multiLevelType w:val="hybridMultilevel"/>
    <w:lvl w:ilvl="0">
      <w:lvlJc w:val="left"/>
      <w:lvlText w:val="(%1)"/>
      <w:numFmt w:val="lowerLetter"/>
      <w:start w:val="22"/>
    </w:lvl>
  </w:abstractNum>
  <w:abstractNum w:abstractNumId="41">
    <w:nsid w:val="4F4EF005"/>
    <w:multiLevelType w:val="hybridMultilevel"/>
    <w:lvl w:ilvl="0">
      <w:lvlJc w:val="left"/>
      <w:lvlText w:val="(%1)"/>
      <w:numFmt w:val="lowerLetter"/>
      <w:start w:val="24"/>
    </w:lvl>
    <w:lvl w:ilvl="1">
      <w:lvlJc w:val="left"/>
      <w:lvlText w:val="(%2)"/>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4"/>
    </w:lvl>
  </w:abstractNum>
  <w:abstractNum w:abstractNumId="45">
    <w:nsid w:val="39386575"/>
    <w:multiLevelType w:val="hybridMultilevel"/>
    <w:lvl w:ilvl="0">
      <w:lvlJc w:val="left"/>
      <w:lvlText w:val="(%1)"/>
      <w:numFmt w:val="lowerRoman"/>
      <w:start w:val="10"/>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2"/>
    </w:lvl>
    <w:lvl w:ilvl="1">
      <w:lvlJc w:val="left"/>
      <w:lvlText w:val="(%2)"/>
      <w:numFmt w:val="decimal"/>
      <w:start w:val="1"/>
    </w:lvl>
  </w:abstractNum>
  <w:abstractNum w:abstractNumId="49">
    <w:nsid w:val="47398C89"/>
    <w:multiLevelType w:val="hybridMultilevel"/>
    <w:lvl w:ilvl="0">
      <w:lvlJc w:val="left"/>
      <w:lvlText w:val="(%1)"/>
      <w:numFmt w:val="lowerLetter"/>
      <w:start w:val="3"/>
    </w:lvl>
  </w:abstractNum>
  <w:abstractNum w:abstractNumId="50">
    <w:nsid w:val="354FE9F9"/>
    <w:multiLevelType w:val="hybridMultilevel"/>
    <w:lvl w:ilvl="0">
      <w:lvlJc w:val="left"/>
      <w:lvlText w:val="(%1)"/>
      <w:numFmt w:val="lowerLetter"/>
      <w:start w:val="4"/>
    </w:lvl>
    <w:lvl w:ilvl="1">
      <w:lvlJc w:val="left"/>
      <w:lvlText w:val="(%2)"/>
      <w:numFmt w:val="decimal"/>
      <w:start w:val="5"/>
    </w:lvl>
  </w:abstractNum>
  <w:abstractNum w:abstractNumId="51">
    <w:nsid w:val="15B5AF5C"/>
    <w:multiLevelType w:val="hybridMultilevel"/>
    <w:lvl w:ilvl="0">
      <w:lvlJc w:val="left"/>
      <w:lvlText w:val="%1"/>
      <w:numFmt w:val="lowerLetter"/>
      <w:start w:val="1"/>
    </w:lvl>
    <w:lvl w:ilvl="1">
      <w:lvlJc w:val="left"/>
      <w:lvlText w:val="(%2)"/>
      <w:numFmt w:val="lowerLetter"/>
      <w:start w:val="5"/>
    </w:lvl>
  </w:abstractNum>
  <w:abstractNum w:abstractNumId="52">
    <w:nsid w:val="741226BB"/>
    <w:multiLevelType w:val="hybridMultilevel"/>
    <w:lvl w:ilvl="0">
      <w:lvlJc w:val="left"/>
      <w:lvlText w:val="(%1)"/>
      <w:numFmt w:val="lowerLetter"/>
      <w:start w:val="9"/>
    </w:lvl>
    <w:lvl w:ilvl="1">
      <w:lvlJc w:val="left"/>
      <w:lvlText w:val="%2"/>
      <w:numFmt w:val="lowerLetter"/>
      <w:start w:val="1"/>
    </w:lvl>
  </w:abstractNum>
  <w:abstractNum w:abstractNumId="53">
    <w:nsid w:val="D34B6A8"/>
    <w:multiLevelType w:val="hybridMultilevel"/>
    <w:lvl w:ilvl="0">
      <w:lvlJc w:val="left"/>
      <w:lvlText w:val="(%1)"/>
      <w:numFmt w:val="lowerLetter"/>
      <w:start w:val="5"/>
    </w:lvl>
  </w:abstractNum>
  <w:abstractNum w:abstractNumId="54">
    <w:nsid w:val="10233C99"/>
    <w:multiLevelType w:val="hybridMultilevel"/>
    <w:lvl w:ilvl="0">
      <w:lvlJc w:val="left"/>
      <w:lvlText w:val="(%1)"/>
      <w:numFmt w:val="lowerLetter"/>
      <w:start w:val="8"/>
    </w:lvl>
  </w:abstractNum>
  <w:abstractNum w:abstractNumId="55">
    <w:nsid w:val="3F6AB60F"/>
    <w:multiLevelType w:val="hybridMultilevel"/>
    <w:lvl w:ilvl="0">
      <w:lvlJc w:val="left"/>
      <w:lvlText w:val="%1"/>
      <w:numFmt w:val="lowerRoman"/>
      <w:start w:val="1"/>
    </w:lvl>
    <w:lvl w:ilvl="1">
      <w:lvlJc w:val="left"/>
      <w:lvlText w:val="(%2)"/>
      <w:numFmt w:val="decimal"/>
      <w:start w:val="888"/>
    </w:lvl>
  </w:abstractNum>
  <w:abstractNum w:abstractNumId="56">
    <w:nsid w:val="61574095"/>
    <w:multiLevelType w:val="hybridMultilevel"/>
    <w:lvl w:ilvl="0">
      <w:lvlJc w:val="left"/>
      <w:lvlText w:val="(%1)"/>
      <w:numFmt w:val="lowerRoman"/>
      <w:start w:val="1"/>
    </w:lvl>
    <w:lvl w:ilvl="1">
      <w:lvlJc w:val="left"/>
      <w:lvlText w:val="%2"/>
      <w:numFmt w:val="decimal"/>
      <w:start w:val="1"/>
    </w:lvl>
  </w:abstractNum>
  <w:abstractNum w:abstractNumId="57">
    <w:nsid w:val="7E0C57B1"/>
    <w:multiLevelType w:val="hybridMultilevel"/>
    <w:lvl w:ilvl="0">
      <w:lvlJc w:val="left"/>
      <w:lvlText w:val="(%1)"/>
      <w:numFmt w:val="lowerLetter"/>
      <w:start w:val="3"/>
    </w:lvl>
    <w:lvl w:ilvl="1">
      <w:lvlJc w:val="left"/>
      <w:lvlText w:val="(%2)"/>
      <w:numFmt w:val="decimal"/>
      <w:start w:val="1"/>
    </w:lvl>
  </w:abstractNum>
  <w:abstractNum w:abstractNumId="58">
    <w:nsid w:val="77AE35EB"/>
    <w:multiLevelType w:val="hybridMultilevel"/>
    <w:lvl w:ilvl="0">
      <w:lvlJc w:val="left"/>
      <w:lvlText w:val="(%1)"/>
      <w:numFmt w:val="lowerLetter"/>
      <w:start w:val="10"/>
    </w:lvl>
  </w:abstractNum>
  <w:abstractNum w:abstractNumId="59">
    <w:nsid w:val="579BE4F1"/>
    <w:multiLevelType w:val="hybridMultilevel"/>
    <w:lvl w:ilvl="0">
      <w:lvlJc w:val="left"/>
      <w:lvlText w:val="(%1)"/>
      <w:numFmt w:val="lowerLetter"/>
      <w:start w:val="12"/>
    </w:lvl>
  </w:abstractNum>
  <w:abstractNum w:abstractNumId="60">
    <w:nsid w:val="310C50B3"/>
    <w:multiLevelType w:val="hybridMultilevel"/>
    <w:lvl w:ilvl="0">
      <w:lvlJc w:val="left"/>
      <w:lvlText w:val="%1"/>
      <w:numFmt w:val="lowerLetter"/>
      <w:start w:val="1"/>
    </w:lvl>
    <w:lvl w:ilvl="1">
      <w:lvlJc w:val="left"/>
      <w:lvlText w:val="(%2)"/>
      <w:numFmt w:val="lowerLetter"/>
      <w:start w:val="1"/>
    </w:lvl>
  </w:abstractNum>
  <w:abstractNum w:abstractNumId="61">
    <w:nsid w:val="5FF87E05"/>
    <w:multiLevelType w:val="hybridMultilevel"/>
    <w:lvl w:ilvl="0">
      <w:lvlJc w:val="left"/>
      <w:lvlText w:val="(%1)"/>
      <w:numFmt w:val="lowerLetter"/>
      <w:start w:val="35"/>
    </w:lvl>
    <w:lvl w:ilvl="1">
      <w:lvlJc w:val="left"/>
      <w:lvlText w:val="%2"/>
      <w:numFmt w:val="lowerLetter"/>
      <w:start w:val="1"/>
    </w:lvl>
  </w:abstractNum>
  <w:abstractNum w:abstractNumId="62">
    <w:nsid w:val="2F305DEF"/>
    <w:multiLevelType w:val="hybridMultilevel"/>
    <w:lvl w:ilvl="0">
      <w:lvlJc w:val="left"/>
      <w:lvlText w:val="(%1)"/>
      <w:numFmt w:val="lowerLetter"/>
      <w:start w:val="3"/>
    </w:lvl>
  </w:abstractNum>
  <w:abstractNum w:abstractNumId="63">
    <w:nsid w:val="25A70BF7"/>
    <w:multiLevelType w:val="hybridMultilevel"/>
    <w:lvl w:ilvl="0">
      <w:lvlJc w:val="left"/>
      <w:lvlText w:val="(%1)"/>
      <w:numFmt w:val="lowerLetter"/>
      <w:start w:val="4"/>
    </w:lvl>
  </w:abstractNum>
  <w:abstractNum w:abstractNumId="64">
    <w:nsid w:val="1DBABF00"/>
    <w:multiLevelType w:val="hybridMultilevel"/>
    <w:lvl w:ilvl="0">
      <w:lvlJc w:val="left"/>
      <w:lvlText w:val="(%1)"/>
      <w:numFmt w:val="lowerLetter"/>
      <w:start w:val="6"/>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87" Type="http://schemas.openxmlformats.org/officeDocument/2006/relationships/hyperlink" Target="http://www.sec.gov/Archives/edgar/data/1585521/000119312519115111/d736915dex31.htm" TargetMode="External"/><Relationship Id="rId88"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2022-08-24T15:09:41Z</dcterms:created>
  <dcterms:modified xsi:type="dcterms:W3CDTF">2022-08-24T15:09:41Z</dcterms:modified>
</cp:coreProperties>
</file>