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wp:posOffset>
            </wp:positionH>
            <wp:positionV relativeFrom="paragraph">
              <wp:posOffset>210185</wp:posOffset>
            </wp:positionV>
            <wp:extent cx="68872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698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230505</wp:posOffset>
            </wp:positionV>
            <wp:extent cx="6887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7210" cy="698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1" w:lineRule="exact"/>
        <w:rPr>
          <w:sz w:val="24"/>
          <w:szCs w:val="24"/>
          <w:color w:val="auto"/>
        </w:rPr>
      </w:pPr>
    </w:p>
    <w:p>
      <w:pPr>
        <w:ind w:left="560" w:hanging="541"/>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January 31, 2025</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1" w:lineRule="exact"/>
        <w:rPr>
          <w:sz w:val="24"/>
          <w:szCs w:val="24"/>
          <w:color w:val="auto"/>
        </w:rPr>
      </w:pPr>
    </w:p>
    <w:p>
      <w:pPr>
        <w:ind w:left="580" w:hanging="540"/>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4" w:lineRule="exact"/>
        <w:rPr>
          <w:sz w:val="24"/>
          <w:szCs w:val="24"/>
          <w:color w:val="auto"/>
        </w:rPr>
      </w:pPr>
    </w:p>
    <w:tbl>
      <w:tblPr>
        <w:tblLayout w:type="fixed"/>
        <w:tblInd w:w="362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580" w:type="dxa"/>
            <w:vAlign w:val="bottom"/>
            <w:tcBorders>
              <w:bottom w:val="single" w:sz="8" w:color="auto"/>
            </w:tcBorders>
          </w:tcPr>
          <w:p>
            <w:pPr>
              <w:spacing w:after="0"/>
              <w:rPr>
                <w:sz w:val="13"/>
                <w:szCs w:val="13"/>
                <w:color w:val="auto"/>
              </w:rPr>
            </w:pPr>
          </w:p>
        </w:tc>
      </w:tr>
      <w:tr>
        <w:trPr>
          <w:trHeight w:val="194"/>
        </w:trPr>
        <w:tc>
          <w:tcPr>
            <w:tcW w:w="3220" w:type="dxa"/>
            <w:vAlign w:val="bottom"/>
            <w:gridSpan w:val="2"/>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Commission File Number 001-38865</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49"/>
        </w:trPr>
        <w:tc>
          <w:tcPr>
            <w:tcW w:w="40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r>
    </w:tbl>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25"/>
                <w:szCs w:val="25"/>
                <w:b w:val="1"/>
                <w:bCs w:val="1"/>
                <w:color w:val="auto"/>
              </w:rPr>
              <w:t>Zoom Communications, Inc.</w:t>
            </w:r>
          </w:p>
        </w:tc>
        <w:tc>
          <w:tcPr>
            <w:tcW w:w="3520" w:type="dxa"/>
            <w:vAlign w:val="bottom"/>
          </w:tcPr>
          <w:p>
            <w:pPr>
              <w:spacing w:after="0"/>
              <w:rPr>
                <w:sz w:val="24"/>
                <w:szCs w:val="24"/>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40" w:type="dxa"/>
            <w:vAlign w:val="bottom"/>
            <w:gridSpan w:val="6"/>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35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c>
          <w:tcPr>
            <w:tcW w:w="35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3720" w:type="dxa"/>
            <w:vAlign w:val="bottom"/>
          </w:tcPr>
          <w:p>
            <w:pPr>
              <w:jc w:val="center"/>
              <w:ind w:left="1858"/>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20" w:type="dxa"/>
            <w:vAlign w:val="bottom"/>
          </w:tcPr>
          <w:p>
            <w:pPr>
              <w:jc w:val="center"/>
              <w:ind w:right="2038"/>
              <w:spacing w:after="0"/>
              <w:rPr>
                <w:sz w:val="20"/>
                <w:szCs w:val="20"/>
                <w:color w:val="auto"/>
              </w:rPr>
            </w:pPr>
            <w:r>
              <w:rPr>
                <w:rFonts w:ascii="Times New Roman" w:cs="Times New Roman" w:eastAsia="Times New Roman" w:hAnsi="Times New Roman"/>
                <w:sz w:val="13"/>
                <w:szCs w:val="13"/>
                <w:b w:val="1"/>
                <w:bCs w:val="1"/>
                <w:color w:val="auto"/>
                <w:w w:val="98"/>
              </w:rPr>
              <w:t>61-1648780</w:t>
            </w:r>
          </w:p>
        </w:tc>
      </w:tr>
      <w:tr>
        <w:trPr>
          <w:trHeight w:val="132"/>
        </w:trPr>
        <w:tc>
          <w:tcPr>
            <w:tcW w:w="20" w:type="dxa"/>
            <w:vAlign w:val="bottom"/>
          </w:tcPr>
          <w:p>
            <w:pPr>
              <w:spacing w:after="0"/>
              <w:rPr>
                <w:sz w:val="11"/>
                <w:szCs w:val="11"/>
                <w:color w:val="auto"/>
              </w:rPr>
            </w:pPr>
          </w:p>
        </w:tc>
        <w:tc>
          <w:tcPr>
            <w:tcW w:w="3720" w:type="dxa"/>
            <w:vAlign w:val="bottom"/>
          </w:tcPr>
          <w:p>
            <w:pPr>
              <w:jc w:val="center"/>
              <w:ind w:left="1858"/>
              <w:spacing w:after="0" w:line="13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20" w:type="dxa"/>
            <w:vAlign w:val="bottom"/>
          </w:tcPr>
          <w:p>
            <w:pPr>
              <w:jc w:val="center"/>
              <w:ind w:right="2018"/>
              <w:spacing w:after="0" w:line="13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7"/>
        </w:trPr>
        <w:tc>
          <w:tcPr>
            <w:tcW w:w="20" w:type="dxa"/>
            <w:vAlign w:val="bottom"/>
          </w:tcPr>
          <w:p>
            <w:pPr>
              <w:spacing w:after="0"/>
              <w:rPr>
                <w:sz w:val="14"/>
                <w:szCs w:val="14"/>
                <w:color w:val="auto"/>
              </w:rPr>
            </w:pPr>
          </w:p>
        </w:tc>
        <w:tc>
          <w:tcPr>
            <w:tcW w:w="3720" w:type="dxa"/>
            <w:vAlign w:val="bottom"/>
          </w:tcPr>
          <w:p>
            <w:pPr>
              <w:jc w:val="center"/>
              <w:ind w:left="1858"/>
              <w:spacing w:after="0"/>
              <w:rPr>
                <w:sz w:val="20"/>
                <w:szCs w:val="20"/>
                <w:color w:val="auto"/>
              </w:rPr>
            </w:pPr>
            <w:r>
              <w:rPr>
                <w:rFonts w:ascii="Times New Roman" w:cs="Times New Roman" w:eastAsia="Times New Roman" w:hAnsi="Times New Roman"/>
                <w:sz w:val="13"/>
                <w:szCs w:val="13"/>
                <w:b w:val="1"/>
                <w:bCs w:val="1"/>
                <w:color w:val="auto"/>
                <w:w w:val="97"/>
              </w:rPr>
              <w:t>of incorporation or organization)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20" w:type="dxa"/>
            <w:vAlign w:val="bottom"/>
          </w:tcPr>
          <w:p>
            <w:pPr>
              <w:jc w:val="center"/>
              <w:ind w:right="201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61"/>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55 Almaden Boulevard, 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520" w:type="dxa"/>
            <w:vAlign w:val="bottom"/>
          </w:tcPr>
          <w:p>
            <w:pPr>
              <w:spacing w:after="0"/>
              <w:rPr>
                <w:sz w:val="22"/>
                <w:szCs w:val="22"/>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San Jose, California 95113</w:t>
            </w:r>
          </w:p>
        </w:tc>
        <w:tc>
          <w:tcPr>
            <w:tcW w:w="3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1"/>
                <w:szCs w:val="11"/>
                <w:b w:val="1"/>
                <w:bCs w:val="1"/>
                <w:i w:val="1"/>
                <w:iCs w:val="1"/>
                <w:color w:val="auto"/>
              </w:rPr>
              <w:t>(Address of principal executive offices and Zip Code)</w:t>
            </w:r>
          </w:p>
        </w:tc>
        <w:tc>
          <w:tcPr>
            <w:tcW w:w="35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160" w:type="dxa"/>
            <w:vAlign w:val="bottom"/>
            <w:gridSpan w:val="5"/>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(888) 799-9666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1"/>
                <w:szCs w:val="11"/>
                <w:b w:val="1"/>
                <w:bCs w:val="1"/>
                <w:i w:val="1"/>
                <w:iCs w:val="1"/>
                <w:color w:val="auto"/>
              </w:rPr>
              <w:t>(Registrant’s telephone number, including area code)</w:t>
            </w:r>
          </w:p>
        </w:tc>
        <w:tc>
          <w:tcPr>
            <w:tcW w:w="35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c>
          <w:tcPr>
            <w:tcW w:w="3520" w:type="dxa"/>
            <w:vAlign w:val="bottom"/>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5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3720" w:type="dxa"/>
            <w:vAlign w:val="bottom"/>
          </w:tcPr>
          <w:p>
            <w:pPr>
              <w:jc w:val="center"/>
              <w:ind w:left="498"/>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5"/>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520" w:type="dxa"/>
            <w:vAlign w:val="bottom"/>
          </w:tcPr>
          <w:p>
            <w:pPr>
              <w:jc w:val="center"/>
              <w:ind w:right="678"/>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40"/>
        </w:trPr>
        <w:tc>
          <w:tcPr>
            <w:tcW w:w="20" w:type="dxa"/>
            <w:vAlign w:val="bottom"/>
          </w:tcPr>
          <w:p>
            <w:pPr>
              <w:spacing w:after="0"/>
              <w:rPr>
                <w:sz w:val="12"/>
                <w:szCs w:val="12"/>
                <w:color w:val="auto"/>
              </w:rPr>
            </w:pPr>
          </w:p>
        </w:tc>
        <w:tc>
          <w:tcPr>
            <w:tcW w:w="3720" w:type="dxa"/>
            <w:vAlign w:val="bottom"/>
            <w:tcBorders>
              <w:top w:val="single" w:sz="8" w:color="auto"/>
            </w:tcBorders>
          </w:tcPr>
          <w:p>
            <w:pPr>
              <w:jc w:val="center"/>
              <w:ind w:left="498"/>
              <w:spacing w:after="0"/>
              <w:rPr>
                <w:sz w:val="20"/>
                <w:szCs w:val="20"/>
                <w:color w:val="auto"/>
              </w:rPr>
            </w:pPr>
            <w:r>
              <w:rPr>
                <w:rFonts w:ascii="Times New Roman" w:cs="Times New Roman" w:eastAsia="Times New Roman" w:hAnsi="Times New Roman"/>
                <w:sz w:val="11"/>
                <w:szCs w:val="11"/>
                <w:color w:val="auto"/>
              </w:rPr>
              <w:t>Class A Common Stock, $0.001 par value per share</w:t>
            </w: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ZM</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678"/>
              <w:spacing w:after="0"/>
              <w:rPr>
                <w:sz w:val="20"/>
                <w:szCs w:val="20"/>
                <w:color w:val="auto"/>
              </w:rPr>
            </w:pPr>
            <w:r>
              <w:rPr>
                <w:rFonts w:ascii="Times New Roman" w:cs="Times New Roman" w:eastAsia="Times New Roman" w:hAnsi="Times New Roman"/>
                <w:sz w:val="11"/>
                <w:szCs w:val="11"/>
                <w:color w:val="auto"/>
              </w:rPr>
              <w:t>The Nasdaq Global Select Market</w:t>
            </w:r>
          </w:p>
        </w:tc>
      </w:tr>
      <w:tr>
        <w:trPr>
          <w:trHeight w:val="492"/>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98"/>
        </w:trPr>
        <w:tc>
          <w:tcPr>
            <w:tcW w:w="54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tc>
        <w:tc>
          <w:tcPr>
            <w:tcW w:w="420" w:type="dxa"/>
            <w:vAlign w:val="bottom"/>
          </w:tcPr>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190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520" w:type="dxa"/>
            <w:vAlign w:val="bottom"/>
          </w:tcPr>
          <w:p>
            <w:pPr>
              <w:spacing w:after="0"/>
              <w:rPr>
                <w:sz w:val="17"/>
                <w:szCs w:val="17"/>
                <w:color w:val="auto"/>
              </w:rPr>
            </w:pPr>
          </w:p>
        </w:tc>
      </w:tr>
      <w:tr>
        <w:trPr>
          <w:trHeight w:val="191"/>
        </w:trPr>
        <w:tc>
          <w:tcPr>
            <w:tcW w:w="54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Act.</w:t>
            </w:r>
          </w:p>
        </w:tc>
        <w:tc>
          <w:tcPr>
            <w:tcW w:w="42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w w:val="97"/>
              </w:rPr>
              <w:t xml:space="preserve">Yes </w:t>
            </w:r>
            <w:r>
              <w:rPr>
                <w:rFonts w:ascii="MS PGothic" w:cs="MS PGothic" w:eastAsia="MS PGothic" w:hAnsi="MS PGothic"/>
                <w:sz w:val="11"/>
                <w:szCs w:val="11"/>
                <w:color w:val="auto"/>
                <w:w w:val="97"/>
              </w:rPr>
              <w:t>☐</w:t>
            </w:r>
          </w:p>
        </w:tc>
        <w:tc>
          <w:tcPr>
            <w:tcW w:w="1900" w:type="dxa"/>
            <w:vAlign w:val="bottom"/>
            <w:gridSpan w:val="3"/>
          </w:tcPr>
          <w:p>
            <w:pPr>
              <w:ind w:left="10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520" w:type="dxa"/>
            <w:vAlign w:val="bottom"/>
          </w:tcPr>
          <w:p>
            <w:pPr>
              <w:spacing w:after="0"/>
              <w:rPr>
                <w:sz w:val="16"/>
                <w:szCs w:val="16"/>
                <w:color w:val="auto"/>
              </w:rPr>
            </w:pPr>
          </w:p>
        </w:tc>
      </w:tr>
    </w:tbl>
    <w:p>
      <w:pPr>
        <w:spacing w:after="0" w:line="16" w:lineRule="exact"/>
        <w:rPr>
          <w:sz w:val="24"/>
          <w:szCs w:val="24"/>
          <w:color w:val="auto"/>
        </w:rPr>
      </w:pPr>
    </w:p>
    <w:p>
      <w:pPr>
        <w:jc w:val="both"/>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jc w:val="both"/>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59"/>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2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660" w:type="dxa"/>
            <w:vAlign w:val="bottom"/>
          </w:tcPr>
          <w:p>
            <w:pPr>
              <w:ind w:left="2720"/>
              <w:spacing w:after="0"/>
              <w:rPr>
                <w:sz w:val="20"/>
                <w:szCs w:val="20"/>
                <w:color w:val="auto"/>
              </w:rPr>
            </w:pPr>
            <w:r>
              <w:rPr>
                <w:rFonts w:ascii="Times New Roman" w:cs="Times New Roman" w:eastAsia="Times New Roman" w:hAnsi="Times New Roman"/>
                <w:sz w:val="11"/>
                <w:szCs w:val="11"/>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2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660" w:type="dxa"/>
            <w:vAlign w:val="bottom"/>
          </w:tcPr>
          <w:p>
            <w:pPr>
              <w:ind w:left="27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2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66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100"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78"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69"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1" w:lineRule="exact"/>
        <w:rPr>
          <w:sz w:val="24"/>
          <w:szCs w:val="24"/>
          <w:color w:val="auto"/>
        </w:rPr>
      </w:pPr>
    </w:p>
    <w:p>
      <w:pPr>
        <w:spacing w:after="0" w:line="127" w:lineRule="exact"/>
        <w:tabs>
          <w:tab w:leader="none" w:pos="5240" w:val="left"/>
          <w:tab w:leader="none" w:pos="56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264795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3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1"/>
          <w:szCs w:val="11"/>
          <w:color w:val="auto"/>
        </w:rPr>
        <w:t>The aggregate market value of the registrant's Class A common stock held by non-affiliates of the registrant, based on the closing price of a share of the registrant's Class A common stock on July 31, 2024 as reported by the Nasdaq Global Select Market on such date was approximately $15.8 billion. This calculation does not reflect a determination that certain persons are affiliates of the registrant for any other purpose.</w:t>
      </w:r>
    </w:p>
    <w:p>
      <w:pPr>
        <w:spacing w:after="0"/>
        <w:rPr>
          <w:sz w:val="20"/>
          <w:szCs w:val="20"/>
          <w:color w:val="auto"/>
        </w:rPr>
      </w:pPr>
      <w:r>
        <w:rPr>
          <w:rFonts w:ascii="Times New Roman" w:cs="Times New Roman" w:eastAsia="Times New Roman" w:hAnsi="Times New Roman"/>
          <w:sz w:val="11"/>
          <w:szCs w:val="11"/>
          <w:color w:val="auto"/>
        </w:rPr>
        <w:t>As of February 14, 2025, the number of shares of the registrant’s Class A common stock outstanding was 262,753,519 and the number of shares of the registrant’s Class B common stock outstanding was 42,480,334.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20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the 2025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Auditor Name: KPMG LLP Auditor Location: San Francisco, California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248285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754"/>
        </w:trPr>
        <w:tc>
          <w:tcPr>
            <w:tcW w:w="10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40" w:type="dxa"/>
            <w:vAlign w:val="bottom"/>
            <w:gridSpan w:val="8"/>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60" w:type="dxa"/>
            <w:vAlign w:val="bottom"/>
            <w:gridSpan w:val="6"/>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w w:val="95"/>
              </w:rPr>
              <w:t>Part I</w:t>
            </w:r>
          </w:p>
        </w:tc>
        <w:tc>
          <w:tcPr>
            <w:tcW w:w="15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15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Item 1.</w:t>
            </w:r>
          </w:p>
        </w:tc>
        <w:tc>
          <w:tcPr>
            <w:tcW w:w="8260" w:type="dxa"/>
            <w:vAlign w:val="bottom"/>
            <w:gridSpan w:val="21"/>
          </w:tcPr>
          <w:p>
            <w:pPr>
              <w:spacing w:after="0" w:line="140" w:lineRule="exact"/>
              <w:rPr>
                <w:sz w:val="20"/>
                <w:szCs w:val="20"/>
                <w:color w:val="auto"/>
              </w:rPr>
            </w:pPr>
            <w:r>
              <w:rPr>
                <w:rFonts w:ascii="Times New Roman" w:cs="Times New Roman" w:eastAsia="Times New Roman" w:hAnsi="Times New Roman"/>
                <w:sz w:val="14"/>
                <w:szCs w:val="14"/>
                <w:color w:val="0000FF"/>
              </w:rPr>
              <w:t>Business</w:t>
            </w:r>
          </w:p>
        </w:tc>
        <w:tc>
          <w:tcPr>
            <w:tcW w:w="800" w:type="dxa"/>
            <w:vAlign w:val="bottom"/>
            <w:gridSpan w:val="2"/>
          </w:tcPr>
          <w:p>
            <w:pPr>
              <w:jc w:val="center"/>
              <w:ind w:left="649"/>
              <w:spacing w:after="0" w:line="140" w:lineRule="exact"/>
              <w:rPr>
                <w:sz w:val="20"/>
                <w:szCs w:val="20"/>
                <w:color w:val="auto"/>
              </w:rPr>
            </w:pPr>
            <w:r>
              <w:rPr>
                <w:rFonts w:ascii="Times New Roman" w:cs="Times New Roman" w:eastAsia="Times New Roman" w:hAnsi="Times New Roman"/>
                <w:sz w:val="14"/>
                <w:szCs w:val="14"/>
                <w:color w:val="0000FF"/>
              </w:rPr>
              <w:t>6</w:t>
            </w:r>
          </w:p>
        </w:tc>
        <w:tc>
          <w:tcPr>
            <w:tcW w:w="700" w:type="dxa"/>
            <w:vAlign w:val="bottom"/>
          </w:tcPr>
          <w:p>
            <w:pPr>
              <w:spacing w:after="0"/>
              <w:rPr>
                <w:sz w:val="12"/>
                <w:szCs w:val="12"/>
                <w:color w:val="auto"/>
              </w:rPr>
            </w:pPr>
          </w:p>
        </w:tc>
      </w:tr>
      <w:tr>
        <w:trPr>
          <w:trHeight w:val="20"/>
        </w:trPr>
        <w:tc>
          <w:tcPr>
            <w:tcW w:w="152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540" w:type="dxa"/>
            <w:vAlign w:val="bottom"/>
            <w:gridSpan w:val="18"/>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14</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640" w:type="dxa"/>
            <w:vAlign w:val="bottom"/>
            <w:gridSpan w:val="12"/>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49</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20" w:type="dxa"/>
            <w:vAlign w:val="bottom"/>
            <w:gridSpan w:val="5"/>
          </w:tcPr>
          <w:p>
            <w:pPr>
              <w:spacing w:after="0"/>
              <w:rPr>
                <w:sz w:val="13"/>
                <w:szCs w:val="13"/>
                <w:color w:val="auto"/>
              </w:rPr>
            </w:pPr>
          </w:p>
        </w:tc>
        <w:tc>
          <w:tcPr>
            <w:tcW w:w="6640" w:type="dxa"/>
            <w:vAlign w:val="bottom"/>
            <w:gridSpan w:val="12"/>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49</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5"/>
              </w:rPr>
              <w:t>Properties</w:t>
            </w:r>
          </w:p>
        </w:tc>
        <w:tc>
          <w:tcPr>
            <w:tcW w:w="220" w:type="dxa"/>
            <w:vAlign w:val="bottom"/>
            <w:gridSpan w:val="2"/>
          </w:tcPr>
          <w:p>
            <w:pPr>
              <w:spacing w:after="0"/>
              <w:rPr>
                <w:sz w:val="13"/>
                <w:szCs w:val="13"/>
                <w:color w:val="auto"/>
              </w:rPr>
            </w:pPr>
          </w:p>
        </w:tc>
        <w:tc>
          <w:tcPr>
            <w:tcW w:w="7460" w:type="dxa"/>
            <w:vAlign w:val="bottom"/>
            <w:gridSpan w:val="17"/>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50</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7220" w:type="dxa"/>
            <w:vAlign w:val="bottom"/>
            <w:gridSpan w:val="16"/>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50</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0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0000FF"/>
                <w:w w:val="99"/>
              </w:rPr>
              <w:t>50</w:t>
            </w:r>
          </w:p>
        </w:tc>
        <w:tc>
          <w:tcPr>
            <w:tcW w:w="700" w:type="dxa"/>
            <w:vAlign w:val="bottom"/>
          </w:tcPr>
          <w:p>
            <w:pPr>
              <w:spacing w:after="0"/>
              <w:rPr>
                <w:sz w:val="13"/>
                <w:szCs w:val="13"/>
                <w:color w:val="auto"/>
              </w:rPr>
            </w:pPr>
          </w:p>
        </w:tc>
      </w:tr>
      <w:tr>
        <w:trPr>
          <w:trHeight w:val="188"/>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60" w:type="dxa"/>
            <w:vAlign w:val="bottom"/>
            <w:gridSpan w:val="6"/>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7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r>
      <w:tr>
        <w:trPr>
          <w:trHeight w:val="153"/>
        </w:trPr>
        <w:tc>
          <w:tcPr>
            <w:tcW w:w="15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6380" w:type="dxa"/>
            <w:vAlign w:val="bottom"/>
            <w:gridSpan w:val="20"/>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0000FF"/>
                <w:w w:val="71"/>
              </w:rPr>
              <w:t>50</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6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[Reserved]</w:t>
            </w: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51</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7.</w:t>
            </w:r>
          </w:p>
        </w:tc>
        <w:tc>
          <w:tcPr>
            <w:tcW w:w="8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80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0000FF"/>
                <w:w w:val="99"/>
              </w:rPr>
              <w:t>52</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34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gridSpan w:val="3"/>
          </w:tcPr>
          <w:p>
            <w:pPr>
              <w:spacing w:after="0"/>
              <w:rPr>
                <w:sz w:val="13"/>
                <w:szCs w:val="13"/>
                <w:color w:val="auto"/>
              </w:rPr>
            </w:pPr>
          </w:p>
        </w:tc>
        <w:tc>
          <w:tcPr>
            <w:tcW w:w="320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63</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34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82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65</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51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1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99</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00" w:type="dxa"/>
            <w:vAlign w:val="bottom"/>
            <w:gridSpan w:val="11"/>
          </w:tcPr>
          <w:p>
            <w:pPr>
              <w:spacing w:after="0"/>
              <w:rPr>
                <w:sz w:val="13"/>
                <w:szCs w:val="13"/>
                <w:color w:val="auto"/>
              </w:rPr>
            </w:pPr>
          </w:p>
        </w:tc>
        <w:tc>
          <w:tcPr>
            <w:tcW w:w="31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99</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360" w:type="dxa"/>
            <w:vAlign w:val="bottom"/>
            <w:gridSpan w:val="2"/>
          </w:tcPr>
          <w:p>
            <w:pPr>
              <w:spacing w:after="0"/>
              <w:rPr>
                <w:sz w:val="13"/>
                <w:szCs w:val="13"/>
                <w:color w:val="auto"/>
              </w:rPr>
            </w:pPr>
          </w:p>
        </w:tc>
        <w:tc>
          <w:tcPr>
            <w:tcW w:w="6860" w:type="dxa"/>
            <w:vAlign w:val="bottom"/>
            <w:gridSpan w:val="14"/>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100</w:t>
            </w: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82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100</w:t>
            </w: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gridSpan w:val="7"/>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w w:val="99"/>
              </w:rPr>
              <w:t>Part III</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53"/>
        </w:trPr>
        <w:tc>
          <w:tcPr>
            <w:tcW w:w="15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826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500" w:type="dxa"/>
            <w:vAlign w:val="bottom"/>
            <w:gridSpan w:val="3"/>
          </w:tcPr>
          <w:p>
            <w:pPr>
              <w:jc w:val="center"/>
              <w:spacing w:after="0" w:line="153" w:lineRule="exact"/>
              <w:rPr>
                <w:sz w:val="20"/>
                <w:szCs w:val="20"/>
                <w:color w:val="auto"/>
              </w:rPr>
            </w:pPr>
            <w:r>
              <w:rPr>
                <w:rFonts w:ascii="Times New Roman" w:cs="Times New Roman" w:eastAsia="Times New Roman" w:hAnsi="Times New Roman"/>
                <w:sz w:val="14"/>
                <w:szCs w:val="14"/>
                <w:color w:val="0000FF"/>
              </w:rPr>
              <w:t>100</w:t>
            </w: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5040" w:type="dxa"/>
            <w:vAlign w:val="bottom"/>
            <w:gridSpan w:val="8"/>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101</w:t>
            </w: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5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101</w:t>
            </w: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57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5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101</w:t>
            </w: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98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101</w:t>
            </w:r>
          </w:p>
        </w:tc>
      </w:tr>
      <w:tr>
        <w:trPr>
          <w:trHeight w:val="188"/>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gridSpan w:val="7"/>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7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r>
      <w:tr>
        <w:trPr>
          <w:trHeight w:val="153"/>
        </w:trPr>
        <w:tc>
          <w:tcPr>
            <w:tcW w:w="15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826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1500" w:type="dxa"/>
            <w:vAlign w:val="bottom"/>
            <w:gridSpan w:val="3"/>
          </w:tcPr>
          <w:p>
            <w:pPr>
              <w:jc w:val="center"/>
              <w:spacing w:after="0" w:line="153" w:lineRule="exact"/>
              <w:rPr>
                <w:sz w:val="20"/>
                <w:szCs w:val="20"/>
                <w:color w:val="auto"/>
              </w:rPr>
            </w:pPr>
            <w:r>
              <w:rPr>
                <w:rFonts w:ascii="Times New Roman" w:cs="Times New Roman" w:eastAsia="Times New Roman" w:hAnsi="Times New Roman"/>
                <w:sz w:val="14"/>
                <w:szCs w:val="14"/>
                <w:color w:val="0000FF"/>
              </w:rPr>
              <w:t>101</w:t>
            </w: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16.</w:t>
            </w:r>
          </w:p>
        </w:tc>
        <w:tc>
          <w:tcPr>
            <w:tcW w:w="22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98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103</w:t>
            </w: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040" w:type="dxa"/>
            <w:vAlign w:val="bottom"/>
            <w:gridSpan w:val="15"/>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104</w:t>
            </w: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bl>
    <w:p>
      <w:pPr>
        <w:spacing w:after="0" w:line="26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Unless the context suggests otherwise, references in this Annual Report on Form 10-K to “Zoom,” the “Company,” “we,” “us” and “our” refer to Zoom Communications, Inc. and, where appropriate,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and evolving AI capabilities; our product strategy; our efforts to enhance the security and privacy of our platform; our ability to operate our business and effectively manage our scale under evolving macroeconomic conditions, such as geopolitical conflicts, tariffs and trade tensions, inflationary pressures, interest rate fluctuations, and foreign currency exchange rate volatility;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6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5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2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Investing in our Class A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spacing w:after="0" w:line="39" w:lineRule="exact"/>
        <w:rPr>
          <w:sz w:val="20"/>
          <w:szCs w:val="20"/>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growth rate has fluctuated in prior periods, and may continue to decline in future periods.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delays, or outages in service from our co-located data centers or cloud hosting services and a variety of other factors, would impair the delivery of our services, require us to issue credits or pay penalties, and harm our business.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5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significantly affected by changes in the economy, including any resulting effect on consumer or business spending.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increase sales to large organizations, our sales cycles have and could continue to lengthen, and we could experience greater deployment challenges.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 revenue from sales of subscriptions to our platform, and any decline in demand for our platform or for communications and collaboration technologies in general would harm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net losses in the past and there are no assurances we will be able to maintain or increase profitability in the future.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respond to rapid technological changes, extend our platform or develop new features.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w:t>
      </w:r>
    </w:p>
    <w:p>
      <w:pPr>
        <w:spacing w:after="0" w:line="5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the current scale of our business, which makes it difficult to evaluate our prospects and future results of operations.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and has in the past harmed, our reputation and business or subject us to significant fines and liability.</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lose the services of our Chief Executive Officer or other members of our senior management team, we may not be able to execute our business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significant and expanding operations outside the United States, which may subject us to increased business, regulatory, and economic risks that could harm our business.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our products, including Zoom Phone, are subject to U.S. federal and international regulation, and other products we may introduce in the future may also be subject to U.S. federal, state, or international laws, rules,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regulations. Any failure to comply with such laws, rules, and regulations could harm our business and expose us to liability.</w:t>
      </w:r>
    </w:p>
    <w:p>
      <w:pPr>
        <w:spacing w:after="0" w:line="94"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generative artificial intelligence (“AI”) in our products and services, which may result in operational challenges, legal liability, reputational concerns, competitive risks and regulatory concerns that could adversely affect our business and results of operations.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mission is to provide an AI-first work platform for human connection. Our culture of delivering happiness drives our mission and values and is fundamental to everything we do at Zoom.</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Zoom Workplace with AI Companion is an open, AI-first work platform for human connection. Zoom Workplace makes connecting easier, more immersive, and more dynamic for businesses and individuals. We’re committed to evolving our platform in ways that empower limitless human connection and solve real business problems. All of our product innovation has a unified goal: to help streamline the workday through effective communication and collaboration tools. Together with Zoom Workplace, Zoom’s Business Services for sales, marketing, and customer experience teams, including Zoom Contact Center, Zoom Revenue Accelerator and Zoom Events strengthen customer relationships throughout the customer lifecycle. The Zoom platform makes teamwork more meaningful, drives impact with intelligence, strengthens customer relationships, and enables seamless workflows. Trust is a cornerstone of the Zoom platform. We equip users with a comprehensive set of tools to make their interactions safe, secure, and private. We believe that strong security should never compromise a great user experience.</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Businesses of all sizes and individuals alike choose Zoom over other industry players for several reasons:</w:t>
      </w:r>
    </w:p>
    <w:p>
      <w:pPr>
        <w:spacing w:after="0" w:line="92" w:lineRule="exact"/>
        <w:rPr>
          <w:sz w:val="20"/>
          <w:szCs w:val="20"/>
          <w:color w:val="auto"/>
        </w:rPr>
      </w:pPr>
    </w:p>
    <w:p>
      <w:pPr>
        <w:ind w:left="900" w:hanging="513"/>
        <w:spacing w:after="0" w:line="290" w:lineRule="auto"/>
        <w:tabs>
          <w:tab w:leader="none" w:pos="8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care for customers at Zoom speed: </w:t>
      </w:r>
      <w:r>
        <w:rPr>
          <w:rFonts w:ascii="Times New Roman" w:cs="Times New Roman" w:eastAsia="Times New Roman" w:hAnsi="Times New Roman"/>
          <w:sz w:val="14"/>
          <w:szCs w:val="14"/>
          <w:color w:val="auto"/>
        </w:rPr>
        <w:t>Zoom puts customers first and is committed to providing a platform and products that people love. Zoom listens to its customers and puts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innovation in customers' hands quickly to serve their needs.</w:t>
      </w:r>
    </w:p>
    <w:p>
      <w:pPr>
        <w:spacing w:after="0" w:line="35"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AI-first: </w:t>
      </w:r>
      <w:r>
        <w:rPr>
          <w:rFonts w:ascii="Times New Roman" w:cs="Times New Roman" w:eastAsia="Times New Roman" w:hAnsi="Times New Roman"/>
          <w:sz w:val="14"/>
          <w:szCs w:val="14"/>
          <w:color w:val="auto"/>
        </w:rPr>
        <w:t>Zoom’s mission is to deliver an AI-first work platform for human connection. This AI-first approach to Zoom Workplace and Zoom Business Services is designed to allow</w:t>
      </w:r>
    </w:p>
    <w:p>
      <w:pPr>
        <w:spacing w:after="0" w:line="25" w:lineRule="exact"/>
        <w:rPr>
          <w:rFonts w:ascii="Times New Roman" w:cs="Times New Roman" w:eastAsia="Times New Roman" w:hAnsi="Times New Roman"/>
          <w:sz w:val="14"/>
          <w:szCs w:val="14"/>
          <w:color w:val="auto"/>
        </w:rPr>
      </w:pP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and teams to free up time and focus on what matters most: engaging, connecting, and delivering creative and insightful work, all within one unified platform</w:t>
      </w:r>
    </w:p>
    <w:p>
      <w:pPr>
        <w:spacing w:after="0" w:line="77"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Enterprise readiness: </w:t>
      </w:r>
      <w:r>
        <w:rPr>
          <w:rFonts w:ascii="Times New Roman" w:cs="Times New Roman" w:eastAsia="Times New Roman" w:hAnsi="Times New Roman"/>
          <w:sz w:val="14"/>
          <w:szCs w:val="14"/>
          <w:color w:val="auto"/>
        </w:rPr>
        <w:t>Zoom is built to meet the needs of enterprises, with robust reliability, security, compliance, and privacy capabilities and policies.</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Designed for flexible work: </w:t>
      </w:r>
      <w:r>
        <w:rPr>
          <w:rFonts w:ascii="Times New Roman" w:cs="Times New Roman" w:eastAsia="Times New Roman" w:hAnsi="Times New Roman"/>
          <w:sz w:val="14"/>
          <w:szCs w:val="14"/>
          <w:color w:val="auto"/>
        </w:rPr>
        <w:t>Zoom is a platform designed for flexible communication and today’s flexible work needs.</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Zoom just works: </w:t>
      </w:r>
      <w:r>
        <w:rPr>
          <w:rFonts w:ascii="Times New Roman" w:cs="Times New Roman" w:eastAsia="Times New Roman" w:hAnsi="Times New Roman"/>
          <w:sz w:val="14"/>
          <w:szCs w:val="14"/>
          <w:color w:val="auto"/>
        </w:rPr>
        <w:t>Ease of use is a core design principle, along with quality and reliability.</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Cost-effective and value-focused: </w:t>
      </w:r>
      <w:r>
        <w:rPr>
          <w:rFonts w:ascii="Times New Roman" w:cs="Times New Roman" w:eastAsia="Times New Roman" w:hAnsi="Times New Roman"/>
          <w:sz w:val="14"/>
          <w:szCs w:val="14"/>
          <w:color w:val="auto"/>
        </w:rPr>
        <w:t>The total cost of ownership of the Zoom platform, across the employee experience and customer experience, is less than that of our competitors.</w:t>
      </w:r>
    </w:p>
    <w:p>
      <w:pPr>
        <w:spacing w:after="0" w:line="93" w:lineRule="exact"/>
        <w:rPr>
          <w:rFonts w:ascii="Times New Roman" w:cs="Times New Roman" w:eastAsia="Times New Roman" w:hAnsi="Times New Roman"/>
          <w:sz w:val="14"/>
          <w:szCs w:val="14"/>
          <w:color w:val="auto"/>
        </w:rPr>
      </w:pPr>
    </w:p>
    <w:p>
      <w:pPr>
        <w:ind w:left="900" w:hanging="513"/>
        <w:spacing w:after="0" w:line="290" w:lineRule="auto"/>
        <w:tabs>
          <w:tab w:leader="none" w:pos="8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Open platform that enables customer choice: </w:t>
      </w:r>
      <w:r>
        <w:rPr>
          <w:rFonts w:ascii="Times New Roman" w:cs="Times New Roman" w:eastAsia="Times New Roman" w:hAnsi="Times New Roman"/>
          <w:sz w:val="14"/>
          <w:szCs w:val="14"/>
          <w:color w:val="auto"/>
        </w:rPr>
        <w:t>The Zoom developer ecosystem enables customers to choose the apps and integrations they prefer. Zoom offers more than 2,900 apps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the Zoom App Marketplace and integrations with key software vendors, such as Microsoft and Google.</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We’re on a mission to reimagine the way the world communicates and collaborates. Zoom brings employee and customer experience together into a single, AI-first, open platform that people love to use. Flagship products like Zoom Meetings, Zoom Phone, Zoom Team Chat, and Zoom Docs are among the core products on the platform that are critical to business communication and collaboration needs. We strive to continue building a platform that helps people work smarter, be more engaged with work, and better connect with each other. AI has been core to Zoom’s product DNA over many years, grounded in our conviction that AI can make work more human by strengthening collaboration, productivity, and inclusivity.</w:t>
      </w:r>
    </w:p>
    <w:p>
      <w:pPr>
        <w:spacing w:after="0" w:line="5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fiscal year 2025, Zoom continued to invest in AI and focused on three key areas regarding AI: supporting individual productivity, powering better collaboration, and helping customer-facing teams deliver meaningful business value to delight their customers. In September 2023, we launched Zoom AI Companion, our smart assistant that is designed to empower workers to increase productivity, improve team effectiveness, and enhance skills. Additionally, we introduced our federated approach to AI, which enables the use of multiple large language models (“LLMs”), including Zoom’s own, to complete each task for users. Zoom’s federated approach allows its tech stack to dynamically select from multiple AI models, including those from OpenAI, Anthropic, and Meta, making AI accessible and affordable so that more people can incorporate them in their day-to-day workflows. With these advancements in AI Companion and our broader AI strategy, we believe we’re well-positioned as AI technology continues to evolve. We are evolving agentic AI capabilities within AI Companion that will continue to deliver practical value to customers while building on our ambitious vision of AI that truly amplifies human potential for our customers. In line with our commitment to responsible AI, Zoom does not use customer audio, video, chat, screen sharing, attachments, or other communications (such as poll results, whiteboard, and reactions) to train Zoom’s or third-party AI models.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continues to be at the center of flexible work. Our continued product innovation is laser-focused on supporting a flexible work environment, with new innovations in areas such as document collaboration, hybrid workspaces, and employee communication. Additionally, our employee experience platform, Workvivo, deepened our commitment to creating a platform that is focused on connecting and engaging employees.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Unlike most Contact Center as a Service (“CCaaS”) solutions that are only optimized for voice, Zoom Contact Center is an omnichannel cloud contact center platform that is optimized for video and intentionally supports a robust suite of channels, such as voice and video, SMS, and webchat. The result is a one-stop shop designed for customer experience leaders to deliver excellence to their customers and to strengthen workforce engagement.</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happiness we deliver is recognized by our customers. Zoom has consistently earned high scores across customer review sites, Gartner Peer Insights, TrustRadius, and G2, including being recognized as a 2024 Customers’ Choice in the Gartner Peer Insight “Voice of the Customer” for Unified Communications as a Service (“UCaaS”) and Visual Collaboration Applications, and a Leader badge for Zoom Contact Center by G2. Industry analysts also recognize our market leadership across our platform and products: Gartner has named Zoom a leader in the Magic Quadrant for UCaaS for the fourth year in a row, and Workvivo was named a leader in the Magic Quadrant for Intranet Packaged Solutions. Forrester published its Forrester Wave for Conversational Intelligence, where Zoom Revenue Accelerator debuted as a “Strong” player. IDC named Zoom Events as a leader in its IDC MarketScape for Worldwide Virtual Events Applications. Zoom Workplace was also named Editor’s Choice and one of the Best Products and Services of the Year (2024) by PC Mag, included in Fast Company’s 2024 Most Innovative Companies list, and awarded CRN Tech Innovators Award for Zoom AI Companion, as well as Best Unified Communications Platform &gt;$250m, Best UCaaS Provider AMERICAS, Best Collaboration Platform, and Best Hybrid Workplace Product from UC Today.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focus on the following elements of our strategy to drive our growth:</w:t>
      </w:r>
    </w:p>
    <w:p>
      <w:pPr>
        <w:spacing w:after="0" w:line="92" w:lineRule="exact"/>
        <w:rPr>
          <w:sz w:val="20"/>
          <w:szCs w:val="20"/>
          <w:color w:val="auto"/>
        </w:rPr>
      </w:pPr>
    </w:p>
    <w:p>
      <w:pPr>
        <w:jc w:val="both"/>
        <w:ind w:left="900" w:hanging="513"/>
        <w:spacing w:after="0" w:line="271" w:lineRule="auto"/>
        <w:tabs>
          <w:tab w:leader="none" w:pos="8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Keep our existing customers happy. </w:t>
      </w:r>
      <w:r>
        <w:rPr>
          <w:rFonts w:ascii="Times New Roman" w:cs="Times New Roman" w:eastAsia="Times New Roman" w:hAnsi="Times New Roman"/>
          <w:sz w:val="14"/>
          <w:szCs w:val="14"/>
          <w:color w:val="auto"/>
        </w:rPr>
        <w:t>We deliver happiness to our customers by giving them experiences that add meaningful business value and delight them. We respond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 needs with action to drive positive user experiences. We believe these practices result in our high scores across customer review sites and will continue to generate referrals from our existing customers, providing meaningful viral adoption for the foreseeable future.</w:t>
      </w:r>
    </w:p>
    <w:p>
      <w:pPr>
        <w:spacing w:after="0" w:line="48" w:lineRule="exact"/>
        <w:rPr>
          <w:rFonts w:ascii="Times New Roman" w:cs="Times New Roman" w:eastAsia="Times New Roman" w:hAnsi="Times New Roman"/>
          <w:sz w:val="14"/>
          <w:szCs w:val="14"/>
          <w:color w:val="auto"/>
        </w:rPr>
      </w:pPr>
    </w:p>
    <w:p>
      <w:pPr>
        <w:jc w:val="both"/>
        <w:ind w:left="900" w:hanging="513"/>
        <w:spacing w:after="0" w:line="265" w:lineRule="auto"/>
        <w:tabs>
          <w:tab w:leader="none" w:pos="8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Drive new customer acquisition. </w:t>
      </w:r>
      <w:r>
        <w:rPr>
          <w:rFonts w:ascii="Times New Roman" w:cs="Times New Roman" w:eastAsia="Times New Roman" w:hAnsi="Times New Roman"/>
          <w:sz w:val="14"/>
          <w:szCs w:val="14"/>
          <w:color w:val="auto"/>
        </w:rPr>
        <w:t>Our platform is designed to make it easy to host meetings. By attracting free users to our platform, we promote usage that allows them and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attendees to experience the Zoom difference. We complement this lead-generation model with our multipronged go-to-market strategy that integrates the viral enthusiasm for our platform with optimal routes-to-market, including direct sales representatives, online channel, resellers, and strategic partners. This approach is designed to allow us to cost-effectively drive upgrades to our paid offering and expansion within organizations of all sizes and verticals.</w:t>
      </w:r>
    </w:p>
    <w:p>
      <w:pPr>
        <w:spacing w:after="0" w:line="52" w:lineRule="exact"/>
        <w:rPr>
          <w:rFonts w:ascii="Times New Roman" w:cs="Times New Roman" w:eastAsia="Times New Roman" w:hAnsi="Times New Roman"/>
          <w:sz w:val="14"/>
          <w:szCs w:val="14"/>
          <w:color w:val="auto"/>
        </w:rPr>
      </w:pPr>
    </w:p>
    <w:p>
      <w:pPr>
        <w:jc w:val="both"/>
        <w:ind w:left="900" w:hanging="513"/>
        <w:spacing w:after="0" w:line="265" w:lineRule="auto"/>
        <w:tabs>
          <w:tab w:leader="none" w:pos="896"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 xml:space="preserve">Innovate our platform continuously. </w:t>
      </w:r>
      <w:r>
        <w:rPr>
          <w:rFonts w:ascii="Times New Roman" w:cs="Times New Roman" w:eastAsia="Times New Roman" w:hAnsi="Times New Roman"/>
          <w:sz w:val="14"/>
          <w:szCs w:val="14"/>
          <w:color w:val="auto"/>
        </w:rPr>
        <w:t>Our engineers aim to stay on the cutting edge of communication, collaboration, and AI technologies. We strive to deliver the best experience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users by dedicating a portion of our engineering capacity to developing on-demand, customer-requested features that would be valuable across our customer base. Our core areas of focus are bolstering innovation on products in the following categories: employee experience, customer experience, core communications, generative AI and departmental and industry-specific solutions.</w:t>
      </w:r>
    </w:p>
    <w:p>
      <w:pPr>
        <w:spacing w:after="0" w:line="52" w:lineRule="exact"/>
        <w:rPr>
          <w:rFonts w:ascii="Arial" w:cs="Arial" w:eastAsia="Arial" w:hAnsi="Arial"/>
          <w:sz w:val="14"/>
          <w:szCs w:val="14"/>
          <w:color w:val="auto"/>
        </w:rPr>
      </w:pPr>
    </w:p>
    <w:p>
      <w:pPr>
        <w:jc w:val="both"/>
        <w:ind w:left="900" w:hanging="513"/>
        <w:spacing w:after="0" w:line="262" w:lineRule="auto"/>
        <w:tabs>
          <w:tab w:leader="none" w:pos="8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Drive international expansion. </w:t>
      </w:r>
      <w:r>
        <w:rPr>
          <w:rFonts w:ascii="Times New Roman" w:cs="Times New Roman" w:eastAsia="Times New Roman" w:hAnsi="Times New Roman"/>
          <w:sz w:val="14"/>
          <w:szCs w:val="14"/>
          <w:color w:val="auto"/>
        </w:rPr>
        <w:t>With users, offices, and data centers strategically located around the world, we are poised to reach new customers globally. Our platform is intuitively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designed such that localization requirements are minimal. For example, our platform works without intensive translation requirements with only a few language adjustments to our user interface and support systems. Zoom continues to make meetings more effective and inclusive with new language captions and translations. Within a Zoom Meeting, translated captions will translate the source language into English captions or translate from English to the language selected by the meeting participant. Translated captions support more than 35 languages. This facilitates seamless collaboration and helps to improve attendee engagement, including after the meeting, through AI Companion summaries.</w:t>
      </w:r>
    </w:p>
    <w:p>
      <w:pPr>
        <w:spacing w:after="0" w:line="54" w:lineRule="exact"/>
        <w:rPr>
          <w:rFonts w:ascii="Times New Roman" w:cs="Times New Roman" w:eastAsia="Times New Roman" w:hAnsi="Times New Roman"/>
          <w:sz w:val="14"/>
          <w:szCs w:val="14"/>
          <w:color w:val="auto"/>
        </w:rPr>
      </w:pPr>
    </w:p>
    <w:p>
      <w:pPr>
        <w:jc w:val="both"/>
        <w:ind w:left="900" w:hanging="513"/>
        <w:spacing w:after="0" w:line="265" w:lineRule="auto"/>
        <w:tabs>
          <w:tab w:leader="none" w:pos="8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 within existing customers. </w:t>
      </w:r>
      <w:r>
        <w:rPr>
          <w:rFonts w:ascii="Times New Roman" w:cs="Times New Roman" w:eastAsia="Times New Roman" w:hAnsi="Times New Roman"/>
          <w:sz w:val="14"/>
          <w:szCs w:val="14"/>
          <w:color w:val="auto"/>
        </w:rPr>
        <w:t>As organizations experience our platform and become familiar with its benefits, more teams and departments within these organizations adopt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Zoom. Our platform may begin in a line of business and then organically expand across departments. This “land and expand” model has led to some of our largest deployments. Customers are also purchasing services for events, webinars, room solutions, phone, contact center, and employee experience, creating a complete and integrated set of communications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left="900" w:hanging="513"/>
        <w:spacing w:after="0" w:line="262" w:lineRule="auto"/>
        <w:tabs>
          <w:tab w:leader="none" w:pos="8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 our developer ecosystem and continue to expand our platform. </w:t>
      </w:r>
      <w:r>
        <w:rPr>
          <w:rFonts w:ascii="Times New Roman" w:cs="Times New Roman" w:eastAsia="Times New Roman" w:hAnsi="Times New Roman"/>
          <w:sz w:val="14"/>
          <w:szCs w:val="14"/>
          <w:color w:val="auto"/>
        </w:rPr>
        <w:t>Through the Zoom Developer ecosystem, we enable customers and their developers to build their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solutions with our underlying platform technology, seamlessly embed our platform into their own offerings, and integrate their applications across Zoom products using our extensive library of application program interfaces (“APIs”) and selection of software development kits (“SDKs”). Our app marketplace further extends the value and adoption of Zoom with our customers through the development and distribution of apps and integrations. We continue to partner with video conferencing hardware and peripheral providers, as well as with software providers, including Palo Alto Networks, Zendesk, and Box.</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Platform</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provide an open, AI-first work platform for human connection that delivers happiness and fundamentally changes how people interact, connecting them through frictionless and secure meetings, phone, chat, content sharing and more. Our products are grouped under the following categories, which are further described below:</w:t>
      </w:r>
    </w:p>
    <w:p>
      <w:pPr>
        <w:spacing w:after="0" w:line="39"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AI - Zoom AI Companion drives impact with intelligence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 Workplace - Enables seamless collaboration and productivity on a unified platform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 Business Services - Strengthens customer relationships and delivers superior service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Experience - Makes teamwork more meaningful and engaging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Developer Ecosystem - Creates custom integrations and streamlines workflows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AI</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AI Companion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Zoom AI Companion, launched in September 2023, is Zoom’s generative AI digital assistant, designed to be seamlessly embedded across Zoom's suite of products to deliver real-time digital assistance and enhance productivity. It works effortlessly across Zoom Meetings, Zoom Team Chat, Zoom Email, Zoom Whiteboard, and Zoom Events and more. Zoom AI Companion uses a federated AI approach that incorporates Zoom’s own LLMs with third-party models to deliver high-quality results and lower customer costs. Zoom AI Companion is included at no additional cost for customers with paid services in their Zoom user accounts.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Workplace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Meetings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 Meetings provides HD video, voice, chat, and content sharing across mobile devices, desktops, laptops, telephones, and conference room systems. Our architecture can support up to 1,000 video participants in a single meeting. Conversations can be one-to-one, one-to-many, or many-to-many. Zoom Meetings feature a 49-person video gallery view, virtual backgrounds, MP4/M4A cloud/local recording with transcripts, video breakout rooms, screen sharing with annotation, and integrations with other powerful business applications to help teams get more done together. Zoom Meetings integrate with tools created by companies such as Atlassian, Box, Dropbox, Google, LinkedIn, Microsoft, Salesforce, ServiceNow, and Slack. Our meetings are a flexible tool for on-the-go employees who rely on their mobile devices or tablets throughout their business day.</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An end-to-end encryption (“E2EE”) option is available to free and paid Zoom customers globally who host meetings with up to 1000 participants. Zoom’s E2EE uses the same 256-bit AES GCM encryption that secures Zoom meetings by default, but with Zoom’s E2EE, the meeting host generates encryption keys and uses public key cryptography to distribute these keys to the other meeting participants. Additionally, a customer-managed key (“CMK”) service allows organizations to provide and manage their own encryption keys for certain customer content stored at rest in the Zoom Cloud. The organization needs to manage the keys in the Amazon Web Services Key Management Service. This allows for encryption of applicable content stored in the Zoom Cloud using the keys that the organization controls. We believe Zoom was also the first UCaaS company to offer post-quantum E2EE solution video conferencing. Post-quantum E2EE works across Zoom Workplace, and employs upgraded algorithms designed to be able to withstand the potential future threats of quantum computers.</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Translated captions help to remove language barriers, connect people, and promote inclusivity in meetings and webinars. Zoom Meetings currently offers translated captions in 35 languages.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Phone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 Phone is a cloud phone system for businesses that provides private branch exchange (“PBX”) features, such as secure call routing, call queuing, call detail reports, call recording, call quality monitoring, voicemail, switch to video, and much more. Zoom Phone provides inbound and outbound calling via its support for native connectivity to the public switched telephone network (“PSTN”). Available stand-alone, or as an optional add-on to Zoom Meetings, Zoom Phone is a core component of our modern UCaaS strategy that enables customers to replace their existing PBX solution and consolidate all of their business communications and collaboration requirements onto Zoom. As of January 31, 2025, Zoom Phone provided native PSTN connectivity in more than 45 countries and territories.</w:t>
      </w:r>
    </w:p>
    <w:p>
      <w:pPr>
        <w:spacing w:after="0" w:line="58"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Zoom Phone also supports Premises Peering and Cloud Peering, which provide customers with the flexibility to keep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spacing w:after="0" w:line="22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Phone Provider Exchange makes it easier for customers to choose their preferred PSTN provider partners, providing an improved way to connect with cloud peering partners, promote the discovery of new providers, and enable self-service of phone numbers from selected partners. As of January 31, 2025, there are more than 90 countries and territories included in the Provider Exchange program.</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Team Chat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 Team Chat, which is included in Zoom Workplace and Zoom Phone plans, enables organizations and teams to communicate and collaborate in groups, channels, or one-on-ones and to stay connected by instantly sharing messages, images, files, and other content across desktop, laptop, tablet, and mobile devices. With Zoom Team Chat, users can easily invite people outside their organization to a chat conversation and quickly switch from a chat to a phone call or video meeting during a conversation. Zoom Team Chat also features content storage for users who want discoverability and the ability to review their conversations or shared files. There are dozens of Zoom Team Chat-compatible applications available in the Zoom App Marketplace that provide notifications and improved workflow for other enterprise systems.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Mail and Calendar</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Mail and Calendar includes both client experiences (Zoom Mail Client, Zoom Calendar Client) and service components (Zoom Mail Service, Zoom Calendar Service). Zoom Mail Client and Zoom Calendar Client can be used with third-party email and calendaring services from Microsoft or Google, or with Zoom Mail Service and Calendar Service.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Workflow Automation</w:t>
      </w:r>
    </w:p>
    <w:p>
      <w:pPr>
        <w:spacing w:after="0" w:line="8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232333"/>
        </w:rPr>
        <w:t>Zoom Workflow Automation is a no-code workflow builder that helps users build complex workflows across Zoom Workplace and third-party applications so they can spend time on more meaningful work and collaborate more seamlessly with colleagues.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Zoom Docs</w:t>
      </w:r>
    </w:p>
    <w:p>
      <w:pPr>
        <w:spacing w:after="0" w:line="8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2333"/>
        </w:rPr>
        <w:t>Zoom Docs is a dedicated, modular workspace for efficient, dynamic hybrid collaboration. With Zoom Docs, users get a singular workspace designed to bring their teams together to share ideas and get more done, all powered by AI. It helps tie together our collection of communication modalities, with online word processing now threaded throughout the Zoom platform.</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Whiteboard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2333"/>
        </w:rPr>
        <w:t>Zoom Whiteboard is an interactive canvas that allows teams to collaborate and brainstorm through the use of templates, drag-and-drop shapes and objects, text, diagramming tools, and integrations with third-party services. Zoom Whiteboard is a persistent collaboration tool that works across Zoom Meetings, Zoom Team Chat, Zoom Rooms for Touch, Zoom Workplace desktop and mobile apps, and web browsers. Whiteboards can be shared with internal and external participants.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Clips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2333"/>
        </w:rPr>
        <w:t>Zoom Clips is a convenient solution for capturing both video and screen content. Zoom Clips enables users to effortlessly and quickly record, edit, share, store, and analyze short video “clips,” as well as comment/react to other user’s clips, to keep the collaboration going. Clips are particularly valuable when demonstrating or showcasing product features or functionalities. Zoom Clips is included with Zoom Workspace paid plans.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Business Services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Contact Center</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Zoom Contact Center is an omnichannel solution that helps empower and upskill agents, improve operational effectiveness and strengthen customer relationships. Built on Zoom’s reliable and secure platform, Zoom Contact Center enriches customer engagement by delivering highly personalized and seamless customer journeys across all channels. The capabilities of Zoom Contact Center are further enhanced when integrated with Zoom Virtual Agent, our intelligent AI-powered chatbot and Zoom's Workforce Engagement Management suite, including Workforce Management and Quality Management for Contact Center customers. Together, these solutions form an all-in-one, comprehensive contact center solution designed to elevate every aspect of the customer experience.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Revenue Accelerator</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Revenue Accelerator is conversation intelligence software for Zoom Meetings and Zoom Phone, which provides sales teams with meaningful and actionable insights from their customer interactions to improve seller performance and enhance customer experiences by reconciling call analytics with CRM data.</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Event</w:t>
      </w:r>
      <w:r>
        <w:rPr>
          <w:rFonts w:ascii="Times New Roman" w:cs="Times New Roman" w:eastAsia="Times New Roman" w:hAnsi="Times New Roman"/>
          <w:sz w:val="14"/>
          <w:szCs w:val="14"/>
          <w:color w:val="auto"/>
        </w:rPr>
        <w: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Built on Zoom’s reliable and secure video technology, Zoom Events allows event hosts to seamlessly create and manage virtual and hybrid events of any size. Zoom Events offers features such as event hubs, dedicated corporate event spaces, customizable registration and ticketing, attendee networking, Expo Floor and event analytics. This comprehensive solution is designed to simplify how users manage, host, market, and report on all of their virtual and hybrid events.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Sessions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Sessions allows customers to use the signature features of Zoom Events for a single-session event, including branded registration and event pages, live polling, surveys and chat, advanced reporting, and the ability to organize upcoming and past events in one place.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Webinars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Zoom Webinars support interactive video presentations to large audiences from almost anywhere in the world and from many devices. Zoom Webinars can scale up to 1 million attendees (with the expanded single-use license) and last up to 30 hours with 1,000 interactive video panelists. With webinars, customers have control over the video viewing experience and attendees join to listen, learn, and interact using chat, Q&amp;A, live polling, and more. Our powerful third-party integrations help users maximize usage of their webinars and expand capabilities with paid registration, marketing automation, lead nurturing, and learning management.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Employee Experience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Workvivo</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Workvivo is an all-in-one employee experience platform ("EXP") designed to simplify internal communication, drive engagement, and foster a strong company culture. Workvivo combines internal tools for communication, employee recognition, and an intranet, into a single platform. Workvivo provides a new way for customers to keep their employees informed, engaged, and connected. Workvivo consists of a monthly subscription and optional add-on features for an additional fee.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Rooms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Zoom Rooms is our software-based conference room system that transforms every room – from executive offices, huddle rooms, and training rooms, to broadcast studios – into a collaboration space that is easy to use, simple to deploy, and low-effort to manage. Designed to increase workforce collaboration across in-room and virtual participants, Zoom Rooms brings one-click-to-join meetings, wireless multi-sharing, interactive whiteboarding, intuitive room controls, scheduling, enhancements, digital signage and other features to the Zoom Meeting experience and hybrid work experience.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Workspace Reservation</w:t>
      </w:r>
    </w:p>
    <w:p>
      <w:pPr>
        <w:spacing w:after="0" w:line="96" w:lineRule="exact"/>
        <w:rPr>
          <w:sz w:val="20"/>
          <w:szCs w:val="20"/>
          <w:color w:val="auto"/>
        </w:rPr>
      </w:pPr>
    </w:p>
    <w:p>
      <w:pPr>
        <w:jc w:val="both"/>
        <w:ind w:firstLine="382"/>
        <w:spacing w:after="0" w:line="334" w:lineRule="auto"/>
        <w:rPr>
          <w:sz w:val="20"/>
          <w:szCs w:val="20"/>
          <w:color w:val="auto"/>
        </w:rPr>
      </w:pPr>
      <w:r>
        <w:rPr>
          <w:rFonts w:ascii="Times New Roman" w:cs="Times New Roman" w:eastAsia="Times New Roman" w:hAnsi="Times New Roman"/>
          <w:sz w:val="14"/>
          <w:szCs w:val="14"/>
          <w:color w:val="auto"/>
        </w:rPr>
        <w:t>Zoom Workspace Reservation is a service that enables the management of physical spaces with tools for customers to reserve and manage their workspace utilization by connecting users to workspaces. It enhances and streamlines hotdesking and hoteling experiences and can provide recommendations for a workspace location or time to reserve. Users can reserve a work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location time and duration in advance or on-demand by selecting a location on a floor plan. Administrators can learn more about the utilization of their workspaces to support the planning and optimization of their 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Developer Ecosystem</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Developer Platform and App Marketplace</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Zoom Developer Platform enables developers, platform integrators, service providers, and customers to easily build apps and integrations that use Zoom’s video-based communications solutions across video, phone, and chat, or integrate Zoom’s core technology into their products and services, with opportunities for co-marketing, discovery, and distribution. Our developer platform also allows Zoom customers to administer their accounts including managing app requests and provisioning, as well as optimizing account usage with access to dashboards and usage metrics. With our SDKs, APIs, webhooks, and extensive developer resources, Zoom, third-party developers, and partners can build and publish applications on our App Marketplace that integrate our platform with other globally in-demand applications, platforms, websites, and services. Our customers also have access to tools and resources to develop private applications that integrate Zoom Workplace and Zoom technology into their workflows and systems.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Apps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Zoom Apps combine users’ favorite apps with the power of video communications by allowing users to access them directly in Zoom Meetings. Users can enrich their Zoom experience with a variety of apps that cover many use cases, including whiteboarding, project management, note-taking, gaming, and more. Zoom Essential Apps, launched in January 2023, provides access to a curated list of apps at no cost for one year after app activation for Zoom Workplace Pro, Business and Business Plus users to enhance their Zoom experience, such as through visual agendas, automated tools to keep meetings on track and interactive activities to add energy and fun to meetings.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Technology and Infrastructure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unique technology and infrastructure enable best-in-class reliability, scalability, and performance. We designed our open, AI-first collaboration platform to help streamline the workday through effective communication and collaboration tools. Our Federated AI approach leverages the best of both our proprietary AI and industry-leading models from partners like OpenAI and Anthropic. The right AI model is applied to each specific task to optimize performance and efficiency.</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Video communication presents its own unique set of challenges, requiring significant computing resources for encoding, decoding, multiplexing, and synchronization, along with high network bandwidth and performance. To address this, our platform separates video content processing from the transporting and mixing of streams. We allocate video content processing to intelligent agents that reside on client devices and dynamically encode and decode based on the performance of client technology, network performance, and bandwidth. Our next-generation multimedia router operates on commodity hardware and a globally distributed cloud infrastructure to determine the optimal data centers to host a meeting and an optimal set of paths to connect the participants.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customers of all sizes, from individuals to global Fortune 50 organizations. Our current customer base spans countries across the world and numerous industry categories, including education, entertainment/media, enterprise infrastructure, finance, government, health care, manufacturing, nonprofit/not-for-profit and social impact, retail/consumer products, and software/internet. No individual customer represented more than 10% of our total revenue in the fiscal year ended January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sales model combines our viral demand generation and our free Zoom Meetings and Zoom Workplace basic plan with a sales approach optimized for the size of each customer opportunity. Our direct sales force includes our field sales representatives as well as our inside sales team, and it is organized by customer subscription size, region, and vertical. Our channel team works across a broad channel ecosystem, from resellers to strategic technology and service partners, as well as independent software vendors (ISVs) and service integrators (SIs), to build a strong ecosystem that broadens our reach. Our online channel supports high-volume, high-velocity, self-service sales.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marketing team’s primary objective is to create a preference for our brand by leveraging our brand recognition, enhancing brand perception, and engaging our users with virtual events, content, social media, and customer advisory councils.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implement targeted online and out-of-home advertising. Our events strategy is based on a combination of online, in-person, and hybrid approaches. Zoomtopia, our annual user conference, provides a hybrid experience for tens of thousands of in-person and virtual attendees.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Zoom’s research and development efforts are focused on driving innovation in communication technology. With research teams in China, India, Singapore, and the United States, our global presence supports a “follow the sun” strategy, enabling efficient development of new capabilities. We prioritize advancements in Zoom AI Companion, Zoom Workplace, Zoom Business Services, security, video and audio quality, and seamless integrations. Our team is also dedicated to improving performance across devices and networks, enhancing user experience, and exploring emerging technologies to help shape the future of remote and hybrid workplace. For information on the risks associated with our international operations, see “Risks Related to Our Business and Our Industry” under “Item 1A - Risk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markets in which we operate are highly competitive. We face competition from legacy web-based meeting services providers, including Cisco Webex and GoTo, bundled productivity suite providers with communications offerings, including Microsoft 365 (with Teams) and Google Workspace (with Meet), and UCaaS and legacy web-based meeting providers, including Avaya, RingCentral, and 8x8, as well as consumer-facing platforms that can support small- or medium-sized businesses, including Amazon, Apple, and Facebook. Additionally, as our Contact Center customer base continues to grow, we may face additional competition, including from Five9, Inc., Genesys, and NICE inContact.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we compete favorably based on the following competitive factors:</w:t>
      </w:r>
    </w:p>
    <w:p>
      <w:pPr>
        <w:spacing w:after="0" w:line="94" w:lineRule="exact"/>
        <w:rPr>
          <w:sz w:val="20"/>
          <w:szCs w:val="20"/>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open, AI-first work platform;</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cloud-native architecture;</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functionality and scalability;</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use and reliability;</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awareness and preference;</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utilize existing infrastructure, such as legacy conference room hardware; and</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total cost of ownership.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rely on a combination of patents, trademarks, copyrights, trade secrets, and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spacing w:after="0" w:line="5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or other intellectual property right, whether our own or licensed from third parties. For information on the risks associated with our intellectual property, see “Risks Related to Our Intellectual Property” under “Item 1A - Risk Factors.”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 impacts of government regulations affecting our business, see “Risks Related to Laws and Regulations” under “Item 1A - Risk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2025, we had 7,412 full-time employees. Of these employees, 3,568 are in the United States and 3,844 are in our international locations. None of our U.S. employees are represented by a labor union. Employees in two of our non-U.S. subsidiaries have the benefit of a collective bargaining agreement and are represented by a workers’ council. We have not experienced interruptions of operations or any work stoppages due to labor disagreements.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Our Culture of Happiness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culture of delivering happiness drives our mission and values and is fundamental to everything we do at Zoom:</w:t>
      </w:r>
    </w:p>
    <w:p>
      <w:pPr>
        <w:spacing w:after="0" w:line="92" w:lineRule="exact"/>
        <w:rPr>
          <w:sz w:val="20"/>
          <w:szCs w:val="20"/>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Mission. </w:t>
      </w:r>
      <w:r>
        <w:rPr>
          <w:rFonts w:ascii="Times New Roman" w:cs="Times New Roman" w:eastAsia="Times New Roman" w:hAnsi="Times New Roman"/>
          <w:sz w:val="14"/>
          <w:szCs w:val="14"/>
          <w:color w:val="auto"/>
        </w:rPr>
        <w:t>An AI-first work platform for human connection</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Values. </w:t>
      </w:r>
      <w:r>
        <w:rPr>
          <w:rFonts w:ascii="Times New Roman" w:cs="Times New Roman" w:eastAsia="Times New Roman" w:hAnsi="Times New Roman"/>
          <w:sz w:val="14"/>
          <w:szCs w:val="14"/>
          <w:color w:val="auto"/>
        </w:rPr>
        <w:t>We care for our customers, company, communities, teammates, and selves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This culture supports our hiring and serves as a competitive advantage in attracting and retaining top talent. Zoom has been prominently featured in the computer software category on Fortune’s ‘Most Admired Companies’ list four years running and included in Fast Company’s 2024 Most Innovative Companies list, as well as Forbes’ 2025 list of America’s Best Midsize Employers. Additionally, it was named to the Variety500, an award that recognizes the most influential business leaders shaping the industry.</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including mental health, and fertility benefits, wellness benefits, a book reimbursement plan to support continuous learning, and charitable gift matching through our Zoom Cares program.</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Over the past several years, we conducted a comprehensive employee survey with regular follow-ups and engaged in peer research to make thoughtful decisions on how to move forward in an evolving world of work. Two priorities were immediately clear: keeping our employees safe and supporting them through a meaningful employee experience. We believe maintaining a flexible working environment for our employees is a key priority.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in April 2011 under the name Saasbee, Inc., and in February 2012, we changed our name to Zoom Communications, Inc. In May 2012, we changed our name to Zoom Video Communications, Inc. In November 2024, we changed our name back to Zoom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Communications,” and our other registered or common law trademarks, service marks or trade names appearing in this Annual Report on Form 10-K are the property of Zoom Communications, Inc. Other trade names, trademarks, and service marks used in this Annual Report on Form 10-K are the property of their respective owners.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announce material information to the public through a variety of means, including filings with the SEC, press releases, our newsroom (news.zoom.us), public conference calls, our website (www.zoom.com), and the investor relations section of our website (investors.zoom.us). We use these channels, as well as social media, including our blog (blog.zoom.us), our X (formerly Twitter) account (@zoom_us), our LinkedIn page (linkedin.com/company/zoom), our Instagram page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(instagram.com/zoom), our TikTok page (tiktok.com/@zoom), and our Facebook page (facebook.com/zoom), to communicate with investors and the public about Zoom, our products and services, and other matters. Therefore, we encourage investors, the media, and others interested in Zoom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3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6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revenue growth rate has fluctuated in prior periods, and may continue to decline in future periods.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revenue growth has fluctuated in prior periods. You should not rely on the revenue growth of any prior quarterly or annual period as an indication of our future performance. There are no assurances we will be able to sustain our revenue growth in future periods, and our revenue growth rate may continue to remain flat or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Interruptions, delays, or outages in service from our co-located data centers or cloud hosting services and a variety of other factors, would impair the delivery of our services, require us to issue credits or pay penalties, and harm our business.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currently serve our users from various co-located data centers located throughout the world. We also utilize cloud hosting services such as Amazon Web Services and Oracle Cloud for the hosting of certain critical aspects of our business and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(including cloud hosting)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Additionally, if our data centers or cloud hosting services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do not control, or in some cases have limited control over, the operation of the co-located data center facilities and cloud hosting services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or disruption of the cloud hosting services we use, it may take a significant period of time to achieve full resumption of our services and our disaster recovery planning may not account for all eventualities. Despite precautions taken at these data center facilities, the occurrence of a natural disaster, an act of terrorism, or other act of malfeasance, a decision to close the facilities without adequate notice or other unanticipated problems at the facilities would harm our business.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operate in competitive markets, and we must continue to compete effectively.</w:t>
      </w:r>
    </w:p>
    <w:p>
      <w:pPr>
        <w:spacing w:after="0" w:line="9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The market for communication and collaboration technologies platforms is competitive and rapidly changing and includes companies ranging from new market entrants to hyperscalers that provide technologies to improve communication and collaboration technologies platforms either as bundled solutions or standalone products. Given the range of companies in this space, maintaining an open and robust marketplace with fair competition is important. Certain features of our current platform compete in the communication and collaboration technologies market with products offered by:</w:t>
      </w:r>
    </w:p>
    <w:p>
      <w:pPr>
        <w:spacing w:after="0" w:line="200" w:lineRule="exact"/>
        <w:rPr>
          <w:sz w:val="20"/>
          <w:szCs w:val="20"/>
          <w:color w:val="auto"/>
        </w:rPr>
      </w:pPr>
    </w:p>
    <w:p>
      <w:pPr>
        <w:spacing w:after="0" w:line="238"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4"/>
          <w:szCs w:val="14"/>
          <w:color w:val="auto"/>
        </w:rPr>
        <w:t>bundled productivity suite providers with communication offerings, including Microsoft 365 (with Teams) and Google Workspace (with Meet);</w:t>
      </w:r>
    </w:p>
    <w:p>
      <w:pPr>
        <w:spacing w:after="0" w:line="70" w:lineRule="exact"/>
        <w:rPr>
          <w:rFonts w:ascii="Arial" w:cs="Arial" w:eastAsia="Arial" w:hAnsi="Arial"/>
          <w:sz w:val="17"/>
          <w:szCs w:val="17"/>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web-based meeting providers, including Cisco Webex and GoTo;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UCaaS and legacy PBX providers, including Avaya, RingCentral, and 8x8;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consumer-facing platforms that can support small- or medium-sized businesses, including Amazon, Apple, and Facebook.</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continue to intensify.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February 2022, we launched Zoom Contact Center, an omnichannel contact center solution that is optimized for video, which competes against companies that offer similar services, such as Five9,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customers and partner relationships; more third-party integrations; greater accessibility across devices and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65"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In some cases, we have been forced to engage in price-cutting initiatives or other discounts to attract and retain customers in response to competitive pressures, and may have to do so in the future. We, on occasion, offer customers a free period of time at the beginning of the subscription term that can result in deferred billings or long-term accounts receivable and increase the risk of loss on uncollected accounts receivable.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results have fluctuated and may in the future fluctuate significantly and may not fully reflect the underlying performance of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Fluctuations in our results may negatively impact the value of our securities. Factors that may cause fluctuations in our results of operations include, without limitation, those listed below:</w:t>
      </w:r>
    </w:p>
    <w:p>
      <w:pPr>
        <w:spacing w:after="0" w:line="61"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upgrade customers to higher-priced plans;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and upgrade free users to one of our paid offerings;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employees, in particular those responsible for the selling or marketing of our platform;</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way we organize and compensate our sales teams;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and recognition of revenue;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sales to large organizations;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effectiveness of new sales and marketing initiatives;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experienced research and development personnel to design new products, features, and functionality that meet our privacy and security standards;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features, and functionality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delays in our service, network outages, or actual, alleged, or perceived privacy violations or issues or security vulnerabilities, incidents, or breaches;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regulatory actions or investigations, legislator scrutiny, or negative publicity arising from actual, alleged, or perceived privacy violations or issues or security vulnerabilities, incidents, or breaches;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industry, including consolidation among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that impact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large indemnification payments to our users or other third parties;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any future acquisitions;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significantly affected by changes in the economy, including any resulting effect on consumer or business spending.</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business may be significantly affected by changes in the economy, such as high inflation and the responses by central banking authorities to control such inflation, recessionary or uncertain environments, fluctuations in the foreign currency exchange rates and geopolitical tensions and military conflicts, including the ongoing conflicts between Russia and Ukraine and in the Middle East, and tariffs and trade tensions, including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As we increase sales to large organizations, our sales cycles have and could continue to lengthen, and we could experience greater deployment challenges.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critical to our future growth and success. If the communications and collaboration technologies market fails to grow, or grows more slowly than we currently anticipate, demand for our platform could be negatively affected.</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51"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awareness of the communications and collaboration technologies category;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products and services that compete with ours;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modes of communications and collaboration that may be developed in the future;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adoption and use;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features and platform experience;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of our platform, including frequency of outages;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user support;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net losses in the past and there are no assurances we will be able to maintain or increase profitability in the future.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be able to increase or maintain profitability in future periods. If we fail to grow our revenue sufficiently to keep pace with our investments and other expenses, our business would be harmed.</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respond to rapid technological changes, extend our platform, or develop new features.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6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use generative AI processes and algorithms, including by deploying generative AI features in our products and services, which may result in adverse effects to our operations, legal liability, reputation and competitive risks. The use of generative and agentic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or agentic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We currently offer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w:t>
      </w:r>
    </w:p>
    <w:p>
      <w:pPr>
        <w:spacing w:after="0" w:line="146"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51"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30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Unlike traditional communications and collaboration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3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On January 2, 2025, the U.S. Court of Appeals for the Sixth Circuit issued a decision overturning the FCC order. That decision remains subject to potential further appeals. We cannot predict the impact of the new rules on our operations or business.</w:t>
      </w:r>
    </w:p>
    <w:p>
      <w:pPr>
        <w:spacing w:after="0" w:line="235"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addition, a number of states have adopted or are adopting or considering legislation or executive actions that would regulate the conduct of broadband providers, including legislation to impose state-level network requirements in New York.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which, as described above, was overturned by the Sixth Circuit Court of Appeals,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2018 rules, which currently remain in effect,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 but the 2024 rules, if they go into effect, are intended to limit the ability of broadband internet access providers to engage in such behavior.</w:t>
      </w:r>
    </w:p>
    <w:p>
      <w:pPr>
        <w:spacing w:after="0" w:line="65"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If there are changes to the regulatory structures in the United States or elsewhere that reduce investment in infrastructure by internet service providers, including a return of the network neutrality regulations that were overturned, any impacts of reduced investment that reduce network capacity or speed could have a negative effect on our business, operating results, and financial condition.</w:t>
      </w:r>
    </w:p>
    <w:p>
      <w:pPr>
        <w:spacing w:after="0" w:line="301"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if our products and services are perceived as not being secure, this could result in customers and users curtailing or ceasing their use of our products, our incurring significant liabilities, and our business being harmed.</w:t>
      </w:r>
    </w:p>
    <w:p>
      <w:pPr>
        <w:spacing w:after="0" w:line="5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occurred in the past and may occur in the future, that result in unauthorized access to, loss or unauthorized disclosure of, or inadvertent disclosure of confidential, proprietary, and sensitive information.</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6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have discovered, and may in the future discover security issues that were not found during due diligence of such acquired or integrated entities, and it may be difficult to integrate companies into our information technology environment and security program.</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our reliance on third parties has in the past and could continue to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spacing w:after="0" w:line="6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If our security measures are compromised, as has occurred in the past,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23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expend significant resources or modify our business activities to try to protect against security incidents. Additionally, certain privacy, data protection, and information security obligations require us to implement and maintain certain security measures or industry-standard or reasonable security measures to protect our information technology systems and sensitive data.</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and compliance in the event of a widespread data breach is costly, and the disclosure or the failure to comply with such requirements could lead to adverse consequences. In addition, some of our customers require us to notify them of data security breaches.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our business, financial condition and results of operations may be harmed.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While our employee headcount both in the United States and internationally has generally increased over time, we have undertaken, and may undertake from time to time in the future, restructuring actions to better align our financial model. For example, in February 2023, we commenced certain restructuring actions, designed to reduce operating costs and continue advancing our ongoing commitment to profitable growth.</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sell subscriptions to our platform could be harmed by real or perceived material defects or errors in our platform.</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39"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 reduction in revenue or delay in market acceptance of our platform;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issue refunds to our customers or expose us to claims for damages;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lose existing customers and make it more difficult to attract new customers;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our development resources or require us to make extensive changes to our platform, which would increase our expenses;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technical support costs;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our reputation and brand.</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If we were to lose the services of our Chief Executive Officer or other members of our senior management team, we may not be able to execute our business strategy.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including the transition of our Chief Financial Officer in 2024,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To execute our business strategy, we must attract and retain highly-qualified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and expanding operations outside the United States, which may subject us to increased business, regulatory and economic risks that could harm our business.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Our platform addresses the communications and collaboration needs of users worldwide, and we see international expansion as a major opportunity. Our revenue from APAC and EMEA collectively represented 28.2% and 28.7%, and 30.5% of our revenue for the fiscal years ended January 31, 2025, 2024, and 2023, respectively.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internationally subjects us to new risks and increases risks that we currently face, including risks associated with:</w:t>
      </w:r>
    </w:p>
    <w:p>
      <w:pPr>
        <w:spacing w:after="0" w:line="94" w:lineRule="exact"/>
        <w:rPr>
          <w:sz w:val="20"/>
          <w:szCs w:val="20"/>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foreign jurisdictions where the government may impede or interrupt our ability to provide our services or develop new products, features, and functionality;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an employee base in jurisdictions that may not give us the same employment and retention flexibility as the United States;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jurisdictions that do not protect intellectual property rights to the same extent as the United States and the practical enforcement of such intellectual property rights outside of the United States;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partners outside of the United States;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and other political tensions between countries in which we do business;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diplomatic and trade relationships, including the continuing deterioration in diplomatic relations between the United States and China, or deterioration in diplomatic relations between the United States and countries with which the United States has traditionally enjoyed close ties and alliances, and the ongoing conflicts between Russia and Ukraine and in the Middle East;</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increased accounting, travel, infrastructure, and legal compliance costs.</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expand our international presence, and any failure to comply with such laws could harm our business, financial condition, and results of operations.</w:t>
      </w:r>
    </w:p>
    <w:p>
      <w:pPr>
        <w:spacing w:after="0" w:line="17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Geopolitical tension between the United States and China, or between other economies, such as Taiwan, and China, may intensify and lead to increased scrutiny of our business operations in China.</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6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conducted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33"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4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who increase their use of our platform or upgrade to a higher-priced plan must be recognized over the applicable subscription term.</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support for our customers and users may harm our relationships with our customers and users and, consequently, our business.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maintain high-quality support, or a market perception that we do not maintain high-quality support for our customers and users, would harm our business.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 check certain processes, such as customer due diligence, which has and may continue to impact such resellers’ ability to implement robust customer verification protocols and mitigate fraud risk.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which are reported in U.S. dollars, could be adversely affected if currency exchange rates fluctuate substantially in the future.</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fiscal years ended January 31, 2025, 2024, and 2023, 19.3%, 19.3%, and 20.0% of our revenue, respectively, and 16.4%, 13.7%, and 10.8%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year ended January 31, 2025, our total revenue was lower than anticipated in part due to the strengthening of the U.S. dollar. We do not currently maintain a program to hedge exposures to non-U.S. dollar currencies.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sales to government entities and other government contractors are subject to a number of additional challenges and risks.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51" w:lineRule="exact"/>
        <w:rPr>
          <w:sz w:val="20"/>
          <w:szCs w:val="20"/>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governmental entities are subject to termination for the convenience of the customer;</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with terms and conditions of government contracts, or with representations or certifications made in connection with government contracts, can result in significantly more adverse consequences than we typically would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expect in the commercial market, including, depending on the circumstances, criminal liability, liability under the civil False Claims Act, and/or suspension or debarment from doing business with governmental entities;</w:t>
      </w:r>
    </w:p>
    <w:p>
      <w:pPr>
        <w:spacing w:after="0" w:line="39" w:lineRule="exact"/>
        <w:rPr>
          <w:sz w:val="20"/>
          <w:szCs w:val="20"/>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U.S. government contractor, we may be subject to executive orders and regulatory changes affecting various aspects of our operations, including compliance with nondiscrimination plans, and any required elimination or modification of such plans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January 2025, the current administration began issuing Executive Orders identifying new government policy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who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have exposure to greater than anticipated tax liabilities, which could harm our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provision for taxes on our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has been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ended January 31, 2025, and the remaining rules becoming effective for our fiscal year ending January 31, 2026, or in later periods.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the current scale of our business, which makes it difficult to evaluate our prospects and future results of operations.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continually seeking to improve our ability to measure our key business metrics, and regularly review our processes to assess potential improvements.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Laws and Regulations</w:t>
      </w:r>
    </w:p>
    <w:p>
      <w:pPr>
        <w:spacing w:after="0" w:line="17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and subject us to significant fines and liability.</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and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Laws in the United States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are required to obtain certain consents to process personal information. For example, some of our data processing practices may be challenged under wiretapping laws when we obtain consumer information from third parties through various methods, including chatbot and session replay providers, or via third-party marketing pixels. These practices are subject to increased challenges by class action plaintiffs. Several states and foreign jurisdictions have enacted statutes imposing obligations on businesses collecting or processing biometric information. For example, Illinois’ Biometric Information Privacy Act (“BIPA”) regulates the collection, use, safeguarding, and storage of biometric information and provides for substantial penalties and statutory damages. The Federal Trade Commission (“FTC”), has indicated that use of biometric technologies (including facial recognition technologies) may be subject to additional scrutiny. Our inability or failure to obtain consent for these practices could result in adverse consequences, including class action litigation, mass arbitration demands, and regulatory attention.</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Laws Outside of the United States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w:t>
      </w:r>
    </w:p>
    <w:p>
      <w:pPr>
        <w:spacing w:after="0" w:line="223"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We also market to customers in Asia and have operations in Japan, Singapore and India, and may be subject to new and emerging privacy, data protection, and information security regimes in the region, including Japan’s Act on the Protection of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Personal Information, Singapore’s Personal Data Protection Act, and India's new privacy legislation, the Digital Personal Data Protection Act.</w:t>
      </w:r>
    </w:p>
    <w:p>
      <w:pPr>
        <w:spacing w:after="0" w:line="9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w:t>
      </w:r>
    </w:p>
    <w:p>
      <w:pPr>
        <w:spacing w:after="0" w:line="6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Artificial Intelligence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development and use of AI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technology featuring AI. For example, the EU's AI Act enters in phases this year and will have a direct effect across all EU jurisdictions. The EU AI Act and other similar laws, if implemented and if applicable, could impose onerous obligations related to the use of AI-related systems. Obligations on AI may make it harder for us to conduct our business using, or build products incorporating, AI, require us to change our business practices, require us to retrain our algorithms, require us to disclose or provide greater transparency regarding the nature of our AI tools and the data we have employed to train them, or prevent or limit our use of AI. For example, the FTC has required other companies to turn over (or disgorge) valuable insights or trainings generated through the use of AI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 If we do not develop or incorporate AI in a manner consistent with these factors, and consistent with customer expectations, it has in the past and may in the future result in an adverse impact to our reputation, our business may be less efficient, or we may be at a competitive disadvantage. Similarly, if customers and users do not widely adopt our new product AI experiences, features, and capabilities, or they do not perform as expected, we may not be able to realize a return on our investment.</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Laws Relating to Minors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Additionally, regulators are increasingly scrutinizing companies that process minors' data and/or provide online services or other interactive platforms used by minors. Numerous laws, regulations, and legally-binding codes, such as the Children’s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and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Consumer Preferences and Protection</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scheduled to take effect in 2027 that require video conferencing services to include features 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Industry Standards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to privacy, data protection and information security laws, we are contractually subject to certain industry standards adopted by industry groups and may become subject to additional such obligations in the future. We also have certain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whitepapers and other statements, such as compliance with certain certifications or self-regulatory principles, regarding privacy, data protection, artificial intelligence and information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Government Inquiries and Investigations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These investigations are ongoing, and a negative outcome in any or all of these matters could cause us to incur substantial fines, penalties, or other financial exposure, as well as material reputational harm, a loss of customer and user confidence and business, additional expenses, and other harm to our business. As of the date hereof, in regard to the SEC matter, a tentative settlement of $18.0 million is now outstanding and remains subject to SEC approval. We do not know when these matters will be completed, including the SEC matter, which facts we will ultimately discover as a result of the investigations, or what actions the government may or may not take.</w:t>
      </w:r>
    </w:p>
    <w:p>
      <w:pPr>
        <w:spacing w:after="0" w:line="63"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Consents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and features, possibly in a material manner, which we may be unable to complete and may limit our ability to store and process user data or provide or develop new services and features.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Public Perception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Failure to Comply with our Obligations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and may continue to necessitate changes to our services, information technologies, systems, and practices and to those of any third parties that process personal information on our behalf.</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48"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U.S. or foreign governments have taken and may in the future take administrative, legislative, or regulatory action, including imposing tariffs, that could materially interfere with our ability to sell products in certain countries.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current administration or future administrations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 the U.S. Government has expressed concerns with the security of information and communications technology and services (“ICTS”) sourced from providers in China, Russia, and other jurisdictions. In May 2019, an executive order was issued invoking national emergency economic powers to implement a framework to regulate the acquisition or transfer of ICTS in transactions that imposed undue national security risks. The executive order is subject to implementation by the Secretary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additional liabilities on past sales for taxes, surcharges, and fees.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4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4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The current administration and many members of Congress from both parties support the reform or repeal of Section 230, so the possibility of Congressional action remains. In addition, the FCC is considering a petition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that, if successful, would greatly limit the scope of Section 230. The U.S. Supreme</w:t>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Court recently declined to limit the applicability of Section 230 in certain circumstances, but future cases may not yield the same results and 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it would review both the Florida and Texas decisions, and on July 1, 2024, the Court issued a decision returning both cases to the trial courts for additional analysis. The district court in Texas, on August 29, 2024, issued a decision staying some portions of the Texas law and allowing others to go into effect, relying on analysis under both Section 230 and the First Amendment, and on November 18, 2024, the Fifth Circuit issued an order setting parameters for the district court's consideration of the issues raised by the Supreme Court. The district court in Florida set a trial date in its case for June 2025. Florida amended its statute in an effort to address issues that led the court to issue the stay.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 becomes the speech of the company, reversing a trial court decision that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immunized the company under Section 230. We cannot predict whether any such state legislation will be adopted, enforced, modified, overturned, or vacated.</w:t>
      </w:r>
    </w:p>
    <w:p>
      <w:pPr>
        <w:spacing w:after="0" w:line="94" w:lineRule="exact"/>
        <w:rPr>
          <w:sz w:val="20"/>
          <w:szCs w:val="20"/>
          <w:color w:val="auto"/>
        </w:rPr>
      </w:pPr>
    </w:p>
    <w:p>
      <w:pPr>
        <w:jc w:val="both"/>
        <w:ind w:firstLine="509"/>
        <w:spacing w:after="0" w:line="173" w:lineRule="exact"/>
        <w:rPr>
          <w:sz w:val="20"/>
          <w:szCs w:val="20"/>
          <w:color w:val="auto"/>
        </w:rPr>
      </w:pPr>
      <w:r>
        <w:rPr>
          <w:rFonts w:ascii="Times New Roman" w:cs="Times New Roman" w:eastAsia="Times New Roman" w:hAnsi="Times New Roman"/>
          <w:sz w:val="14"/>
          <w:szCs w:val="14"/>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5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Federal Regulation</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The Supreme Court currently is considering a challenge to the USF contribution rules that could affect how such contributions are collected from services providers like us.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6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As described above, the FCC has reinstated its prior network neutrality regulations, but the FCC order was reversed by the Sixth Circuit Court of Appeals.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23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We cannot predict the impact of the new rules on our operations or business or whether they will be overturned in court.</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the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State Regulation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has adopted an order requiring VoIP providers like Zoom Phone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The FCC’s April 25 order permits it to preempt any state-level network neutrality requirements that go beyond the requirements adopted in that order, but specifically held that the California law would not be preempted. The FCC order was stayed on August 1, 2024, pending resolution of an appeal.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International Regulation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be in the future, party to intellectual property rights claims and other litigation matters, which, if resolved adversely, could harm our business.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proprietary rights of others. Some companies, including some of our competitors, own large numbers of patents, as well as valuable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use of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protect our intellectual property rights and proprietary information could diminish our brand and other intangible assets.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primarily rely and expect to continue to rely on a combination of patent, trademark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trademark rights is an important factor in product recognition, protecting our brand and maintaining goodwill. If we do not adequately protect our rights in our trademarks from infringement and unauthorized use, any goodwill that we have developed in those trademarks could be lost, diminished or impaired, which could harm our brand and our business. Third parties may knowingly or unknowingly infringe our intellectual property or proprietary rights; third parties may challenge our intellectual property or proprietary rights;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develop similar technologies or processes, or independently discover our trade secrets, in which case we would not be able to assert our trade secret rights. Further, the laws of certain foreign countries do not provide the same level of intellectual property protection of corporate proprietary information and assets such as rights to patents, copyrights,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3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have incorporated, and may in the future incorporate, third-party open source software (including our open source AI models)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 Furthermore, with respect to our use of third party open source AI models, some licenses to third party open source AI models contain additional use restrictions pertaining to research-only limitations or, in some cases, vague notions of responsible uses for the AI models, which may not in all instances comport with our business practices.</w:t>
      </w:r>
    </w:p>
    <w:p>
      <w:pPr>
        <w:spacing w:after="0" w:line="6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Class A common stock may be volatile, and you could lose all or part of your investment.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51"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technology stocks;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those projections, or our failure to meet those projections;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features, or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results of operations or fluctuations in our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our competitors’ businesses, or the competitive landscape generally;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products, services, or technologies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management;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social, economic and market conditions, in both domestic and our foreign markets, including effects of increased interest rates and inflationary pressures.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As of January 31, 2025, the holders of our outstanding Class B common stock held 61.8% of the voting power of our outstanding capital stock, with our directors, executive officers and 5% stockholders and their respective affiliates holding 57.0% of such voting power in the aggregate. As of January 31, 2025, our founder, President and Chief Executive Officer, Eric S. Yuan, together with his affiliates, held approximately 7.2% of our outstanding capital stock but controlled approximately 31.8%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charter documents also contain other provisions that could have an anti-takeover effect, such as: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classified board of directors so that not all members of our board of directors are elected at one time;</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the board of directors to establish the number of directors and fill any vacancies and newly created directorships;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directors may only be removed for cause;</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for directors;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super-majority voting to amend some provisions in our certificate of incorporation and bylaws;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the issuance of “blank check” preferred stock that our board of directors could use to implement a stockholder rights plan;</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eliminating the ability of stockholders to call special meetings of stockholders;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which requires all stockholder actions to be taken at a meeting of our stockholders; and</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dual-class common stock structure as described above.</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4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disrupted by catastrophic events.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reported results of operations may be adversely affected by changes in accounting principles generally accepted in the United States.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need additional capital, and we cannot be certain that additional financing will be available on favorable terms, or at all.</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4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3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violation, which significantly increases the enforcement risk faced by us and other public companies for any weaknesses in disclosure controls and internal control over financial reporting.</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incur costs and demands upon management as a result of complying with the laws and regulations affecting public companies in the United States, which may harm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There is an increasing focus from regulators, investors, customers and other stakeholders concerning environmental, social and governance matters. To the extent we share information about our practices in this area, we could be criticized for the accuracy, adequacy, or completeness of such disclosures. In addition, we may communicate related goals or initiatives from time to time, which can be costly to achieve and difficult to implement. There is no assurance that we will achieve any of these goals, that our initiatives will achieve their intended outcome, and our ability to implement these initiatives or achieve these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Climate change may have an impact on our business.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are inherent climate-related risks wherever business is conducted. We have a global workforce, and operate in leased office spaces and data centers, and the short, medium and long term climate impacts to our business are unclear.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Changing market dynamics, global policy developments and the increasing frequency and impact of extreme weather events to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designed and implemented an information security program that is tailored to our operations and infrastructure, the nature of our products and services, and the sensitivity of data. Our information security program consists of processes that are designed to identify, assess, and manage material risks from cybersecurity threats.</w:t>
      </w:r>
    </w:p>
    <w:p>
      <w:pPr>
        <w:spacing w:after="0" w:line="3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have implemented cybersecurity risk management processes that include, for example, vulnerability assessments, application security assessments, penetration testing, third party security assessments, security audits, and ongoing risk assessments. In addition, we have implemented certain technical, physical, and organizational safeguards designed to mitigate material risks from cybersecurity threats, including, for example, depending on the environment or system: information security policies and standards, data protection policies and standards, security training and awareness campaigns, information protection processes, and systems monitoring for cybersecurity threats. We have also implemented an Incident Response Plan and procedures that provide us with a framework for responding to cybersecurity incidents. The Incident Response Plan and procedures provide protocols for incident evaluation, including the use of third-party service providers, processes for notification, and internal escalation of information to our senior management and the appropriate Board committee(s), all as appropriate depending on the nature of the incident. The Incident Response Plan is reviewed and updated, as necessary, under the leadership of Zoom’s Chief Information Security Officer (“CISO”).</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Further, our assessment and management of material risks from cybersecurity threats are an important element of our overall enterprise risk management program and included in our annual enterprise risk assessment which we provide to senior management and the Board.</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third-party service providers to assist us from time to time to identify, assess, and manage material risks from cybersecurity threats, including for example: professional services firms (including legal counsel), threat intelligence service providers, cybersecurity consultants, cybersecurity software and managed service providers, penetration testing firms, and forensic investigators.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a third party risk management program designed to oversee, identify, and mitigate material risks from cybersecurity threats associated with our use of third-party service providers. We perform risk-based due diligence and ongoing monitoring of third parties, which may include, for example: reviewing the third party’s relevant security audits and assessments, conducting our own security assessments, and imposing contractual obligations related to information security.</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the date of this Annual Report on Form 10-K, we do not believe any risks from cybersecurity threats have materially affected or are reasonably likely to materially affect us, including our business strategy, results of operations or financial condition. For a description of the risks from cybersecurity threats that may materially affect us and how they may do so, see the risk factor titled "Our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 in Part I, Item 1A. Risk Factors of this Annual Report on Form 10-K.</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Board addresses our cybersecurity risk management as part of its general oversight function. As outlined in its committee charter, the Cybersecurity Risk Management Committee of the Board (“Cybersecurity Risk Committee”) assists the Board in fulfilling its oversight responsibility. Our CISO, Michael Adams, leads the team responsible for implementing and maintaining our information security program and reports directly to the Chief Operating Officer (“COO”), who reports directly to our Chief Executive Officer (“CEO”). Mr. Adams is a graduate of the United States Naval Academy and brings nearly 30 years of security and leadership experience, including serving as Deputy General Counsel of NATO's International Security Assistance Force Joint Command, Deputy General Counsel of the United States' Military's Pacific Command, and Deputy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Counsel for two Chairmen of the Joint Chiefs of Staff of the United States, as well as an executive at a leading technology company. Mr. Adams previously served as Zoom's Chief Counsel to the COO and CISO.</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CISO provides regular briefings to our senior management and the Cybersecurity Risk Committee concerning relevant cybersecurity risks and the processes we have implemented to address them. The Cybersecurity Risk Committee and the Board also receive various reports, summaries, and presentations related to cybersecurity threats, risks, and mitigations.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APAC and EMEA.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may be found in Note 9 - “Commitment and Contingencies” in the accompanying notes to the consolidated financial statements included in Part II, Item 8, “Consolidated Financial Statements and Supplementary Data” of this Annual Report on Form 10-K, under “Legal Proceedings,” which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2" w:lineRule="exact"/>
        <w:rPr>
          <w:sz w:val="20"/>
          <w:szCs w:val="20"/>
          <w:color w:val="auto"/>
        </w:rPr>
      </w:pPr>
    </w:p>
    <w:p>
      <w:pPr>
        <w:ind w:right="1300"/>
        <w:spacing w:after="0" w:line="444"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“ZM.”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2025, we had 52 holders of record of our Class A common stock and 12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subject to applicable laws, and will depend on a number of factors, including our financial condition, results of operations, capital requirements, contractual restrictions, general business conditions, and other factors that our Board may deem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following graph compares (i) the cumulative total stockholder return on our Class A common stock from January 31, 2020 through January 31, 2025 with (ii) the cumulative total return of the Russell 2000 Index (“RUT”) and the Nasdaq Computer Index (“IXCO”) over the same period, assuming the investment of $100 in our Class A common stock and in both of the other indices on January 31, 2020 and the reinvestment of dividends. The graph uses the closing market price on January 31, 2020 of $76.30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520065</wp:posOffset>
            </wp:positionV>
            <wp:extent cx="4130040" cy="256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our repurchases of Class A common stock during the three months ended January 31, 2025:</w:t>
      </w:r>
    </w:p>
    <w:p>
      <w:pPr>
        <w:sectPr>
          <w:pgSz w:w="11900" w:h="16838" w:orient="portrait"/>
          <w:cols w:equalWidth="0" w:num="1">
            <w:col w:w="11280"/>
          </w:cols>
          <w:pgMar w:left="300" w:top="125" w:right="319" w:bottom="1440" w:gutter="0" w:footer="0" w:header="0"/>
        </w:sectPr>
      </w:pPr>
    </w:p>
    <w:p>
      <w:pPr>
        <w:spacing w:after="0" w:line="12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3"/>
          <w:szCs w:val="13"/>
          <w:color w:val="auto"/>
        </w:rPr>
        <w:t>Period</w:t>
      </w:r>
    </w:p>
    <w:p>
      <w:pPr>
        <w:spacing w:after="0" w:line="296" w:lineRule="exact"/>
        <w:rPr>
          <w:sz w:val="20"/>
          <w:szCs w:val="20"/>
          <w:color w:val="auto"/>
        </w:rPr>
      </w:pPr>
    </w:p>
    <w:p>
      <w:pPr>
        <w:ind w:left="20" w:right="440"/>
        <w:spacing w:after="0" w:line="298" w:lineRule="auto"/>
        <w:rPr>
          <w:sz w:val="20"/>
          <w:szCs w:val="20"/>
          <w:color w:val="auto"/>
        </w:rPr>
      </w:pPr>
      <w:r>
        <w:rPr>
          <w:rFonts w:ascii="Times New Roman" w:cs="Times New Roman" w:eastAsia="Times New Roman" w:hAnsi="Times New Roman"/>
          <w:sz w:val="13"/>
          <w:szCs w:val="13"/>
          <w:color w:val="auto"/>
        </w:rPr>
        <w:t>November 1 - 30, 2024 December 1 – 31, 2024 January 1 – 31, 2025 Total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Total Number of Shares Purchased</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6"/>
                <w:szCs w:val="16"/>
                <w:color w:val="auto"/>
              </w:rPr>
            </w:pPr>
          </w:p>
        </w:tc>
        <w:tc>
          <w:tcPr>
            <w:tcW w:w="200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Average Price Paid per Share</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Total Number of Shares Purchased as Part</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Approximate Dollar Value of Shares that</w:t>
            </w:r>
          </w:p>
        </w:tc>
      </w:tr>
      <w:tr>
        <w:trPr>
          <w:trHeight w:val="138"/>
        </w:trPr>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4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2"/>
                <w:szCs w:val="12"/>
                <w:color w:val="auto"/>
              </w:rPr>
              <w:t>of Publicly Announced Program</w:t>
            </w:r>
            <w:r>
              <w:rPr>
                <w:rFonts w:ascii="Times New Roman" w:cs="Times New Roman" w:eastAsia="Times New Roman" w:hAnsi="Times New Roman"/>
                <w:sz w:val="15"/>
                <w:szCs w:val="15"/>
                <w:color w:val="auto"/>
                <w:vertAlign w:val="superscript"/>
              </w:rPr>
              <w:t>(1)</w:t>
            </w:r>
          </w:p>
        </w:tc>
        <w:tc>
          <w:tcPr>
            <w:tcW w:w="100" w:type="dxa"/>
            <w:vAlign w:val="bottom"/>
          </w:tcPr>
          <w:p>
            <w:pPr>
              <w:spacing w:after="0"/>
              <w:rPr>
                <w:sz w:val="11"/>
                <w:szCs w:val="11"/>
                <w:color w:val="auto"/>
              </w:rPr>
            </w:pPr>
          </w:p>
        </w:tc>
        <w:tc>
          <w:tcPr>
            <w:tcW w:w="20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7"/>
              </w:rPr>
              <w:t>May Yet Be Purchased Under Publicly</w:t>
            </w:r>
          </w:p>
        </w:tc>
      </w:tr>
      <w:tr>
        <w:trPr>
          <w:trHeight w:val="191"/>
        </w:trPr>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Announced Program (in thousands)</w:t>
            </w:r>
            <w:r>
              <w:rPr>
                <w:rFonts w:ascii="Times New Roman" w:cs="Times New Roman" w:eastAsia="Times New Roman" w:hAnsi="Times New Roman"/>
                <w:sz w:val="16"/>
                <w:szCs w:val="16"/>
                <w:color w:val="auto"/>
                <w:w w:val="96"/>
                <w:vertAlign w:val="superscript"/>
              </w:rPr>
              <w:t>(1)</w:t>
            </w:r>
          </w:p>
        </w:tc>
      </w:tr>
      <w:tr>
        <w:trPr>
          <w:trHeight w:val="165"/>
        </w:trPr>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333,702</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80.65</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333,702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1,933,775</w:t>
            </w:r>
          </w:p>
        </w:tc>
      </w:tr>
      <w:tr>
        <w:trPr>
          <w:trHeight w:val="180"/>
        </w:trPr>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1,986,422</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1,986,422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1,765,925</w:t>
            </w:r>
          </w:p>
        </w:tc>
      </w:tr>
      <w:tr>
        <w:trPr>
          <w:trHeight w:val="18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1,961,501</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81.47</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1,961,501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1,606,122</w:t>
            </w:r>
          </w:p>
        </w:tc>
      </w:tr>
      <w:tr>
        <w:trPr>
          <w:trHeight w:val="163"/>
        </w:trPr>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4,281,625</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82.81</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4,281,625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1,606,122</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-484505</wp:posOffset>
            </wp:positionV>
            <wp:extent cx="7161530" cy="114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-255270</wp:posOffset>
            </wp:positionV>
            <wp:extent cx="7161530"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720"/>
            <w:col w:w="8900"/>
          </w:cols>
          <w:pgMar w:left="300" w:top="125" w:right="319" w:bottom="1440" w:gutter="0" w:footer="0" w:header="0"/>
          <w:type w:val="continuous"/>
        </w:sectPr>
      </w:pPr>
    </w:p>
    <w:p>
      <w:pPr>
        <w:spacing w:after="0" w:line="114" w:lineRule="exact"/>
        <w:rPr>
          <w:sz w:val="20"/>
          <w:szCs w:val="20"/>
          <w:color w:val="auto"/>
        </w:rPr>
      </w:pPr>
    </w:p>
    <w:p>
      <w:pPr>
        <w:jc w:val="both"/>
        <w:ind w:firstLine="5"/>
        <w:spacing w:after="0" w:line="222" w:lineRule="auto"/>
        <w:tabs>
          <w:tab w:leader="none" w:pos="153"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10 "Stockholders’ Equity and Equity Incentive Plans" of this Annual Report on Form 10-K for additional information related to share repurchases.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Workplace with AI Companion is an open, AI-first work platform for human connection. Our platform is designed to enable seamless communication and collaboration through a suite of products that includes Zoom Meetings, Zoom Phone, Zoom Team Chat, and Zoom Docs, and more, all powered by AI to improve productivity, collaboration, and business outcomes.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strive to simplify the workday with tools that drive meaningful team collaboration and customer engagement. Zoom Workplace, our AI-driven platform, supports businesses by providing an open, scalable solution for communication and collaboration. This includes Zoom Contact Center, Zoom Revenue Accelerator, and Zoom Events, which empower sales, marketing, and customer experience teams to foster stronger customer relationships.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AI is core to Zoom’s product innovation. In fiscal year 2025, Zoom continued to invest in AI and focused on three key areas regarding AI: supporting individual productivity, powering better collaboration, and helping customer-facing teams deliver meaningful business value and delight to their customers. Our federated approach to AI enables users to leverage multiple AI models (including those from OpenAI, Anthropic, and Meta), making AI more accessible and affordable so that more people can incorporate them in their day-to-day workflows. In line with our commitment to responsible AI, Zoom does not use customer audio, video, chat, screen sharing, attachments, or other communications (such as poll results, whiteboard, and reactions) to train Zoom’s or third-party AI models.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Zoom’s platform prioritizes security and privacy, with 32 co-located data centers globally and robust encryption. We are committed to delivering high-quality, real-time video, even in low-bandwidth conditions, while safeguarding our customers' data.</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Revenue is driven by subscriptions to Zoom Workplace and Zoom Business Services. Our core offerings include Zoom Workplace Pro, Business, and Enterprise bundles, with vertical-specific plans for Education, Healthcare, and Government. We also offer Zoom Phone, with regional and global calling plans designed to meet diverse customer needs.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revenue was $4,665.4 million, $4,527.2 million, and $4,393.0 million for the fiscal years ended January 31, 2025, 2024, and 2023, respectively, representing year-over-year growth of 3.1% and 3.1%, respectively. We had net income of $1,010.2 million, $637.5 million, and $103.7 million for the fiscal years ended January 31, 2025, 2024, and 2023, respectively. Net cash provided by operating activities was $1,945.3 million, $1,598.8 million, and $1,290.3 million for the fiscal years ended January 31, 2025, 2024, and 2023, respectively.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Macroeconomic Conditions and Other Factors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macroeconomic environment including geopolitical conflicts, tariffs and trade tensions, inflationary pressures, interest rate fluctuations, and foreign currency exchange rate volatility continues to create uncertainty in demand for subscriptions to our unified communications and collaboration platform. These factors, along with responses by central banks and government policies, have placed pressure on consumer and business behavior, leading to elongated sales cycles and increased scrutiny of IT budgets among existing and potential customers. For the fiscal year ended January 31, 2025, compared to the fiscal year ended January 31, 2024, we experienced continued growth in total revenue and revenue from Enterprise customers. However, several factors have impacted and may continue to impact our growth rate, such as higher market penetration, increased competition, and the maturation of our business, among others.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While we have seen improvement in the macroeconomic environment in recent periods, we continue to monitor the potential effects of these circumstances as well as the overall global economy and geopolitical landscape on our business and financial results, as well as the overall global economy. The implications of macroeconomic conditions on our business, results of operations, and overall financial position, particularly in the long term, remain uncertain.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 to “Part I, Item 1A. Risk Factors” of this Annual Report on Form 10-K for further discussions of the potential impacts of the current macroeconomic conditions on our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Acquiring New Customers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focused on continuing to grow the number of customers who use Zoom Workplace and Zoom Business Services.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Expansion of Zoom Across Existing Enterprise Customers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believe that there is a large opportunity for growth with many of our existing customers. Historically, customers have increased the size of their subscriptions as they have expanded their use of our platform across their operations. Over the past few years, macroeconomic headwinds have resulted in slower hiring and higher seat count downsells from our existing Enterprise customers in key markets that has impacted the rate of expansion and have caused our net dollar expansion rate for Enterprise customers to drop below one hundred percent. Despite the decline in our rate of expansion, we believe there are still opportunities for future growth with our existing customers as we innovate our platform with additional product offerings and the use of AI. This expansion in the use of our platform also provides us with opportunities to market and sell additional products to our customers, such as Zoom Phone, Contact Center, and Workvivo.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62"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59.0%, 57.9% and 54.8% of total revenue for the fiscal years ended January 31, 2025, 2024, and 2023,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contractions,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 month net dollar expansion rate for Enterprise customers was 98%, 101%, and 115% as of January 31, 2025, 2024, and 2023, respectively.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Retention of Online Customers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to Enterprise customers, we also have a significant number of customers who subscribe to our services directly through our website (“Online customers” or “Online business”). Online customers represent a diverse customer base, ranging from individual consumers to small and medium-size businesses. We continue to focus on acquisition and retention of our Online customer base through various strategies to improve the features and functionalities of our products and services. Revenue from Online customers represented 41.0%, 42.1%, and 45.2% of total revenue for the fiscal years ended January 31, 2025, 2024, and 2023, respectively. The ability to retain these Online customers will have an impact on our future revenue. The online monthly average churn for our Online customers was 2.9%, 3.1%, and 3.4% per month for the fiscal years ended January 31, 2025, 2024, and 2023, respectively. One of the dynamics in the Online portion of the business is the MRR contribution from customers who have retained Zoom services for a certain portion of time as these customers tend to maintain their subscriptions and contribute meaningfully to the Online business. As of January 31, 2025, 2024, and 2023 the percentage of total Online MRR from Online customers with a continual term of service of at least 16 months was 75.1%, 74.2% and 72.0% respectively.</w:t>
      </w:r>
    </w:p>
    <w:p>
      <w:pPr>
        <w:spacing w:after="0" w:line="23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divided that amount by three to calculate the Online average monthly churn for the applicable quarter.</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Innovation and Expansion of Our Platform</w:t>
      </w:r>
    </w:p>
    <w:p>
      <w:pPr>
        <w:spacing w:after="0" w:line="8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continue to invest resources to enhance the capabilities of Zoom Workplace and Zoom Business Services. For example, we have introduced a number of new products and enhancements, including Zoom AI Companion, Zoom Docs, and ongoing enhancements for Zoom Phone, Meetings, Zoom Rooms, Sessions, Webinars, Events, and Contact Center. We also deliver Zoom Phone calling plans in more than 45 countries and territories as of January 31, 2025.</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recently announced several upcoming products, including Zoom Tasks, a custom AI Companion add-on, Zoom Workplace for Frontline Workers, and Zoom Workplace for Clinicians. The custom AI Companion add-on is designed to handle complex tasks across our platform by integrating data from multiple sources, including third-party apps. Zoom Workplace for Frontline Workers is an AI-powered mobile solution aimed at enhancing on-shift communications, task management, and insights for frontline employees and their managers. Zoom Workplace for Clinicians is designed to automate clinical workflows, leveraging healthcare AI to streamline clinical notes, reduce documentation overhead, and improve doctor-patient interactions. These products are expected to be generally available in the first half of 2025.</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An E2EE option is available to free and paid Zoom customers globally who host meetings with up to 1,000 participants as well as on Zoom Phone for one-on-one calls on the same Zoom account. Zoom’s E2EE uses the same 256-bit AES-GCM encryption to encrypt real-time media in meetings during transit that supports standard Zoom Meetings, but with Zoom’s E2EE, the feature is designed so that the device of the meeting host, or originating caller in the case of Zoom Phone, as opposed to Zoom’s servers, generates encryption keys and uses public key cryptography to distribute these keys to the other meeting participants or call recipient. Additionally, Zoom’s post-quantum E2EE is now globally available for Zoom Workplace, specifically for Zoom Meetings and Zoom Phone, with support for Zoom Rooms coming soon. We believe that the launch of the new security enhancement makes Zoom the first UCaaS company to offer a post-quantum E2EE solution for video conferencing.</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International Opportunity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platform addresses the communications and collaboration needs of users worldwide, and we see international expansion as a major opportunity. Our revenue from the rest of the world (APAC and EMEA) represented 28.2%, 28.7%, and 30.5% of our total revenue for the fiscal years ended January 31, 2025, 2024, and 2023, respectively.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review the following key business metrics to measure our performance, identify trends, formulate financial projections, and make strategic decisions.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Number of Enterprise Customers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Zoom continues to expand and evolve, we have seen an increasing overlap between our Enterprise and Online customer categories. Over time, customers with lower MRR are expected to move from Enterprise to Online as we optimize our sales strategies. While these moves do not have a material impact on other key business metrics, the number of customers between these two groups has become less meaningful as a key business metric. Therefore, beginning in the first quarter of fiscal year 2026, we will no longer report the number of Enterprise customers as a key business metric. However, we will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 to provide this metric in the appendix of our investor deck through the end of fiscal year 2026, which will be accessible on our investor relations website (investors.zoom.us).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Instead of using Enterprise customer count as an indicator of our performance, we believe that revenue from Enterprise customers and the number of customers contributing more than $100,000 in trailing 12 month revenue are better indicators of our ability to grow and scale with larger organizations. These metrics better reflect our progress in attracting and retaining high-value customers and scaling our business over time.</w:t>
      </w:r>
    </w:p>
    <w:p>
      <w:pPr>
        <w:spacing w:after="0" w:line="15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January 31, 2025, 2024, and 2023, we had approximately 192,600, 220,400, and 213,000 Enterprise customers, respectively. During the three months ended April 30, 2024, in order to enhance customer experience and improve efficiency, we transitioned approximately 26,800 Enterprise customers with lower MRR away from working with direct sales teams, resellers, or strategic partners. These customers are now considered Online customers and no longer included in our Enterprise customer total as of January 31, 2025. The impact of this transition did not have a material impact on the percentage of revenue from Enterprise and Online customers, net dollar expansion rate, or Online average monthly churn.</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Customers Contributing More Than $100,000 of Trailing 12 Months Revenue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focus on growing the number of customers who contribute more than $100,000 of trailing 12 months revenue as it is a measure of our ability to scale with our customers and attract larger organizations to Zoom. Revenue from these customers represented 31.0%, 29.2%, and 27.1% of total revenue for the fiscal years ended January 31, 2025, 2024, and 2023, respectively. As of January 31, 2025, 2024, and 2023, we had 4,088, 3,810, and 3,471 customers, respectively, that contributed more than $100,000 of trailing 12 months revenue, demonstrating our penetration of larger organizations, including enterprises. These customers are a subset of Enterprise customers.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that free cash flow (“FCF”) is a non-GAAP financial measure that is useful in evaluating our liquidity.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presents a summary of our cash flows for the fiscal years presented and a reconciliation of FCF to net cash provided by operating activities, the most directly comparable financial measure calculated in accordance with GAAP: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6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1,598,836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1,290,262</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purchases of property and equipment</w:t>
            </w: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(136,560)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(126,953)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(103,826)</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Free cash flow (non-GAAP)</w:t>
            </w: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1,808,748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1,471,883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1,186,436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vMerge w:val="continue"/>
          </w:tcPr>
          <w:p>
            <w:pPr>
              <w:spacing w:after="0"/>
              <w:rPr>
                <w:sz w:val="12"/>
                <w:szCs w:val="12"/>
                <w:color w:val="auto"/>
              </w:rPr>
            </w:pPr>
          </w:p>
        </w:tc>
        <w:tc>
          <w:tcPr>
            <w:tcW w:w="960" w:type="dxa"/>
            <w:vAlign w:val="bottom"/>
            <w:tcBorders>
              <w:bottom w:val="single" w:sz="8" w:color="auto"/>
            </w:tcBorders>
          </w:tcPr>
          <w:p>
            <w:pPr>
              <w:jc w:val="right"/>
              <w:ind w:right="792"/>
              <w:spacing w:after="0" w:line="14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(1,106,024)</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(1,183,689)</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(318,322)</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(1,028,077)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(936,942)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Gains (Losses) on Strategic Investments,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Gains (losses) on strategic investments, net consist primarily of remeasurement gains or losses on our equity investments.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net consists primarily of interest income and net accretion on our marketable securities and effect of changes in foreign currency exchange rates.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set forth selected consolidated statements of operations data and such data as a percentage of revenue for each of the fiscal years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61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7"/>
        </w:trPr>
        <w:tc>
          <w:tcPr>
            <w:tcW w:w="6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4,665,433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4,527,224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4,392,960</w:t>
            </w:r>
          </w:p>
        </w:tc>
      </w:tr>
      <w:tr>
        <w:trPr>
          <w:trHeight w:val="180"/>
        </w:trPr>
        <w:tc>
          <w:tcPr>
            <w:tcW w:w="61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8"/>
                <w:szCs w:val="18"/>
                <w:color w:val="auto"/>
                <w:vertAlign w:val="superscript"/>
              </w:rPr>
              <w:t>(1)</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1,129,627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1,077,801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1,100,451</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3,535,806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3,449,423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3,292,509</w:t>
            </w:r>
          </w:p>
        </w:tc>
      </w:tr>
      <w:tr>
        <w:trPr>
          <w:trHeight w:val="16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6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803,187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774,059</w:t>
            </w:r>
          </w:p>
        </w:tc>
      </w:tr>
      <w:tr>
        <w:trPr>
          <w:trHeight w:val="180"/>
        </w:trPr>
        <w:tc>
          <w:tcPr>
            <w:tcW w:w="61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1,541,307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1,696,590</w:t>
            </w:r>
          </w:p>
        </w:tc>
      </w:tr>
      <w:tr>
        <w:trPr>
          <w:trHeight w:val="180"/>
        </w:trPr>
        <w:tc>
          <w:tcPr>
            <w:tcW w:w="6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442,712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579,650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576,431</w:t>
            </w:r>
          </w:p>
        </w:tc>
      </w:tr>
      <w:tr>
        <w:trPr>
          <w:trHeight w:val="171"/>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2,722,511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2,924,144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3,047,080</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525,279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245,429</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strategic investments, net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(37,571)</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325,147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197,263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41,418</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1,315,584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832,312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249,276</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305,346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145,565</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103,711</w:t>
            </w:r>
          </w:p>
        </w:tc>
      </w:tr>
      <w:tr>
        <w:trPr>
          <w:trHeight w:val="20"/>
        </w:trPr>
        <w:tc>
          <w:tcPr>
            <w:tcW w:w="6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160" w:hanging="141"/>
        <w:spacing w:after="0"/>
        <w:tabs>
          <w:tab w:leader="none" w:pos="16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060" w:type="dxa"/>
            <w:vAlign w:val="bottom"/>
            <w:gridSpan w:val="3"/>
            <w:shd w:val="clear" w:color="auto" w:fill="CFF0FC"/>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124,561</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143,798</w:t>
            </w: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174,546</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333,767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336,309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361,720</w:t>
            </w:r>
          </w:p>
        </w:tc>
        <w:tc>
          <w:tcPr>
            <w:tcW w:w="0" w:type="dxa"/>
            <w:vAlign w:val="bottom"/>
          </w:tcPr>
          <w:p>
            <w:pPr>
              <w:spacing w:after="0"/>
              <w:rPr>
                <w:sz w:val="1"/>
                <w:szCs w:val="1"/>
                <w:color w:val="auto"/>
              </w:rPr>
            </w:pPr>
          </w:p>
        </w:tc>
      </w:tr>
      <w:tr>
        <w:trPr>
          <w:trHeight w:val="18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319,631</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381,298</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532,371</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9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153,350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195,756</w:t>
            </w:r>
          </w:p>
        </w:tc>
        <w:tc>
          <w:tcPr>
            <w:tcW w:w="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217,115</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9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931,309</w:t>
            </w:r>
          </w:p>
        </w:tc>
        <w:tc>
          <w:tcPr>
            <w:tcW w:w="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1,057,161</w:t>
            </w:r>
          </w:p>
        </w:tc>
        <w:tc>
          <w:tcPr>
            <w:tcW w:w="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1,285,752</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a percentage of revenue)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9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0" w:type="dxa"/>
            <w:vAlign w:val="bottom"/>
          </w:tcPr>
          <w:p>
            <w:pPr>
              <w:spacing w:after="0"/>
              <w:rPr>
                <w:sz w:val="1"/>
                <w:szCs w:val="1"/>
                <w:color w:val="auto"/>
              </w:rPr>
            </w:pPr>
          </w:p>
        </w:tc>
      </w:tr>
      <w:tr>
        <w:trPr>
          <w:trHeight w:val="16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80"/>
        </w:trPr>
        <w:tc>
          <w:tcPr>
            <w:tcW w:w="4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9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64.6 %</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strategic investments, net</w:t>
            </w: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9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9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6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0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Fiscal Years Ended January 31, 2025 and 2024</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4,665,433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4,527,224</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138,209</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3.1 %</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Revenue for the fiscal year ended January 31, 2025 increased by $138.2 million, or 3.1%, compared to the fiscal year ended January 31, 2024. The increase in revenue was due to a 5.2% increase in revenue from subscription services provided to Enterprise customers, of which 63.5% and 36.5% were from existing and new customers, respectively. Revenue from Online customers remained flat year over year.</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4"/>
        </w:trPr>
        <w:tc>
          <w:tcPr>
            <w:tcW w:w="50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00" w:type="dxa"/>
            <w:vAlign w:val="bottom"/>
          </w:tcPr>
          <w:p>
            <w:pPr>
              <w:spacing w:after="0"/>
              <w:rPr>
                <w:sz w:val="15"/>
                <w:szCs w:val="15"/>
                <w:color w:val="auto"/>
              </w:rPr>
            </w:pPr>
          </w:p>
        </w:tc>
      </w:tr>
      <w:tr>
        <w:trPr>
          <w:trHeight w:val="19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8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1,129,627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4"/>
                <w:szCs w:val="14"/>
                <w:color w:val="auto"/>
              </w:rPr>
              <w:t>1,077,801</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51,826</w:t>
            </w:r>
          </w:p>
        </w:tc>
        <w:tc>
          <w:tcPr>
            <w:tcW w:w="1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5"/>
                <w:szCs w:val="15"/>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3,535,806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3,449,423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86,383</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bl>
    <w:p>
      <w:pPr>
        <w:spacing w:after="0" w:line="13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Cost of revenue for the fiscal year ended January 31, 2025, increased by $51.8 million, or 4.8%, compared to the fiscal year ended January 31, 2024. The increase was primarily due to a $67.5 million increase </w:t>
      </w:r>
      <w:r>
        <w:rPr>
          <w:rFonts w:ascii="Times New Roman" w:cs="Times New Roman" w:eastAsia="Times New Roman" w:hAnsi="Times New Roman"/>
          <w:sz w:val="14"/>
          <w:szCs w:val="14"/>
          <w:color w:val="231F20"/>
        </w:rPr>
        <w:t>in hosting and infrastructure costs, partially offset by a</w:t>
      </w:r>
      <w:r>
        <w:rPr>
          <w:rFonts w:ascii="Times New Roman" w:cs="Times New Roman" w:eastAsia="Times New Roman" w:hAnsi="Times New Roman"/>
          <w:sz w:val="14"/>
          <w:szCs w:val="14"/>
          <w:color w:val="auto"/>
        </w:rPr>
        <w:t xml:space="preserve"> $17.4 million decrease </w:t>
      </w:r>
      <w:r>
        <w:rPr>
          <w:rFonts w:ascii="Times New Roman" w:cs="Times New Roman" w:eastAsia="Times New Roman" w:hAnsi="Times New Roman"/>
          <w:sz w:val="14"/>
          <w:szCs w:val="14"/>
          <w:color w:val="231F20"/>
        </w:rPr>
        <w:t>in stock-based compensation and a</w:t>
      </w:r>
      <w:r>
        <w:rPr>
          <w:rFonts w:ascii="Times New Roman" w:cs="Times New Roman" w:eastAsia="Times New Roman" w:hAnsi="Times New Roman"/>
          <w:sz w:val="14"/>
          <w:szCs w:val="14"/>
          <w:color w:val="auto"/>
        </w:rPr>
        <w:t xml:space="preserve"> $7.1 million decrease </w:t>
      </w:r>
      <w:r>
        <w:rPr>
          <w:rFonts w:ascii="Times New Roman" w:cs="Times New Roman" w:eastAsia="Times New Roman" w:hAnsi="Times New Roman"/>
          <w:sz w:val="14"/>
          <w:szCs w:val="14"/>
          <w:color w:val="231F20"/>
        </w:rPr>
        <w:t>in restructuring costs as a result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prior year restructuring plan. The increase in hosting costs was due to the increased use of AI functionality along with investments to upgrade our data center backbone.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Gross margin decreased to 75.8% for the fiscal year ended January 31, 2025 from 76.2% for the fiscal year ended January 31, 2024. The decrease in gross margin was mainly due to increased costs associated with the use of AI functionality along with the investments to upgrade our data center backbone.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852,415</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803,187</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49,228</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6.1 %</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Research and development expense for the fiscal year ended January 31, 2025, increased by $49.2 million, or 6.1%, compared to the fiscal year ended January 31, 2024. The increase was </w:t>
      </w:r>
      <w:r>
        <w:rPr>
          <w:rFonts w:ascii="Times New Roman" w:cs="Times New Roman" w:eastAsia="Times New Roman" w:hAnsi="Times New Roman"/>
          <w:sz w:val="14"/>
          <w:szCs w:val="14"/>
          <w:color w:val="231F20"/>
        </w:rPr>
        <w:t xml:space="preserve">driven by our continued investments in AI-first innovation, </w:t>
      </w:r>
      <w:r>
        <w:rPr>
          <w:rFonts w:ascii="Times New Roman" w:cs="Times New Roman" w:eastAsia="Times New Roman" w:hAnsi="Times New Roman"/>
          <w:sz w:val="14"/>
          <w:szCs w:val="14"/>
          <w:color w:val="000000"/>
        </w:rPr>
        <w:t>which consisted of a $39.4 million increase in payroll taxes and benefits partially offset by $19.6 million decrease in restructuring costs as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 r</w:t>
      </w:r>
      <w:r>
        <w:rPr>
          <w:rFonts w:ascii="Times New Roman" w:cs="Times New Roman" w:eastAsia="Times New Roman" w:hAnsi="Times New Roman"/>
          <w:sz w:val="14"/>
          <w:szCs w:val="14"/>
          <w:color w:val="231F20"/>
        </w:rPr>
        <w:t>esult of the prior year restructuring plan. The remaining increase is due to costs from AI-related software and facilities used in development.</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1,427,384</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1,541,307</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(113,923)</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and marketing expense for the fiscal year ended January 31, 2025, decreased by $113.9 million, or 7.4%, compared to the fiscal year ended January 31, 2024. The decrease in sales and marketing expense was primarily due to a $53.5 million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decrease in stock-based compensation expense, a $32.9 million decrease in restructuring costs as a result of the prior year restructuring plan, and a $29.2 million decrease in marketing spend.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442,712</w:t>
            </w: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579,650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(136,938)</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 for the fiscal year ended January 31, 2025, decreased by $136.9 million, or 23.6%, compared to the fiscal year ended January 31, 2024. The decrease in general and administrative expense was primarily due to a $39.4 million decrease in stock-based compensation expense, a $37.8 million decrease in litigation settlements, a $15.2 million decrease in bad debt expense, a $13.3 million decrease in restructuring costs as a result of the prior year restructuring plan; and a $5.4 million decrease in legal expenses.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Gains (Losses) on Strategic Investments,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Gains (losses) on strategic investments, net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177,142</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109,770</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67,372</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61.4 %</w:t>
            </w: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Gains on strategic investments, net, of $177.1 million and $109.8 million for the fiscal years ended January 31, 2025 and 2024, respectively, was primarily driven by unrealized gains from valuation changes on our publicly and privately held securities.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325,147</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197,263</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127,884</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64.8 %</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Other income, net for the fiscal year ended January 31, 2025 increased by $127.9 million, or 64.8%, compared to the fiscal year ended January 31, 2024. The increase was mainly driven by an increase of $130.5 million in investment yield from cash and marketable securities.</w:t>
      </w:r>
    </w:p>
    <w:p>
      <w:pPr>
        <w:spacing w:after="0" w:line="200" w:lineRule="exact"/>
        <w:rPr>
          <w:sz w:val="20"/>
          <w:szCs w:val="20"/>
          <w:color w:val="auto"/>
        </w:rPr>
      </w:pPr>
    </w:p>
    <w:p>
      <w:pPr>
        <w:spacing w:after="0" w:line="2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305,346</w:t>
            </w: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194,850</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110,496</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56.7 %</w:t>
            </w: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Provision for income taxes for the fiscal year ended January 31, 2025 increased by $110.5 million, or 56.7%, compared to the fiscal year ended January 31, 2024. The change in income taxes was primarily due to an increase in income before taxes, increases in non-deductible compensation and other permanent items, and a reduction in tax shortfalls on stock-based compensation for the fiscal year ended January 31, 2025. See Part II, Item 8, Note 12 “Income Taxes” to the consolidated financial statements in this Annual Report for further information.</w:t>
      </w:r>
    </w:p>
    <w:p>
      <w:pPr>
        <w:spacing w:after="0" w:line="13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a discussion of the fiscal year ended January 31, 2024 compared to the fiscal year ended January 31, 2023, please refer to Part II, Item 7, “Management’s Discussion and Analysis of Financial Condition and Results of Operations” in our Annual Report on Form 10-K for the fiscal year ended January 31, 2024.</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2025, our principal sources of liquidity were cash, cash equivalents, and marketable securities of $7.8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51" w:lineRule="exact"/>
        <w:rPr>
          <w:sz w:val="20"/>
          <w:szCs w:val="20"/>
          <w:color w:val="auto"/>
        </w:rPr>
      </w:pPr>
    </w:p>
    <w:p>
      <w:pPr>
        <w:jc w:val="both"/>
        <w:ind w:right="80" w:firstLine="382"/>
        <w:spacing w:after="0" w:line="256" w:lineRule="auto"/>
        <w:rPr>
          <w:sz w:val="20"/>
          <w:szCs w:val="20"/>
          <w:color w:val="auto"/>
        </w:rPr>
      </w:pPr>
      <w:r>
        <w:rPr>
          <w:rFonts w:ascii="Times New Roman" w:cs="Times New Roman" w:eastAsia="Times New Roman" w:hAnsi="Times New Roman"/>
          <w:sz w:val="14"/>
          <w:szCs w:val="14"/>
          <w:color w:val="auto"/>
        </w:rPr>
        <w:t>We have financed our operations primarily through income from operations and sales of equity securities. Cash from operations could also be affected by various risks and uncertainties, including, but not limited to, macroeconomic factors, such as geopolitical conflicts, tariffs and trade tensions, inflationary pressures, interest rate fluctuations, and the fluctuations in foreign currency exchange rates. These factors and other risks detailed in the section titled “Risk Factors”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material cash requirements from known contractual and other obligations primarily relate to our leases for office space and equipment, as well as non-cancelable purchase obligations.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timing of those payments are as follows:</w:t>
      </w:r>
    </w:p>
    <w:p>
      <w:pPr>
        <w:spacing w:after="0" w:line="107"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200" w:type="dxa"/>
            <w:vAlign w:val="bottom"/>
          </w:tcPr>
          <w:p>
            <w:pPr>
              <w:spacing w:after="0"/>
              <w:rPr>
                <w:sz w:val="9"/>
                <w:szCs w:val="9"/>
                <w:color w:val="auto"/>
              </w:rPr>
            </w:pPr>
          </w:p>
        </w:tc>
        <w:tc>
          <w:tcPr>
            <w:tcW w:w="120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1 – 3</w:t>
            </w: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3 – 5</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jc w:val="right"/>
              <w:ind w:right="96"/>
              <w:spacing w:after="0" w:line="108"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w w:val="94"/>
              </w:rPr>
              <w:t>Years</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Years</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Non-cancelable purchase obligations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470,102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236,451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227,497</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539,345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257,026</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contractual commitment amounts in the table above are associated with agreements that are enforceable and legally binding. Obligations under contracts that we can cancel without a significant penalty are not included in the table above. Refer to the “Future minimum lease payments” table in Note 7, “Operating Leases” and “Non-cancelable Purchase Obligations” in Note 9, “Commitments and Contingencies” to the consolidated financial statements included in Part II, Item 8 of this Annual Report on Form 10-K for more details.</w:t>
      </w:r>
    </w:p>
    <w:p>
      <w:pPr>
        <w:spacing w:after="0" w:line="51"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We have not provided a detailed estimate of the payment timing of unrecognized tax benefits due to the uncertainty of when the related tax settlements will become due. See Part II, Item 8, Note 11, “Income Taxes” to the consolidated financial statements in this Annual Report for a discussion of income taxes.</w:t>
      </w: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6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7"/>
        </w:trPr>
        <w:tc>
          <w:tcPr>
            <w:tcW w:w="6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4"/>
                <w:szCs w:val="14"/>
                <w:color w:val="auto"/>
                <w:w w:val="99"/>
              </w:rPr>
              <w:t>1,945,308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1,598,836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1,290,262</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ind w:left="493"/>
              <w:spacing w:after="0"/>
              <w:rPr>
                <w:sz w:val="20"/>
                <w:szCs w:val="20"/>
                <w:color w:val="auto"/>
              </w:rPr>
            </w:pPr>
            <w:r>
              <w:rPr>
                <w:rFonts w:ascii="Times New Roman" w:cs="Times New Roman" w:eastAsia="Times New Roman" w:hAnsi="Times New Roman"/>
                <w:sz w:val="14"/>
                <w:szCs w:val="14"/>
                <w:color w:val="auto"/>
              </w:rPr>
              <w:t>(1,106,024)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(1,183,689)</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(318,322)</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rPr>
              <w:t>(1,028,077)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(936,942)</w:t>
            </w:r>
          </w:p>
        </w:tc>
      </w:tr>
    </w:tbl>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provided by operating activities was $1,945.3 million for the fiscal year ended January 31, 2025, compared to $1,598.8 million for the fiscal year ended January 31, 2024. The increase in operating cash flow was mainly driven by higher net income year over year.</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of $1,106.0 million for the fiscal year ended January 31, 2025 was due to net purchases of marketable securities of $964.3 million, purchases of property and equipment of $136.6 million, and purchases of strategic investments of $18.5 million, partially offset by proceeds from strategic investments of $13.4 million.</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of $1,183.7 million for the fiscal year ended January 31, 2024 was due to net purchases of marketable securities of $951.4 million, cash paid for acquisition, net of cash acquired, of $204.9 million, purchases of property and equipment of $127.0 million, and purchases of strategic investments of $70.5 million, partially offset by proceeds from strategic investments of $170.1 million.</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of $1,028.1 million for the fiscal year ended January 31, 2025 was due to cash paid for repurchases of common stock of $1,093.9 million, partially offset by proceeds from issuance of common stock pursuant to our employee stock purchase plan (“ESPP”) of $54.0 million, proceeds from employee equity transactions to be remitted to employees and tax authorities, net, of $7.2 million, and proceeds from the exercise of stock options of $4.6 million.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of $60.2 million for the fiscal year ended January 31, 2023 was due to proceeds from issuance of common stock pursuant to our employee stock purchase plan (“ESPP”) of $54.1 million and proceeds from the exercise of stock options of $10.2 million, partially offset by proceeds from employee equity transactions remitted to employees and tax authorities, net, of $4.1 million.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a discussion of the fiscal year ended January 31, 2023, please refer to Part II, Item 7, “Management’s Discussion and Analysis of Financial Condition and Results of Operations” in our Annual Report on Form 10-K for the fiscal year ended January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fiscal year ended January 31, 2025, we repurchased and subsequently retired 15,888,316 shares of our Class A common stock for an aggregate amount of $1.1 billion.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that of our significant accounting policies, which are described in Part II, Item 8, Note 1 “Summary of Business and Significant Accounting Policies” to the consolidated financial statements in this Annual Report, the following critical estimates involve a greater degree of judgment and complexity.</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apply judgment during the identification of a contract to determine the customer’s ability and intent to pay, which is based on a variety of factors, including the customer’s historical payment experience or, in the case of a new customer, credit and financial information pertaining to the customer. 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to Obtain a Contract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Sales commissions paid upon the initial acquisition of a customer contract are amortized over an estimated period of benefit of three years, which is typically greater than the contractual terms of the customer contracts. Significant judgment is required in arriving at this estimated period of benefit.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Sales commission is generally not paid upon contract renewal. Amortization is recognized on a straight-line basis commensurate with the pattern of revenue recognition.</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and Valuation of Goodwill and Intangible Assets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Goodwill amounts are not amortized, but rather tested for impairment at least annually, in the fourth quarter of each fiscal year, or more often if circumstances indicate that the carrying value may not be recoverable. As of January 31, 2025, no impairment of goodwill has been identified.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Accounting for strategic investments in privately held debt and equity securities in which we do not have a controlling interest or significant influence requires us to make significant estimates and assumptions.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Valuations of privately held securities are inherently complex and require judgment due to the lack of readily available market data. Privately held debt and equity securities are valued using significant unobservable inputs or data in an inactive market. The valuation requires our judgment due to the absence of market prices and inherent lack of liquidity. The carrying values of our privately held equity securities are adjusted if there are observable price changes in a same or similar security from the same issuer or if there are identified events or changes in circumstances that may indicate impairment, as discussed below. In determining the estimated fair value of our strategic investments in privately held companies, we utilize the most recent data available, as adjusted to reflect the specific rights and preferences of those securities we hold.</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assess our privately held debt and equity securities strategic investment portfolio quarterly for indicators for impairment. Our impairment analysis encompasses a qualitative assessment that evaluates key factors including but not limited to the investee’s financial metrics, market acceptance of the product or technology, and the rate at which the investee is using its cash. If the investment is considered to be impaired, we record the investment at fair value by recognizing an impairment through the consolidated statement of operations and establishing a new carrying value for the investment.</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privately held debt and equity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the value of that overall company. An immediate decrease of 10% in enterprise value of our largest privately held equity securities held as of January 31, 2025 would not have had a material impact on the value of our investment portfolio.</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use the asset and liability method of accounting for income taxes. Under this method, income tax expense is recognized based on the amount of taxes payable or refundable for the current year and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Critical accounting estimates and the related assumptions are evaluated periodically as conditions warrant, and changes to such estimates are recorded as new information or changed conditions require.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“Summary of Business and Significant Accounting Policies” in Note 1 to our consolidated financial statements included in Part II, Item 8 of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QUALITATIVE AND QUANTITATIVE DISCLOSURES ABOUT MARKET RISK</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and Exchange Risk</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Australia, China, Europe and the United States. Our results of current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and future operations and cash flows are, therefore, subject to fluctuations due to changes in foreign currency exchange rates. For the fiscal year ending January 31, 2025, 2024 and 2023, 19.3% , 19.3% and 20.0% of our revenue, respectively and 16.4%, 13.7% and 10.8% of our expenses, respectively, were denominated in currencies other than the U.S. dollar. The effect of a hypothetical 10% change in foreign currency exchange rates applicable to our business would not have had a material impact on our historical consolidated financial statements for the fiscal years ended January 31, 2025, 2024, and 2023.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had cash and cash equivalents of $1.3 billion and marketable securities of $6.4 billion as of January 31, 2025.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2025, 2024, and 2023.</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86"/>
        </w:trPr>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tcPr>
          <w:p>
            <w:pPr>
              <w:jc w:val="center"/>
              <w:ind w:right="1009"/>
              <w:spacing w:after="0"/>
              <w:rPr>
                <w:sz w:val="20"/>
                <w:szCs w:val="20"/>
                <w:color w:val="auto"/>
              </w:rPr>
            </w:pPr>
            <w:r>
              <w:rPr>
                <w:rFonts w:ascii="Times New Roman" w:cs="Times New Roman" w:eastAsia="Times New Roman" w:hAnsi="Times New Roman"/>
                <w:sz w:val="14"/>
                <w:szCs w:val="14"/>
                <w:b w:val="1"/>
                <w:bCs w:val="1"/>
                <w:color w:val="auto"/>
              </w:rPr>
              <w:t>ZOOM COMMUNICATIONS, INC.</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3"/>
        </w:trPr>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7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39"/>
        </w:trPr>
        <w:tc>
          <w:tcPr>
            <w:tcW w:w="20" w:type="dxa"/>
            <w:vAlign w:val="bottom"/>
            <w:shd w:val="clear" w:color="auto" w:fill="CCEEFF"/>
          </w:tcPr>
          <w:p>
            <w:pPr>
              <w:spacing w:after="0"/>
              <w:rPr>
                <w:sz w:val="12"/>
                <w:szCs w:val="12"/>
                <w:color w:val="auto"/>
              </w:rPr>
            </w:pPr>
          </w:p>
        </w:tc>
        <w:tc>
          <w:tcPr>
            <w:tcW w:w="3320" w:type="dxa"/>
            <w:vAlign w:val="bottom"/>
            <w:gridSpan w:val="7"/>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57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left="989"/>
              <w:spacing w:after="0" w:line="139" w:lineRule="exact"/>
              <w:rPr>
                <w:sz w:val="20"/>
                <w:szCs w:val="20"/>
                <w:color w:val="auto"/>
              </w:rPr>
            </w:pPr>
            <w:r>
              <w:rPr>
                <w:rFonts w:ascii="Times New Roman" w:cs="Times New Roman" w:eastAsia="Times New Roman" w:hAnsi="Times New Roman"/>
                <w:sz w:val="14"/>
                <w:szCs w:val="14"/>
                <w:color w:val="0000FF"/>
                <w:w w:val="99"/>
              </w:rPr>
              <w:t>66</w:t>
            </w:r>
          </w:p>
        </w:tc>
        <w:tc>
          <w:tcPr>
            <w:tcW w:w="1040" w:type="dxa"/>
            <w:vAlign w:val="bottom"/>
            <w:shd w:val="clear" w:color="auto" w:fill="CCEEFF"/>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5700" w:type="dxa"/>
            <w:vAlign w:val="bottom"/>
          </w:tcPr>
          <w:p>
            <w:pPr>
              <w:spacing w:after="0"/>
              <w:rPr>
                <w:sz w:val="12"/>
                <w:szCs w:val="12"/>
                <w:color w:val="auto"/>
              </w:rPr>
            </w:pPr>
          </w:p>
        </w:tc>
        <w:tc>
          <w:tcPr>
            <w:tcW w:w="1200" w:type="dxa"/>
            <w:vAlign w:val="bottom"/>
            <w:gridSpan w:val="2"/>
          </w:tcPr>
          <w:p>
            <w:pPr>
              <w:jc w:val="center"/>
              <w:ind w:left="989"/>
              <w:spacing w:after="0" w:line="149" w:lineRule="exact"/>
              <w:rPr>
                <w:sz w:val="20"/>
                <w:szCs w:val="20"/>
                <w:color w:val="auto"/>
              </w:rPr>
            </w:pPr>
            <w:r>
              <w:rPr>
                <w:rFonts w:ascii="Times New Roman" w:cs="Times New Roman" w:eastAsia="Times New Roman" w:hAnsi="Times New Roman"/>
                <w:sz w:val="14"/>
                <w:szCs w:val="14"/>
                <w:color w:val="0000FF"/>
                <w:w w:val="99"/>
              </w:rPr>
              <w:t>68</w:t>
            </w: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902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Operations</w:t>
            </w:r>
          </w:p>
        </w:tc>
        <w:tc>
          <w:tcPr>
            <w:tcW w:w="1200" w:type="dxa"/>
            <w:vAlign w:val="bottom"/>
            <w:gridSpan w:val="2"/>
            <w:shd w:val="clear" w:color="auto" w:fill="CCEEFF"/>
          </w:tcPr>
          <w:p>
            <w:pPr>
              <w:jc w:val="center"/>
              <w:ind w:left="989"/>
              <w:spacing w:after="0" w:line="155" w:lineRule="exact"/>
              <w:rPr>
                <w:sz w:val="20"/>
                <w:szCs w:val="20"/>
                <w:color w:val="auto"/>
              </w:rPr>
            </w:pPr>
            <w:r>
              <w:rPr>
                <w:rFonts w:ascii="Times New Roman" w:cs="Times New Roman" w:eastAsia="Times New Roman" w:hAnsi="Times New Roman"/>
                <w:sz w:val="14"/>
                <w:szCs w:val="14"/>
                <w:color w:val="0000FF"/>
                <w:w w:val="99"/>
              </w:rPr>
              <w:t>69</w:t>
            </w:r>
          </w:p>
        </w:tc>
        <w:tc>
          <w:tcPr>
            <w:tcW w:w="10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CCEE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29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6080" w:type="dxa"/>
            <w:vAlign w:val="bottom"/>
            <w:gridSpan w:val="2"/>
          </w:tcPr>
          <w:p>
            <w:pPr>
              <w:spacing w:after="0"/>
              <w:rPr>
                <w:sz w:val="12"/>
                <w:szCs w:val="12"/>
                <w:color w:val="auto"/>
              </w:rPr>
            </w:pPr>
          </w:p>
        </w:tc>
        <w:tc>
          <w:tcPr>
            <w:tcW w:w="1200" w:type="dxa"/>
            <w:vAlign w:val="bottom"/>
            <w:gridSpan w:val="2"/>
          </w:tcPr>
          <w:p>
            <w:pPr>
              <w:jc w:val="center"/>
              <w:ind w:left="989"/>
              <w:spacing w:after="0" w:line="149" w:lineRule="exact"/>
              <w:rPr>
                <w:sz w:val="20"/>
                <w:szCs w:val="20"/>
                <w:color w:val="auto"/>
              </w:rPr>
            </w:pPr>
            <w:r>
              <w:rPr>
                <w:rFonts w:ascii="Times New Roman" w:cs="Times New Roman" w:eastAsia="Times New Roman" w:hAnsi="Times New Roman"/>
                <w:sz w:val="14"/>
                <w:szCs w:val="14"/>
                <w:color w:val="0000FF"/>
                <w:w w:val="99"/>
              </w:rPr>
              <w:t>70</w:t>
            </w: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940" w:type="dxa"/>
            <w:vAlign w:val="bottom"/>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6080" w:type="dxa"/>
            <w:vAlign w:val="bottom"/>
            <w:gridSpan w:val="2"/>
            <w:shd w:val="clear" w:color="auto" w:fill="CCEEFF"/>
          </w:tcPr>
          <w:p>
            <w:pPr>
              <w:spacing w:after="0"/>
              <w:rPr>
                <w:sz w:val="13"/>
                <w:szCs w:val="13"/>
                <w:color w:val="auto"/>
              </w:rPr>
            </w:pPr>
          </w:p>
        </w:tc>
        <w:tc>
          <w:tcPr>
            <w:tcW w:w="1200" w:type="dxa"/>
            <w:vAlign w:val="bottom"/>
            <w:gridSpan w:val="2"/>
            <w:shd w:val="clear" w:color="auto" w:fill="CCEEFF"/>
          </w:tcPr>
          <w:p>
            <w:pPr>
              <w:jc w:val="center"/>
              <w:ind w:left="989"/>
              <w:spacing w:after="0" w:line="155" w:lineRule="exact"/>
              <w:rPr>
                <w:sz w:val="20"/>
                <w:szCs w:val="20"/>
                <w:color w:val="auto"/>
              </w:rPr>
            </w:pPr>
            <w:r>
              <w:rPr>
                <w:rFonts w:ascii="Times New Roman" w:cs="Times New Roman" w:eastAsia="Times New Roman" w:hAnsi="Times New Roman"/>
                <w:sz w:val="14"/>
                <w:szCs w:val="14"/>
                <w:color w:val="0000FF"/>
                <w:w w:val="99"/>
              </w:rPr>
              <w:t>71</w:t>
            </w:r>
          </w:p>
        </w:tc>
        <w:tc>
          <w:tcPr>
            <w:tcW w:w="10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520" w:type="dxa"/>
            <w:vAlign w:val="bottom"/>
            <w:gridSpan w:val="2"/>
          </w:tcPr>
          <w:p>
            <w:pPr>
              <w:spacing w:after="0"/>
              <w:rPr>
                <w:sz w:val="12"/>
                <w:szCs w:val="12"/>
                <w:color w:val="auto"/>
              </w:rPr>
            </w:pPr>
          </w:p>
        </w:tc>
        <w:tc>
          <w:tcPr>
            <w:tcW w:w="6240" w:type="dxa"/>
            <w:vAlign w:val="bottom"/>
            <w:gridSpan w:val="3"/>
          </w:tcPr>
          <w:p>
            <w:pPr>
              <w:spacing w:after="0"/>
              <w:rPr>
                <w:sz w:val="12"/>
                <w:szCs w:val="12"/>
                <w:color w:val="auto"/>
              </w:rPr>
            </w:pPr>
          </w:p>
        </w:tc>
        <w:tc>
          <w:tcPr>
            <w:tcW w:w="1200" w:type="dxa"/>
            <w:vAlign w:val="bottom"/>
            <w:gridSpan w:val="2"/>
          </w:tcPr>
          <w:p>
            <w:pPr>
              <w:jc w:val="center"/>
              <w:ind w:left="989"/>
              <w:spacing w:after="0" w:line="149" w:lineRule="exact"/>
              <w:rPr>
                <w:sz w:val="20"/>
                <w:szCs w:val="20"/>
                <w:color w:val="auto"/>
              </w:rPr>
            </w:pPr>
            <w:r>
              <w:rPr>
                <w:rFonts w:ascii="Times New Roman" w:cs="Times New Roman" w:eastAsia="Times New Roman" w:hAnsi="Times New Roman"/>
                <w:sz w:val="14"/>
                <w:szCs w:val="14"/>
                <w:color w:val="0000FF"/>
                <w:w w:val="99"/>
              </w:rPr>
              <w:t>72</w:t>
            </w: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24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540" w:type="dxa"/>
            <w:vAlign w:val="bottom"/>
            <w:gridSpan w:val="4"/>
            <w:shd w:val="clear" w:color="auto" w:fill="CCEEFF"/>
          </w:tcPr>
          <w:p>
            <w:pPr>
              <w:spacing w:after="0"/>
              <w:rPr>
                <w:sz w:val="14"/>
                <w:szCs w:val="14"/>
                <w:color w:val="auto"/>
              </w:rPr>
            </w:pPr>
          </w:p>
        </w:tc>
        <w:tc>
          <w:tcPr>
            <w:tcW w:w="1200" w:type="dxa"/>
            <w:vAlign w:val="bottom"/>
            <w:gridSpan w:val="2"/>
            <w:shd w:val="clear" w:color="auto" w:fill="CCEEFF"/>
          </w:tcPr>
          <w:p>
            <w:pPr>
              <w:jc w:val="center"/>
              <w:ind w:left="989"/>
              <w:spacing w:after="0" w:line="155" w:lineRule="exact"/>
              <w:rPr>
                <w:sz w:val="20"/>
                <w:szCs w:val="20"/>
                <w:color w:val="auto"/>
              </w:rPr>
            </w:pPr>
            <w:r>
              <w:rPr>
                <w:rFonts w:ascii="Times New Roman" w:cs="Times New Roman" w:eastAsia="Times New Roman" w:hAnsi="Times New Roman"/>
                <w:sz w:val="14"/>
                <w:szCs w:val="14"/>
                <w:color w:val="0000FF"/>
                <w:w w:val="99"/>
              </w:rPr>
              <w:t>74</w:t>
            </w:r>
          </w:p>
        </w:tc>
        <w:tc>
          <w:tcPr>
            <w:tcW w:w="1040" w:type="dxa"/>
            <w:vAlign w:val="bottom"/>
            <w:shd w:val="clear" w:color="auto" w:fill="CCEEFF"/>
          </w:tcPr>
          <w:p>
            <w:pPr>
              <w:spacing w:after="0"/>
              <w:rPr>
                <w:sz w:val="14"/>
                <w:szCs w:val="14"/>
                <w:color w:val="auto"/>
              </w:rPr>
            </w:pPr>
          </w:p>
        </w:tc>
      </w:tr>
      <w:tr>
        <w:trPr>
          <w:trHeight w:val="870"/>
        </w:trPr>
        <w:tc>
          <w:tcPr>
            <w:tcW w:w="20" w:type="dxa"/>
            <w:vAlign w:val="bottom"/>
            <w:tcBorders>
              <w:top w:val="single" w:sz="8" w:color="CCEEFF"/>
            </w:tcBorders>
          </w:tcPr>
          <w:p>
            <w:pPr>
              <w:spacing w:after="0"/>
              <w:rPr>
                <w:sz w:val="24"/>
                <w:szCs w:val="24"/>
                <w:color w:val="auto"/>
              </w:rPr>
            </w:pPr>
          </w:p>
        </w:tc>
        <w:tc>
          <w:tcPr>
            <w:tcW w:w="2480" w:type="dxa"/>
            <w:vAlign w:val="bottom"/>
            <w:tcBorders>
              <w:top w:val="single" w:sz="8" w:color="0000FF"/>
            </w:tcBorders>
            <w:gridSpan w:val="4"/>
          </w:tcPr>
          <w:p>
            <w:pPr>
              <w:spacing w:after="0"/>
              <w:rPr>
                <w:sz w:val="24"/>
                <w:szCs w:val="24"/>
                <w:color w:val="auto"/>
              </w:rPr>
            </w:pPr>
          </w:p>
        </w:tc>
        <w:tc>
          <w:tcPr>
            <w:tcW w:w="6540" w:type="dxa"/>
            <w:vAlign w:val="bottom"/>
            <w:tcBorders>
              <w:top w:val="single" w:sz="8" w:color="CCEEFF"/>
            </w:tcBorders>
            <w:gridSpan w:val="4"/>
          </w:tcPr>
          <w:p>
            <w:pPr>
              <w:jc w:val="center"/>
              <w:ind w:right="169"/>
              <w:spacing w:after="0"/>
              <w:rPr>
                <w:sz w:val="20"/>
                <w:szCs w:val="20"/>
                <w:color w:val="auto"/>
              </w:rPr>
            </w:pPr>
            <w:r>
              <w:rPr>
                <w:rFonts w:ascii="Times New Roman" w:cs="Times New Roman" w:eastAsia="Times New Roman" w:hAnsi="Times New Roman"/>
                <w:sz w:val="14"/>
                <w:szCs w:val="14"/>
                <w:color w:val="auto"/>
                <w:w w:val="99"/>
              </w:rPr>
              <w:t>65</w:t>
            </w:r>
          </w:p>
        </w:tc>
        <w:tc>
          <w:tcPr>
            <w:tcW w:w="10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7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Zoom Communications,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Consolidated Financial Statements and Internal Control Over Financial Reporting</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Zoom Communications, Inc. and subsidiaries (the Company) as of January 31, 2025 and 2024, the related consolidated statements of operations, comprehensive income, stockholders’ equity, and cash flows for each of the years in the three-year period ended January 31, 2025, and the related notes and financial statement schedule II: valuation and qualifying accounts(collectively, the consolidated financial statements). We also have audited the Company’s internal control over financial reporting as of January 31, 2025, based on criteria established in Internal Control – Integrated Framework (2013) issued by the Committee of Sponsoring Organizations of the Treadway Commission.</w:t>
      </w:r>
    </w:p>
    <w:p>
      <w:pPr>
        <w:spacing w:after="0" w:line="1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January 31, 2025 and 2024, and the results of its operations and its cash flows for each of the years in the three-year period ended January 31, 2025, in conformity with U.S. generally accepted accounting principles. Also in our opinion, the Company maintained, in all material respects, effective internal control over financial reporting as of January 31, 2025 based on criteria established in Internal Control – Integrated Framework (2013) 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u w:val="single" w:color="auto"/>
          <w:color w:val="auto"/>
        </w:rPr>
        <w:t>Sufficiency of Audit Evidence Over Revenue</w:t>
      </w:r>
    </w:p>
    <w:p>
      <w:pPr>
        <w:spacing w:after="0" w:line="202" w:lineRule="exact"/>
        <w:rPr>
          <w:sz w:val="20"/>
          <w:szCs w:val="20"/>
          <w:color w:val="auto"/>
        </w:rPr>
      </w:pPr>
    </w:p>
    <w:p>
      <w:pPr>
        <w:jc w:val="both"/>
        <w:ind w:left="520" w:firstLine="509"/>
        <w:spacing w:after="0" w:line="287" w:lineRule="auto"/>
        <w:rPr>
          <w:sz w:val="20"/>
          <w:szCs w:val="20"/>
          <w:color w:val="auto"/>
        </w:rPr>
      </w:pPr>
      <w:r>
        <w:rPr>
          <w:rFonts w:ascii="Times New Roman" w:cs="Times New Roman" w:eastAsia="Times New Roman" w:hAnsi="Times New Roman"/>
          <w:sz w:val="14"/>
          <w:szCs w:val="14"/>
          <w:color w:val="auto"/>
        </w:rPr>
        <w:t>As discussed in Notes 1 and 2 to the consolidated financial statements, the Company’s revenue is principally derived from the sale of subscriptions to the Company’s video communications platform. The Company recorded $4,665 million of revenue for the year ended January 31, 2025.</w:t>
      </w:r>
    </w:p>
    <w:p>
      <w:pPr>
        <w:spacing w:after="0" w:line="145" w:lineRule="exact"/>
        <w:rPr>
          <w:sz w:val="20"/>
          <w:szCs w:val="20"/>
          <w:color w:val="auto"/>
        </w:rPr>
      </w:pPr>
    </w:p>
    <w:p>
      <w:pPr>
        <w:jc w:val="both"/>
        <w:ind w:left="520" w:firstLine="509"/>
        <w:spacing w:after="0" w:line="270" w:lineRule="auto"/>
        <w:rPr>
          <w:sz w:val="20"/>
          <w:szCs w:val="20"/>
          <w:color w:val="auto"/>
        </w:rPr>
      </w:pPr>
      <w:r>
        <w:rPr>
          <w:rFonts w:ascii="Times New Roman" w:cs="Times New Roman" w:eastAsia="Times New Roman" w:hAnsi="Times New Roman"/>
          <w:sz w:val="14"/>
          <w:szCs w:val="14"/>
          <w:color w:val="auto"/>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spacing w:after="0" w:line="146" w:lineRule="exact"/>
        <w:rPr>
          <w:sz w:val="20"/>
          <w:szCs w:val="20"/>
          <w:color w:val="auto"/>
        </w:rPr>
      </w:pPr>
    </w:p>
    <w:p>
      <w:pPr>
        <w:jc w:val="both"/>
        <w:ind w:left="520" w:firstLine="509"/>
        <w:spacing w:after="0" w:line="239"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Additionally, for the same sample of transactions, we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5"/>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1,349,380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1,558,252</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Marketable securities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6,442,329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5,404,233</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receivable, net of allowances of $22,078 and $32,371 as of January 31, 2025 and 2024, respectively</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495,228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536,078</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188,358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208,474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200,679</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219,182</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8,675,974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7,926,219</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contract acquisition costs, noncurrent</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123,464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138,724</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330,475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293,704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55,900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58,975</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Strategic investments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591,481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409,222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307,295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307,295</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749,759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662,177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 noncurrent</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154,073</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133,477</w:t>
            </w:r>
          </w:p>
        </w:tc>
        <w:tc>
          <w:tcPr>
            <w:tcW w:w="0" w:type="dxa"/>
            <w:vAlign w:val="bottom"/>
          </w:tcPr>
          <w:p>
            <w:pPr>
              <w:spacing w:after="0"/>
              <w:rPr>
                <w:sz w:val="1"/>
                <w:szCs w:val="1"/>
                <w:color w:val="auto"/>
              </w:rPr>
            </w:pPr>
          </w:p>
        </w:tc>
      </w:tr>
      <w:tr>
        <w:trPr>
          <w:trHeight w:val="158"/>
        </w:trPr>
        <w:tc>
          <w:tcPr>
            <w:tcW w:w="7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98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10,988,421</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9,929,793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558,562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500,164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revenue, current</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1,336,387</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1,251,848</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liabilities</w:t>
            </w: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1,903,294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1,762,187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 noncurrent</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17,274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18,514</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48,308</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 noncurrent</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95,363</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81,378</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Total liabilities</w:t>
            </w: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2,053,337</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1,910,387</w:t>
            </w:r>
          </w:p>
        </w:tc>
        <w:tc>
          <w:tcPr>
            <w:tcW w:w="0" w:type="dxa"/>
            <w:vAlign w:val="bottom"/>
          </w:tcPr>
          <w:p>
            <w:pPr>
              <w:spacing w:after="0"/>
              <w:rPr>
                <w:sz w:val="1"/>
                <w:szCs w:val="1"/>
                <w:color w:val="auto"/>
              </w:rPr>
            </w:pPr>
          </w:p>
        </w:tc>
      </w:tr>
      <w:tr>
        <w:trPr>
          <w:trHeight w:val="152"/>
        </w:trPr>
        <w:tc>
          <w:tcPr>
            <w:tcW w:w="7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 (Note 9)</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4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w w:val="98"/>
              </w:rPr>
              <w:t>Common stock, $0.001 par value per share, 2,000,000,000 Class A shares authorized as of January 31, 2025 and 2024; 263,113,866 and 260,896,822</w:t>
            </w: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shares issued and outstanding as of January 31, 2025 and 2024, respectively; 300,000,000 Class B shares authorized as of January 31, 2025 and 2024;</w:t>
            </w:r>
          </w:p>
        </w:tc>
        <w:tc>
          <w:tcPr>
            <w:tcW w:w="9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42,626,998 and 46,661,531 shares issued and outstanding as of January 31, 2025 and 2024, respectively</w:t>
            </w:r>
          </w:p>
        </w:tc>
        <w:tc>
          <w:tcPr>
            <w:tcW w:w="9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5,130,271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5,228,756</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0" w:type="dxa"/>
            <w:vAlign w:val="bottom"/>
          </w:tcPr>
          <w:p>
            <w:pPr>
              <w:spacing w:after="0"/>
              <w:rPr>
                <w:sz w:val="1"/>
                <w:szCs w:val="1"/>
                <w:color w:val="auto"/>
              </w:rPr>
            </w:pPr>
          </w:p>
        </w:tc>
      </w:tr>
      <w:tr>
        <w:trPr>
          <w:trHeight w:val="168"/>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3,799,518</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2,789,280</w:t>
            </w:r>
          </w:p>
        </w:tc>
        <w:tc>
          <w:tcPr>
            <w:tcW w:w="0" w:type="dxa"/>
            <w:vAlign w:val="bottom"/>
          </w:tcPr>
          <w:p>
            <w:pPr>
              <w:spacing w:after="0"/>
              <w:rPr>
                <w:sz w:val="1"/>
                <w:szCs w:val="1"/>
                <w:color w:val="auto"/>
              </w:rPr>
            </w:pPr>
          </w:p>
        </w:tc>
      </w:tr>
      <w:tr>
        <w:trPr>
          <w:trHeight w:val="163"/>
        </w:trPr>
        <w:tc>
          <w:tcPr>
            <w:tcW w:w="7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8,935,084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8,019,406</w:t>
            </w:r>
          </w:p>
        </w:tc>
        <w:tc>
          <w:tcPr>
            <w:tcW w:w="0" w:type="dxa"/>
            <w:vAlign w:val="bottom"/>
          </w:tcPr>
          <w:p>
            <w:pPr>
              <w:spacing w:after="0"/>
              <w:rPr>
                <w:sz w:val="1"/>
                <w:szCs w:val="1"/>
                <w:color w:val="auto"/>
              </w:rPr>
            </w:pPr>
          </w:p>
        </w:tc>
      </w:tr>
      <w:tr>
        <w:trPr>
          <w:trHeight w:val="158"/>
        </w:trPr>
        <w:tc>
          <w:tcPr>
            <w:tcW w:w="7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98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10,988,421</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9,929,793</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4,665,433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4,527,224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4,392,960</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1,129,627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1,077,801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1,100,451</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3,535,806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3,449,423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3,292,509</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803,187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774,059</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1,541,307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1,696,590</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442,712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579,650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576,431</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2,722,511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2,924,144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3,047,080</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0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813,295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525,279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245,429</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strategic investments, net</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109,770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(37,571)</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325,147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197,263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41,418</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1,315,584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832,312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249,276</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305,346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145,565</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103,711</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Undistributed earnings attributable to participating securities</w:t>
            </w:r>
          </w:p>
        </w:tc>
        <w:tc>
          <w:tcPr>
            <w:tcW w:w="10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103,704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per share attributable to common stockholders:</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 common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8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307,981,971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300,748,162</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296,560,501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7"/>
              </w:rPr>
              <w:t>315,069,582</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308,519,897</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304,231,350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103,711</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38"/>
        </w:trPr>
        <w:tc>
          <w:tcPr>
            <w:tcW w:w="58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Unrealized gain (loss) on available-for-sale marketable securities, net of income tax (expense)</w:t>
            </w:r>
          </w:p>
        </w:tc>
        <w:tc>
          <w:tcPr>
            <w:tcW w:w="10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44"/>
        </w:trPr>
        <w:tc>
          <w:tcPr>
            <w:tcW w:w="5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benefit of $(1,205), $(15,501), and $9,834 during the fiscal years ended January 31, 2025, 2024</w:t>
            </w:r>
          </w:p>
        </w:tc>
        <w:tc>
          <w:tcPr>
            <w:tcW w:w="10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84"/>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and 2023, respectively</w:t>
            </w:r>
          </w:p>
        </w:tc>
        <w:tc>
          <w:tcPr>
            <w:tcW w:w="10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51,448</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(32,483)</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6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1,014,165</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688,910</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71,228</w:t>
            </w:r>
          </w:p>
        </w:tc>
      </w:tr>
      <w:tr>
        <w:trPr>
          <w:trHeight w:val="20"/>
        </w:trPr>
        <w:tc>
          <w:tcPr>
            <w:tcW w:w="5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4180" w:type="dxa"/>
            <w:vAlign w:val="bottom"/>
          </w:tcPr>
          <w:p>
            <w:pPr>
              <w:spacing w:after="0"/>
              <w:rPr>
                <w:sz w:val="9"/>
                <w:szCs w:val="9"/>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180" w:type="dxa"/>
            <w:vAlign w:val="bottom"/>
          </w:tcPr>
          <w:p>
            <w:pPr>
              <w:spacing w:after="0"/>
              <w:rPr>
                <w:sz w:val="8"/>
                <w:szCs w:val="8"/>
                <w:color w:val="auto"/>
              </w:rPr>
            </w:pPr>
          </w:p>
        </w:tc>
        <w:tc>
          <w:tcPr>
            <w:tcW w:w="1380" w:type="dxa"/>
            <w:vAlign w:val="bottom"/>
            <w:tcBorders>
              <w:bottom w:val="single" w:sz="8" w:color="auto"/>
            </w:tcBorders>
            <w:gridSpan w:val="3"/>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8"/>
                <w:szCs w:val="8"/>
                <w:color w:val="auto"/>
              </w:rPr>
            </w:pPr>
          </w:p>
        </w:tc>
        <w:tc>
          <w:tcPr>
            <w:tcW w:w="122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ind w:right="143"/>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1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200" w:type="dxa"/>
            <w:vAlign w:val="bottom"/>
          </w:tcPr>
          <w:p>
            <w:pPr>
              <w:spacing w:after="0"/>
              <w:rPr>
                <w:sz w:val="13"/>
                <w:szCs w:val="13"/>
                <w:color w:val="auto"/>
              </w:rPr>
            </w:pPr>
          </w:p>
        </w:tc>
        <w:tc>
          <w:tcPr>
            <w:tcW w:w="110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2022</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299,037,805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3,749,514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(17,902)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2,048,107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5,780,018</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1,299,758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8,815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3,977,915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(11,170,907)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(999,992)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(1,000,003)</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for employee stock purchase plan</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678,279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53,709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53,710</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1,292,839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1,292,839</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(32,483)</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103,711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103,711</w:t>
            </w:r>
          </w:p>
        </w:tc>
        <w:tc>
          <w:tcPr>
            <w:tcW w:w="0" w:type="dxa"/>
            <w:vAlign w:val="bottom"/>
          </w:tcPr>
          <w:p>
            <w:pPr>
              <w:spacing w:after="0"/>
              <w:rPr>
                <w:sz w:val="1"/>
                <w:szCs w:val="1"/>
                <w:color w:val="auto"/>
              </w:rPr>
            </w:pPr>
          </w:p>
        </w:tc>
      </w:tr>
      <w:tr>
        <w:trPr>
          <w:trHeight w:val="15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2023</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293,822,850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4,104,880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(50,385)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2,151,818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6,206,607</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1,464,158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10,195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11,349,453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for employee stock purchase plan</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921,892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54,097</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1,059,597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1,059,597</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51,448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51,448</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637,462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637,462</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2024</w:t>
            </w: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307,558,353</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5,228,756</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1,063</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2,789,280</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8,019,406</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908,844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4,619</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12,095,006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of common stock, including excise tax</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(15,888,316)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(1,095,102)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(1,095,118)</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for employee stock purchase plan</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1,066,977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54,008</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938,004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938,004</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3,927</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1,010,238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1,010,238</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2025</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305,740,864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5,130,271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4,990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3,799,518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8,935,084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1"/>
        </w:trPr>
        <w:tc>
          <w:tcPr>
            <w:tcW w:w="70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1,010,238</w:t>
            </w:r>
          </w:p>
        </w:tc>
        <w:tc>
          <w:tcPr>
            <w:tcW w:w="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637,462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103,711</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931,309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1,057,161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1,285,752</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(90,551)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(116,679)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(160,961)</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282,103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270,701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259,368</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(Gains) losses on strategic investments, net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37,571</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82,321</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Provision for accounts receivable allowances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50,285</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foreign exchange losses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13,266</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28,933</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discount/premium on marketable securities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(231,845)</w:t>
            </w:r>
          </w:p>
        </w:tc>
      </w:tr>
      <w:tr>
        <w:trPr>
          <w:trHeight w:val="168"/>
        </w:trPr>
        <w:tc>
          <w:tcPr>
            <w:tcW w:w="7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(18,066)</w:t>
            </w: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(246,727)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(298,629)</w:t>
            </w:r>
          </w:p>
        </w:tc>
      </w:tr>
      <w:tr>
        <w:trPr>
          <w:trHeight w:val="168"/>
        </w:trPr>
        <w:tc>
          <w:tcPr>
            <w:tcW w:w="7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11,611</w:t>
            </w: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51,974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20,530</w:t>
            </w:r>
          </w:p>
        </w:tc>
      </w:tr>
      <w:tr>
        <w:trPr>
          <w:trHeight w:val="168"/>
        </w:trPr>
        <w:tc>
          <w:tcPr>
            <w:tcW w:w="7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127,401</w:t>
            </w: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liabilities,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(23,839)</w:t>
            </w:r>
          </w:p>
        </w:tc>
      </w:tr>
      <w:tr>
        <w:trPr>
          <w:trHeight w:val="158"/>
        </w:trPr>
        <w:tc>
          <w:tcPr>
            <w:tcW w:w="7000" w:type="dxa"/>
            <w:vAlign w:val="bottom"/>
          </w:tcPr>
          <w:p>
            <w:pPr>
              <w:ind w:left="780"/>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1,945,308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1,598,836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1,290,262</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(4,622,104)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(4,083,968)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(2,849,121)</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3,610,274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3,131,419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2,835,196</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of marketable securities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(136,560)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(103,826)</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(69,050)</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strategic investments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acquisition, net of cash acquired</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(120,553)</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(11,268)</w:t>
            </w:r>
          </w:p>
        </w:tc>
      </w:tr>
      <w:tr>
        <w:trPr>
          <w:trHeight w:val="158"/>
        </w:trPr>
        <w:tc>
          <w:tcPr>
            <w:tcW w:w="7000" w:type="dxa"/>
            <w:vAlign w:val="bottom"/>
          </w:tcPr>
          <w:p>
            <w:pPr>
              <w:ind w:left="780"/>
              <w:spacing w:after="0" w:line="146"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(1,106,024)</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(1,183,689)</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(318,322)</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repurchases of common stock</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(1,093,878)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(1,000,003)</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for employee stock purchase plan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53,710</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8,577</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employee equity transactions to be remitted (remitted) to employees and tax authorities,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r>
      <w:tr>
        <w:trPr>
          <w:trHeight w:val="158"/>
        </w:trPr>
        <w:tc>
          <w:tcPr>
            <w:tcW w:w="7000" w:type="dxa"/>
            <w:vAlign w:val="bottom"/>
            <w:tcBorders>
              <w:bottom w:val="single" w:sz="8" w:color="CCEEFF"/>
            </w:tcBorders>
          </w:tcPr>
          <w:p>
            <w:pPr>
              <w:ind w:left="780"/>
              <w:spacing w:after="0" w:line="146"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(1,028,077)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60,186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(936,942)</w:t>
            </w:r>
          </w:p>
        </w:tc>
      </w:tr>
      <w:tr>
        <w:trPr>
          <w:trHeight w:val="163"/>
        </w:trPr>
        <w:tc>
          <w:tcPr>
            <w:tcW w:w="7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w:t>
            </w:r>
          </w:p>
        </w:tc>
      </w:tr>
      <w:tr>
        <w:trPr>
          <w:trHeight w:val="158"/>
        </w:trPr>
        <w:tc>
          <w:tcPr>
            <w:tcW w:w="70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465,137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26,890</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1,565,380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1,100,243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1,073,353</w:t>
            </w:r>
          </w:p>
        </w:tc>
      </w:tr>
      <w:tr>
        <w:trPr>
          <w:trHeight w:val="156"/>
        </w:trPr>
        <w:tc>
          <w:tcPr>
            <w:tcW w:w="70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Cash, cash equivalents, and restricted cash—end of year</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1,361,417</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1,565,380</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1,100,243</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00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70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395,401</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348,129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309,084</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0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information</w:t>
            </w:r>
          </w:p>
        </w:tc>
        <w:tc>
          <w:tcPr>
            <w:tcW w:w="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equipment during the period included in accounts payable and accrued expenses</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20,393</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16,206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tcBorders>
              <w:bottom w:val="single" w:sz="8" w:color="CCEEFF"/>
            </w:tcBorders>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Excise tax on share repurchases included in accrued expenses</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000" w:type="dxa"/>
            <w:vAlign w:val="bottom"/>
            <w:tcBorders>
              <w:top w:val="single" w:sz="8" w:color="CCEEFF"/>
            </w:tcBorders>
            <w:vMerge w:val="continue"/>
          </w:tcPr>
          <w:p>
            <w:pPr>
              <w:spacing w:after="0"/>
              <w:rPr>
                <w:sz w:val="9"/>
                <w:szCs w:val="9"/>
                <w:color w:val="auto"/>
              </w:rPr>
            </w:pPr>
          </w:p>
        </w:tc>
        <w:tc>
          <w:tcPr>
            <w:tcW w:w="440" w:type="dxa"/>
            <w:vAlign w:val="bottom"/>
            <w:tcBorders>
              <w:top w:val="single" w:sz="8" w:color="auto"/>
              <w:bottom w:val="single" w:sz="8" w:color="auto"/>
            </w:tcBorders>
          </w:tcPr>
          <w:p>
            <w:pPr>
              <w:jc w:val="right"/>
              <w:ind w:right="296"/>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296"/>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296"/>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Reconciliation of cash, cash equivalents, and restricted cash within the consolidated balance sheets to the amounts shown in the</w:t>
            </w: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above: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1,349,380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1,558,252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1,086,830</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 current included in prepaid expenses and other current assets</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0" w:type="dxa"/>
            <w:vAlign w:val="bottom"/>
          </w:tcPr>
          <w:p>
            <w:pPr>
              <w:spacing w:after="0"/>
              <w:rPr>
                <w:sz w:val="1"/>
                <w:szCs w:val="1"/>
                <w:color w:val="auto"/>
              </w:rPr>
            </w:pP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 noncurrent included in other assets, noncurrent</w:t>
            </w: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58"/>
        </w:trPr>
        <w:tc>
          <w:tcPr>
            <w:tcW w:w="7000" w:type="dxa"/>
            <w:vAlign w:val="bottom"/>
          </w:tcPr>
          <w:p>
            <w:pPr>
              <w:ind w:left="440"/>
              <w:spacing w:after="0" w:line="146"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1,361,417</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1,565,380</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1,100,243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2" w:lineRule="exact"/>
        <w:rPr>
          <w:sz w:val="20"/>
          <w:szCs w:val="20"/>
          <w:color w:val="auto"/>
        </w:rPr>
      </w:pPr>
    </w:p>
    <w:p>
      <w:pPr>
        <w:ind w:left="520" w:hanging="515"/>
        <w:spacing w:after="0"/>
        <w:tabs>
          <w:tab w:leader="none" w:pos="52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Business and Significant Accounting Policies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provides an open, AI-first work platform for human connection. Our culture of delivering happiness drives our mission and values and is fundamental to everything we do at Zoom. We were incorporated in the state of Delaware in April 2011, and are headquartered in San Jose, California.</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fiscal year ends on January 31. References to fiscal year 2025, for example, refer to the fiscal year ended January 31, 2025.</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of America (“GAAP”) and include the accounts of Zoom Communications, Inc., its subsidiaries, and a variable interest entity for which we are the primary beneficiary. All intercompany balances and transactions have been eliminated in consolidation.</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No single customer accounted for more than 10% of accounts receivable at January 31, 2025 or 2024. No single customer accounted for 10% or more of total revenue during the fiscal years ended January 31, 2025, 2024, or 2023.</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Cash and cash equivalents consist of cash in banks and highly liquid investments, primarily money market funds, purchased with an original maturity of three months or less.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Restricted cash consists of certificates of deposit collateralizing our operating leases and cash from proceeds from international employees’ sales of our common stock, and is included in prepaid expenses and other current assets and other assets, noncurrent in the consolidated balance sheets.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2025 and 2024, we had $12.0 million and $6.9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exposed to credit losses primarily through our accounts receivable and investments in available-for-sale debt securities. See Note 3 for additional information related to our available-for-sale debt securities.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Accounts receivable, net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Accounts receivable are recorded for invoiced amounts and amounts for which revenue has been recognized, but not invoiced, net of allowances. Our short-term accounts receivable consist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As of January 31, 2025</w:t>
            </w: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As of January 31, 2024</w:t>
            </w:r>
          </w:p>
        </w:tc>
      </w:tr>
      <w:tr>
        <w:trPr>
          <w:trHeight w:val="192"/>
        </w:trPr>
        <w:tc>
          <w:tcPr>
            <w:tcW w:w="7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00" w:type="dxa"/>
            <w:vAlign w:val="bottom"/>
          </w:tcPr>
          <w:p>
            <w:pPr>
              <w:spacing w:after="0"/>
              <w:rPr>
                <w:sz w:val="16"/>
                <w:szCs w:val="16"/>
                <w:color w:val="auto"/>
              </w:rPr>
            </w:pPr>
          </w:p>
        </w:tc>
      </w:tr>
      <w:tr>
        <w:trPr>
          <w:trHeight w:val="19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gross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517,306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568,449</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(25,916)</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reserves</w:t>
            </w:r>
          </w:p>
        </w:tc>
        <w:tc>
          <w:tcPr>
            <w:tcW w:w="2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r>
      <w:tr>
        <w:trPr>
          <w:trHeight w:val="171"/>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495,228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536,078</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 Other reserves generally represent a reduction of accounts receivable with an offsetting reduction to deferred revenue.</w:t>
      </w:r>
    </w:p>
    <w:p>
      <w:pPr>
        <w:spacing w:after="0" w:line="23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fiscal year ended January 31, 2025, our assessment took into account recent changes in macroeconomic conditions such as inflation pressures, fluctuations in foreign currency exchange rates, and uncertain environments, which may impact our estimates of credit and collectibility trends. Below is a rollforward of our allowance for credit losses for the fiscal year ended January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2025</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January 31, 2024</w:t>
            </w:r>
          </w:p>
        </w:tc>
      </w:tr>
      <w:tr>
        <w:trPr>
          <w:trHeight w:val="181"/>
        </w:trPr>
        <w:tc>
          <w:tcPr>
            <w:tcW w:w="7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40" w:type="dxa"/>
            <w:vAlign w:val="bottom"/>
          </w:tcPr>
          <w:p>
            <w:pPr>
              <w:spacing w:after="0"/>
              <w:rPr>
                <w:sz w:val="15"/>
                <w:szCs w:val="15"/>
                <w:color w:val="auto"/>
              </w:rPr>
            </w:pPr>
          </w:p>
        </w:tc>
      </w:tr>
      <w:tr>
        <w:trPr>
          <w:trHeight w:val="19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year</w:t>
            </w:r>
          </w:p>
        </w:tc>
        <w:tc>
          <w:tcPr>
            <w:tcW w:w="134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25,916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center"/>
              <w:ind w:left="872"/>
              <w:spacing w:after="0"/>
              <w:rPr>
                <w:sz w:val="20"/>
                <w:szCs w:val="20"/>
                <w:color w:val="auto"/>
              </w:rPr>
            </w:pPr>
            <w:r>
              <w:rPr>
                <w:rFonts w:ascii="Times New Roman" w:cs="Times New Roman" w:eastAsia="Times New Roman" w:hAnsi="Times New Roman"/>
                <w:sz w:val="14"/>
                <w:szCs w:val="14"/>
                <w:color w:val="auto"/>
                <w:w w:val="98"/>
              </w:rPr>
              <w:t>24,900</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3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22,198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jc w:val="center"/>
              <w:ind w:left="872"/>
              <w:spacing w:after="0"/>
              <w:rPr>
                <w:sz w:val="20"/>
                <w:szCs w:val="20"/>
                <w:color w:val="auto"/>
              </w:rPr>
            </w:pPr>
            <w:r>
              <w:rPr>
                <w:rFonts w:ascii="Times New Roman" w:cs="Times New Roman" w:eastAsia="Times New Roman" w:hAnsi="Times New Roman"/>
                <w:sz w:val="14"/>
                <w:szCs w:val="14"/>
                <w:color w:val="auto"/>
                <w:w w:val="98"/>
              </w:rPr>
              <w:t>47,267</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3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(30,852)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ind w:left="852"/>
              <w:spacing w:after="0"/>
              <w:rPr>
                <w:sz w:val="20"/>
                <w:szCs w:val="20"/>
                <w:color w:val="auto"/>
              </w:rPr>
            </w:pPr>
            <w:r>
              <w:rPr>
                <w:rFonts w:ascii="Times New Roman" w:cs="Times New Roman" w:eastAsia="Times New Roman" w:hAnsi="Times New Roman"/>
                <w:sz w:val="14"/>
                <w:szCs w:val="14"/>
                <w:color w:val="auto"/>
              </w:rPr>
              <w:t>(46,251)</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end of year</w:t>
            </w:r>
          </w:p>
        </w:tc>
        <w:tc>
          <w:tcPr>
            <w:tcW w:w="134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17,262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center"/>
              <w:ind w:left="872"/>
              <w:spacing w:after="0"/>
              <w:rPr>
                <w:sz w:val="20"/>
                <w:szCs w:val="20"/>
                <w:color w:val="auto"/>
              </w:rPr>
            </w:pPr>
            <w:r>
              <w:rPr>
                <w:rFonts w:ascii="Times New Roman" w:cs="Times New Roman" w:eastAsia="Times New Roman" w:hAnsi="Times New Roman"/>
                <w:sz w:val="14"/>
                <w:szCs w:val="14"/>
                <w:color w:val="auto"/>
                <w:w w:val="98"/>
              </w:rPr>
              <w:t>25,916</w:t>
            </w:r>
          </w:p>
        </w:tc>
      </w:tr>
      <w:tr>
        <w:trPr>
          <w:trHeight w:val="20"/>
        </w:trPr>
        <w:tc>
          <w:tcPr>
            <w:tcW w:w="7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Available-for-sale Investments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 and losses from the sale of marketable securities are determined based on the specific identification method. Realized gains and losses are reported in other income (expense), net in the consolidated statements of operations.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hold strategic investments in publicly held equity securities and privately held debt and equity securities in which we do not have a controlling interest. Publicly held equity securities are measured using quoted prices in their respective active markets with changes recorded through gains (losses) on strategic investments, net in the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(losses) on strategic investments, net in the consolidated statements of operations.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based on the terms of these publicly traded and privately held securities, we determine that we exercise significant influence on the entity to which these securities relate, we will apply the equity method of accounting for such investments.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Privately held equity securities that are accounted for under the equity method are measured at cost less any impairment, plus or minus our share of equity method investee income or loss, which is reported in gains (losses) on strategic investments, net in the consolidated statements of operations.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Privately held debt securities are recorded at fair value with changes in fair value recorded through accumulated other comprehensive income (loss) on the consolidated balance sheets.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 quarterly basis, we assess our privately held debt and equity securities in our strategic investment portfolio for indicators for impairment. For the fiscal years ended January 31, 2025, 2024, and 2023, we recognized an immaterial amount of impairment to our privately held debt and equity securities.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the fair value of the assets or liabilities.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Property and equipment, net, are stated at cost, less accumulated depreciation and amortization. Depreciation and amortization are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Software Development Costs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capitalize certain development costs related to our unified communications and collaboration platform during the application development stage as long as it is probable the project will be completed, and the software will be used to perform the function intended. Capitalized software development costs are recorded as part of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 these assets. We have capitalized $14.9 million, $8.1 million, and $18.0 million of software development costs during the fiscal years ended January 31, 2025, 2024, and 2023, respectively.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the commencement date based on the present value of fixed payments not yet paid over the lease term. We use our incremental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2025, 2024, or 2023.</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2025 and determined that no adjustment to the carrying value of goodwill was required.</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 ended January 31, 2025.</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determine revenue recognition through the following steps: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Identification of the contract, or contracts, with the customer</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11"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Identification of the performance obligations in the contract</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and collaboration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spacing w:after="0" w:line="144"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Determination of the transaction price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unified communications and collaboration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38"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Allocation of the transaction price to the performance obligations in the contract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134"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Recognition of the revenue when, or as, a performance obligation is satisfied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and collaboration platform and related services are subscription revenue and are considered one performance obligation, and the related revenue is recognized ratably over the subscription period as we satisfy the performance obligation.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Professional services are time-based arrangements and revenue is recognized as these services are performed. Fees for services represent less than 1% of total revenue during the periods presented.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Cost of revenue primarily consists of costs related to hosting our unified communications and collaboration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costs associated with corporate facilities and related depreciation, health care benefits, training, and other employee benefits are allocated to cost of revenue and operating expenses based on applicable headcount.</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6"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Research and development costs include personnel-related expenses associated with our engineering personnel and consultants responsible for the design, development, and testing of our unified communications and collaboration platform, depreciation of equipment used in research and development, and allocated overhead costs. Research and development costs are expensed as incurred.</w:t>
      </w:r>
    </w:p>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Advertising costs are expensed as incurred in sales and marketing expense and amounted to $50.8 million, $56.5 million, and $64.7 million for the fiscal years ended January 31, 2025, 2024, and 2023, respectively.</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Stock-based compensation expense related to stock awards with only service conditions, including stock options, RSUs, and ESPP, are measured based on the fair value of the awards granted and recognized as an expense on a straight-line basis over the requisite service period. For RSU’s with service and performance conditions, expense is recognized over the requisite service period if it is probable the performance condition will be achieved. The probability of achievement is assessed quarterly, and the effect of any change in the estimated number of performance-based awards expected to vest is recognized in the period those estimates are revised as a cumulative catch-up adjustment to stock-based compensation expense.</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fair value of each RSU award is based on the fair value of the underlying common stock as of the grant date.</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Deferred tax assets are evaluated for future realization and reduced by a valuation allowance to the extent we believe it is more likely than not that they will not be realized. We consider all available positive and negative evidence, including future reversals of existing taxable temporary differences, projected future taxable income, tax-planning strategies, carryback potential if permitted under the tax law, and results of recent operations.</w:t>
      </w:r>
    </w:p>
    <w:p>
      <w:pPr>
        <w:spacing w:after="0" w:line="5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We record uncertain tax positions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 to uncertain tax positions as a component of our provision for income taxes. Accrued interest and penalties are included with the related tax liability.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Net Income Per Share Attributable to Common Stockholders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calculate our net income per share attributable to Class A and Class B common stock using the two-class method required for companies with participating securities. We consider our convertible preferred stock and unvested common stock, which includes early exercised stock options, to be participating securities as holders of such securities have non-forfeitable dividend rights in the event of our declaration of a dividend for shares of common stock.</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aims to improve financial reporting by requiring disclosure of incremental 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We adopted the ASU as of February 1, 2024, and applied the amendments in this Update retrospectively to all prior periods presented in these financial statements. Our adoption resulted in the addition of a note to consolidated financial statements, “14. Segment Information.”</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94"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are currently evaluating the impact from the adoption of this ASU on our consolidated financial statements.</w:t>
      </w:r>
    </w:p>
    <w:p>
      <w:pPr>
        <w:spacing w:after="0" w:line="49"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Expenses</w:t>
      </w:r>
      <w:r>
        <w:rPr>
          <w:rFonts w:ascii="Times New Roman" w:cs="Times New Roman" w:eastAsia="Times New Roman" w:hAnsi="Times New Roman"/>
          <w:sz w:val="14"/>
          <w:szCs w:val="14"/>
          <w:color w:val="auto"/>
        </w:rPr>
        <w:t>, which aims to improve financial reporting by requiring additional disclosure about specific expense categories in the notes to financial statements at interim and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periods. ASU 2024-03 is effective for fiscal years beginning after December 15, 2026 and interim periods within fiscal years beginning after December 15, 2027. Early adoption is permitted. We are currently evaluating the impact from the adoption of this ASU on our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3"/>
          <w:szCs w:val="13"/>
          <w:b w:val="1"/>
          <w:bCs w:val="1"/>
          <w:color w:val="auto"/>
        </w:rPr>
        <w:t>Revenue Recognition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billing address of customers: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vMerge w:val="restart"/>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vMerge w:val="restart"/>
          </w:tcPr>
          <w:p>
            <w:pPr>
              <w:spacing w:after="0"/>
              <w:rPr>
                <w:sz w:val="9"/>
                <w:szCs w:val="9"/>
                <w:color w:val="auto"/>
              </w:rPr>
            </w:pPr>
          </w:p>
        </w:tc>
        <w:tc>
          <w:tcPr>
            <w:tcW w:w="1260" w:type="dxa"/>
            <w:vAlign w:val="bottom"/>
          </w:tcPr>
          <w:p>
            <w:pPr>
              <w:jc w:val="right"/>
              <w:ind w:right="234"/>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9"/>
                <w:szCs w:val="9"/>
                <w:color w:val="auto"/>
              </w:rPr>
            </w:pPr>
          </w:p>
        </w:tc>
        <w:tc>
          <w:tcPr>
            <w:tcW w:w="1240" w:type="dxa"/>
            <w:vAlign w:val="bottom"/>
          </w:tcPr>
          <w:p>
            <w:pPr>
              <w:jc w:val="right"/>
              <w:ind w:right="234"/>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vMerge w:val="restart"/>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9"/>
                <w:szCs w:val="9"/>
                <w:color w:val="auto"/>
              </w:rPr>
            </w:pPr>
          </w:p>
        </w:tc>
        <w:tc>
          <w:tcPr>
            <w:tcW w:w="1240" w:type="dxa"/>
            <w:vAlign w:val="bottom"/>
          </w:tcPr>
          <w:p>
            <w:pPr>
              <w:jc w:val="right"/>
              <w:ind w:right="234"/>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53"/>
        </w:trPr>
        <w:tc>
          <w:tcPr>
            <w:tcW w:w="2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0" w:type="dxa"/>
            <w:vAlign w:val="bottom"/>
          </w:tcPr>
          <w:p>
            <w:pPr>
              <w:spacing w:after="0"/>
              <w:rPr>
                <w:sz w:val="1"/>
                <w:szCs w:val="1"/>
                <w:color w:val="auto"/>
              </w:rPr>
            </w:pPr>
          </w:p>
        </w:tc>
      </w:tr>
      <w:tr>
        <w:trPr>
          <w:trHeight w:val="346"/>
        </w:trPr>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3,351,286</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3,228,914</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3,054,172</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0" w:type="dxa"/>
            <w:vAlign w:val="bottom"/>
          </w:tcPr>
          <w:p>
            <w:pPr>
              <w:spacing w:after="0"/>
              <w:rPr>
                <w:sz w:val="1"/>
                <w:szCs w:val="1"/>
                <w:color w:val="auto"/>
              </w:rPr>
            </w:pPr>
          </w:p>
        </w:tc>
      </w:tr>
      <w:tr>
        <w:trPr>
          <w:trHeight w:val="18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571,443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571,596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590,512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742,704</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726,714</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748,276</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0" w:type="dxa"/>
            <w:vAlign w:val="bottom"/>
          </w:tcPr>
          <w:p>
            <w:pPr>
              <w:spacing w:after="0"/>
              <w:rPr>
                <w:sz w:val="1"/>
                <w:szCs w:val="1"/>
                <w:color w:val="auto"/>
              </w:rPr>
            </w:pPr>
          </w:p>
        </w:tc>
      </w:tr>
      <w:tr>
        <w:trPr>
          <w:trHeight w:val="171"/>
        </w:trPr>
        <w:tc>
          <w:tcPr>
            <w:tcW w:w="2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4,665,433</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4,527,224</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4,392,960</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consolidated balance sheets was $118.5 million and $124.8 million as of January 31, 2025 and 2024, respectively, and the amount of unbilled accounts receivable included within other assets, noncurrent on the consolidated balance sheets was immaterial as of January 31, 2025 and 2024.</w:t>
      </w:r>
    </w:p>
    <w:p>
      <w:pPr>
        <w:spacing w:after="0" w:line="22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2025, 2024, and 2023 that was included in deferred revenue at the beginning of each period was $1,249.8 million, $1,257.4 million, and $1,140.7 million, respectively.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terms of our subscription agreements are monthly, annual, and multiyear and we may bill for the full term in advance or on an annual, quarterly, or monthly basis, depending on the billing terms with customers. As of January 31, 2025, the aggregate amount of the transaction price allocated to our remaining performance obligations was $3,801.9 million, which consists of both billed consideration in the amount of $1,353.7 million and unbilled consideration in the amount of $2,448.2 million that we expect to recognize as revenue. We expect to recognize 59% of our remaining performance obligations as revenue over the next 12 months and the remainder thereafter.</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to Obtain a Contract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Sales commissions paid upon the initial acquisition of a customer contract are amortized over an estimated period of benefit of three years, which is typically greater than the contractual terms of the customer contracts. Generally,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Amortization of deferred contract acquisition costs is included in sales and marketing expense in the consolidated statements of operations.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represents a rollforward of deferred contract acquisition costs: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980" w:type="dxa"/>
            <w:vAlign w:val="bottom"/>
            <w:tcBorders>
              <w:bottom w:val="single" w:sz="8" w:color="auto"/>
            </w:tcBorders>
          </w:tcPr>
          <w:p>
            <w:pPr>
              <w:spacing w:after="0"/>
              <w:rPr>
                <w:sz w:val="13"/>
                <w:szCs w:val="13"/>
                <w:color w:val="auto"/>
              </w:rPr>
            </w:pPr>
          </w:p>
        </w:tc>
      </w:tr>
      <w:tr>
        <w:trPr>
          <w:trHeight w:val="154"/>
        </w:trPr>
        <w:tc>
          <w:tcPr>
            <w:tcW w:w="80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7"/>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5"/>
                <w:szCs w:val="15"/>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347,198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403,241</w:t>
            </w:r>
          </w:p>
        </w:tc>
      </w:tr>
      <w:tr>
        <w:trPr>
          <w:trHeight w:val="180"/>
        </w:trPr>
        <w:tc>
          <w:tcPr>
            <w:tcW w:w="8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deferred contract acquisition costs</w:t>
            </w:r>
          </w:p>
        </w:tc>
        <w:tc>
          <w:tcPr>
            <w:tcW w:w="96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246,727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rPr>
              <w:t>214,657</w:t>
            </w:r>
          </w:p>
        </w:tc>
      </w:tr>
      <w:tr>
        <w:trPr>
          <w:trHeight w:val="180"/>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(282,103)</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4"/>
                <w:szCs w:val="14"/>
                <w:color w:val="auto"/>
              </w:rPr>
              <w:t>(270,700)</w:t>
            </w: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311,822</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color w:val="auto"/>
              </w:rPr>
              <w:t>347,198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 current (to be amortized in next 12 months)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188,358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208,474</w:t>
            </w:r>
          </w:p>
        </w:tc>
      </w:tr>
      <w:tr>
        <w:trPr>
          <w:trHeight w:val="180"/>
        </w:trPr>
        <w:tc>
          <w:tcPr>
            <w:tcW w:w="8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123,464</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color w:val="auto"/>
              </w:rPr>
              <w:t>138,724</w:t>
            </w:r>
          </w:p>
        </w:tc>
      </w:tr>
      <w:tr>
        <w:trPr>
          <w:trHeight w:val="19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contract acquisition costs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311,822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347,198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right="9620" w:hanging="375"/>
        <w:spacing w:after="0" w:line="381" w:lineRule="auto"/>
        <w:tabs>
          <w:tab w:leader="none" w:pos="246"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Investments </w:t>
      </w:r>
      <w:r>
        <w:rPr>
          <w:rFonts w:ascii="Times New Roman" w:cs="Times New Roman" w:eastAsia="Times New Roman" w:hAnsi="Times New Roman"/>
          <w:sz w:val="14"/>
          <w:szCs w:val="14"/>
          <w:b w:val="1"/>
          <w:bCs w:val="1"/>
          <w:i w:val="1"/>
          <w:iCs w:val="1"/>
          <w:color w:val="auto"/>
        </w:rPr>
        <w:t>Marketable Securities</w:t>
      </w: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January 31, 2025 and 2024, our marketable securities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 of January 31, 2025</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9"/>
                <w:szCs w:val="9"/>
                <w:color w:val="auto"/>
              </w:rPr>
            </w:pPr>
          </w:p>
        </w:tc>
        <w:tc>
          <w:tcPr>
            <w:tcW w:w="1060" w:type="dxa"/>
            <w:vAlign w:val="bottom"/>
          </w:tcPr>
          <w:p>
            <w:pPr>
              <w:jc w:val="center"/>
              <w:ind w:right="194"/>
              <w:spacing w:after="0" w:line="106"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0"/>
                <w:szCs w:val="10"/>
                <w:color w:val="auto"/>
              </w:rPr>
            </w:pPr>
          </w:p>
        </w:tc>
        <w:tc>
          <w:tcPr>
            <w:tcW w:w="106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10"/>
                <w:szCs w:val="10"/>
                <w:color w:val="auto"/>
              </w:rPr>
            </w:pPr>
          </w:p>
        </w:tc>
        <w:tc>
          <w:tcPr>
            <w:tcW w:w="1060" w:type="dxa"/>
            <w:vAlign w:val="bottom"/>
          </w:tcPr>
          <w:p>
            <w:pPr>
              <w:jc w:val="center"/>
              <w:ind w:right="194"/>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4"/>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center"/>
              <w:ind w:left="6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20,841</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1,173,518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1,174,484</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720,795</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4,412,730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4,415,930</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110,279</w:t>
            </w:r>
          </w:p>
        </w:tc>
        <w:tc>
          <w:tcPr>
            <w:tcW w:w="0" w:type="dxa"/>
            <w:vAlign w:val="bottom"/>
          </w:tcPr>
          <w:p>
            <w:pPr>
              <w:spacing w:after="0"/>
              <w:rPr>
                <w:sz w:val="1"/>
                <w:szCs w:val="1"/>
                <w:color w:val="auto"/>
              </w:rPr>
            </w:pPr>
          </w:p>
        </w:tc>
      </w:tr>
      <w:tr>
        <w:trPr>
          <w:trHeight w:val="171"/>
        </w:trPr>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6,436,471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6,442,329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 of January 31, 2024</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240" w:type="dxa"/>
            <w:vAlign w:val="bottom"/>
          </w:tcPr>
          <w:p>
            <w:pPr>
              <w:spacing w:after="0"/>
              <w:rPr>
                <w:sz w:val="9"/>
                <w:szCs w:val="9"/>
                <w:color w:val="auto"/>
              </w:rPr>
            </w:pPr>
          </w:p>
        </w:tc>
        <w:tc>
          <w:tcPr>
            <w:tcW w:w="118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9"/>
                <w:szCs w:val="9"/>
                <w:color w:val="auto"/>
              </w:rPr>
            </w:pPr>
          </w:p>
        </w:tc>
        <w:tc>
          <w:tcPr>
            <w:tcW w:w="1060" w:type="dxa"/>
            <w:vAlign w:val="bottom"/>
          </w:tcPr>
          <w:p>
            <w:pPr>
              <w:jc w:val="center"/>
              <w:ind w:right="194"/>
              <w:spacing w:after="0" w:line="108"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0"/>
                <w:szCs w:val="10"/>
                <w:color w:val="auto"/>
              </w:rPr>
            </w:pPr>
          </w:p>
        </w:tc>
        <w:tc>
          <w:tcPr>
            <w:tcW w:w="106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10"/>
                <w:szCs w:val="10"/>
                <w:color w:val="auto"/>
              </w:rPr>
            </w:pPr>
          </w:p>
        </w:tc>
        <w:tc>
          <w:tcPr>
            <w:tcW w:w="1060" w:type="dxa"/>
            <w:vAlign w:val="bottom"/>
          </w:tcPr>
          <w:p>
            <w:pPr>
              <w:jc w:val="center"/>
              <w:ind w:right="194"/>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3"/>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3"/>
          </w:tcPr>
          <w:p>
            <w:pPr>
              <w:jc w:val="center"/>
              <w:ind w:left="6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1,667,601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1,666,683</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663,159</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3,003,224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3,004,842</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0" w:type="dxa"/>
            <w:vAlign w:val="bottom"/>
          </w:tcPr>
          <w:p>
            <w:pPr>
              <w:spacing w:after="0"/>
              <w:rPr>
                <w:sz w:val="1"/>
                <w:szCs w:val="1"/>
                <w:color w:val="auto"/>
              </w:rPr>
            </w:pPr>
          </w:p>
        </w:tc>
      </w:tr>
      <w:tr>
        <w:trPr>
          <w:trHeight w:val="171"/>
        </w:trPr>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5,403,503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11,446</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Unrealized losses for securities that have been in an unrealized loss position for less than 12 months were $6.2 million and $6.0 million as of January 31, 2025 and 2024, respectively. Unrealized losses for securities that have been in an unrealized loss position for 12 months or longer were immaterial as of January 31, 2025 and $4.8 million as of January 31, 2024.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income (loss) for the fiscal years ended January 31, 2025, 2024, and 2023.</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our marketable securities as of January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5"/>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than one year</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3,534,014</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2,883,598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Due in one to five years</w:t>
            </w:r>
          </w:p>
        </w:tc>
        <w:tc>
          <w:tcPr>
            <w:tcW w:w="340" w:type="dxa"/>
            <w:vAlign w:val="bottom"/>
            <w:tcBorders>
              <w:bottom w:val="single" w:sz="8" w:color="CFF0FC"/>
            </w:tcBorders>
          </w:tcPr>
          <w:p>
            <w:pPr>
              <w:spacing w:after="0"/>
              <w:rPr>
                <w:sz w:val="15"/>
                <w:szCs w:val="15"/>
                <w:color w:val="auto"/>
              </w:rPr>
            </w:pPr>
          </w:p>
        </w:tc>
        <w:tc>
          <w:tcPr>
            <w:tcW w:w="13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2,908,315</w:t>
            </w:r>
          </w:p>
        </w:tc>
        <w:tc>
          <w:tcPr>
            <w:tcW w:w="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2,520,635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gridSpan w:val="2"/>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6,442,329</w:t>
            </w:r>
          </w:p>
        </w:tc>
        <w:tc>
          <w:tcPr>
            <w:tcW w:w="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bottom w:val="single" w:sz="8" w:color="CFF0FC"/>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6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Strategic investments by form and measurement category as of January 31, 2025 were as follows:</w:t>
            </w: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1"/>
                <w:szCs w:val="11"/>
                <w:b w:val="1"/>
                <w:bCs w:val="1"/>
                <w:color w:val="auto"/>
              </w:rPr>
              <w:t>Measurement Category</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452,160</w:t>
            </w:r>
          </w:p>
        </w:tc>
        <w:tc>
          <w:tcPr>
            <w:tcW w:w="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99,591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587,031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99,591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591,481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Strategic investments by form and measurement category as of January 31, 2024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1"/>
                <w:szCs w:val="11"/>
                <w:b w:val="1"/>
                <w:bCs w:val="1"/>
                <w:color w:val="auto"/>
              </w:rPr>
              <w:t>Measurement Category</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442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7"/>
        </w:trPr>
        <w:tc>
          <w:tcPr>
            <w:tcW w:w="4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285,509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405,394</w:t>
            </w: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r>
      <w:tr>
        <w:trPr>
          <w:trHeight w:val="196"/>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114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409,222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fiscal year ended January 31, 2025, we recorded net unrealized gains of $151.4 million on our investments accounted for under the measurement alternative method, mainly driven by changes in the fair value, sales of investments, along with dividends received from these investments.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1"/>
                <w:szCs w:val="11"/>
                <w:b w:val="1"/>
                <w:bCs w:val="1"/>
                <w:color w:val="auto"/>
              </w:rPr>
              <w:t>As of January 31, 2025</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4"/>
        </w:trPr>
        <w:tc>
          <w:tcPr>
            <w:tcW w:w="5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77"/>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825,044</w:t>
            </w:r>
          </w:p>
        </w:tc>
        <w:tc>
          <w:tcPr>
            <w:tcW w:w="40" w:type="dxa"/>
            <w:vAlign w:val="bottom"/>
          </w:tcPr>
          <w:p>
            <w:pPr>
              <w:spacing w:after="0"/>
              <w:rPr>
                <w:sz w:val="15"/>
                <w:szCs w:val="15"/>
                <w:color w:val="auto"/>
              </w:rPr>
            </w:pPr>
          </w:p>
        </w:tc>
        <w:tc>
          <w:tcPr>
            <w:tcW w:w="3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825,044</w:t>
            </w:r>
          </w:p>
        </w:tc>
        <w:tc>
          <w:tcPr>
            <w:tcW w:w="40" w:type="dxa"/>
            <w:vAlign w:val="bottom"/>
          </w:tcPr>
          <w:p>
            <w:pPr>
              <w:spacing w:after="0"/>
              <w:rPr>
                <w:sz w:val="15"/>
                <w:szCs w:val="15"/>
                <w:color w:val="auto"/>
              </w:rPr>
            </w:pPr>
          </w:p>
        </w:tc>
        <w:tc>
          <w:tcPr>
            <w:tcW w:w="46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23,992</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equivalents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867,001</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825,044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41,957</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1,174,484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1,174,484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720,795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720,795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4,415,930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4,415,930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110,279</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110,279</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6,442,329</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6,442,329</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Publicly held equity securities included in strategic investments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35,280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35,280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Privately held debt securities included in strategic investments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40" w:type="dxa"/>
            <w:vAlign w:val="bottom"/>
            <w:tcBorders>
              <w:bottom w:val="single" w:sz="8" w:color="auto"/>
            </w:tcBorders>
            <w:shd w:val="clear" w:color="auto" w:fill="CCEEFF"/>
          </w:tcPr>
          <w:p>
            <w:pPr>
              <w:spacing w:after="0"/>
              <w:rPr>
                <w:sz w:val="14"/>
                <w:szCs w:val="14"/>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7,349,060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860,324</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6,484,286</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40" w:type="dxa"/>
            <w:vAlign w:val="bottom"/>
            <w:tcBorders>
              <w:bottom w:val="single" w:sz="8" w:color="auto"/>
            </w:tcBorders>
          </w:tcPr>
          <w:p>
            <w:pPr>
              <w:spacing w:after="0"/>
              <w:rPr>
                <w:sz w:val="14"/>
                <w:szCs w:val="14"/>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91"/>
        </w:trPr>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1"/>
                <w:szCs w:val="11"/>
                <w:b w:val="1"/>
                <w:bCs w:val="1"/>
                <w:color w:val="auto"/>
              </w:rPr>
              <w:t>As of January 31, 2024</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4"/>
        </w:trPr>
        <w:tc>
          <w:tcPr>
            <w:tcW w:w="5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3"/>
                <w:szCs w:val="13"/>
                <w:color w:val="auto"/>
              </w:rPr>
            </w:pPr>
          </w:p>
        </w:tc>
      </w:tr>
      <w:tr>
        <w:trPr>
          <w:trHeight w:val="177"/>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Pr>
          <w:p>
            <w:pPr>
              <w:jc w:val="right"/>
              <w:ind w:right="132"/>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851,100</w:t>
            </w:r>
          </w:p>
        </w:tc>
        <w:tc>
          <w:tcPr>
            <w:tcW w:w="40" w:type="dxa"/>
            <w:vAlign w:val="bottom"/>
          </w:tcPr>
          <w:p>
            <w:pPr>
              <w:spacing w:after="0"/>
              <w:rPr>
                <w:sz w:val="15"/>
                <w:szCs w:val="15"/>
                <w:color w:val="auto"/>
              </w:rPr>
            </w:pPr>
          </w:p>
        </w:tc>
        <w:tc>
          <w:tcPr>
            <w:tcW w:w="36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851,100</w:t>
            </w:r>
          </w:p>
        </w:tc>
        <w:tc>
          <w:tcPr>
            <w:tcW w:w="40" w:type="dxa"/>
            <w:vAlign w:val="bottom"/>
          </w:tcPr>
          <w:p>
            <w:pPr>
              <w:spacing w:after="0"/>
              <w:rPr>
                <w:sz w:val="15"/>
                <w:szCs w:val="15"/>
                <w:color w:val="auto"/>
              </w:rPr>
            </w:pPr>
          </w:p>
        </w:tc>
        <w:tc>
          <w:tcPr>
            <w:tcW w:w="46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100,629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1"/>
        </w:trPr>
        <w:tc>
          <w:tcPr>
            <w:tcW w:w="5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Cash equivalents</w:t>
            </w: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974,599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851,100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123,499</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663,159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663,159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3,004,842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1"/>
        </w:trPr>
        <w:tc>
          <w:tcPr>
            <w:tcW w:w="5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5,404,233</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 included in other assets, noncurrent</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Publicly held equity securities included in strategic investments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Privately held debt securities included in strategic investments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40" w:type="dxa"/>
            <w:vAlign w:val="bottom"/>
          </w:tcPr>
          <w:p>
            <w:pPr>
              <w:spacing w:after="0"/>
              <w:rPr>
                <w:sz w:val="14"/>
                <w:szCs w:val="14"/>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6,406,074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874,260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5,527,986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40" w:type="dxa"/>
            <w:vAlign w:val="bottom"/>
          </w:tcPr>
          <w:p>
            <w:pPr>
              <w:spacing w:after="0"/>
              <w:rPr>
                <w:sz w:val="14"/>
                <w:szCs w:val="14"/>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380" w:right="9620" w:hanging="375"/>
        <w:spacing w:after="0" w:line="381" w:lineRule="auto"/>
        <w:tabs>
          <w:tab w:leader="none" w:pos="246"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 Workvivo Limited</w:t>
      </w: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At the date of the acquisition, the developed technology and customer relationships both had an estimated useful life of 5.0 years, and both are amortized using the straight-line method over their respective estimated useful lives. Amortization of developed technology and customer relationships is recorded within cost of revenue and sales and marketing expense, respectively, within the consolidated statements of operations. As of January 31, 2025, the developed technology and customer relationships both had a remaining useful life of 3.2 years.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Transaction costs incurred in connection with the acquisition were immaterial. The results of operations of Workvivo, which are not material,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Balance Sheet Components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188,259</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24,049</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200,679</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219,182</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Servers</w:t>
            </w:r>
          </w:p>
        </w:tc>
        <w:tc>
          <w:tcPr>
            <w:tcW w:w="100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427,664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340,868</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123,259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95,409</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44,571</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658,596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530,021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(328,121)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(236,317)</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330,475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293,704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was $109.1 million, $91.9 million, and $77.0 million for the fiscal years ended January 31, 2025, 2024, and 2023,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Assets, Noncurrent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assets, noncurrent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noncurrent</w:t>
            </w:r>
          </w:p>
        </w:tc>
        <w:tc>
          <w:tcPr>
            <w:tcW w:w="384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net</w:t>
            </w: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2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 noncurrent</w:t>
            </w: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 noncurrent</w:t>
            </w:r>
          </w:p>
        </w:tc>
        <w:tc>
          <w:tcPr>
            <w:tcW w:w="2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11,772</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 noncurrent</w:t>
            </w:r>
          </w:p>
        </w:tc>
        <w:tc>
          <w:tcPr>
            <w:tcW w:w="28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tc>
        <w:tc>
          <w:tcPr>
            <w:tcW w:w="2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04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tc>
        <w:tc>
          <w:tcPr>
            <w:tcW w:w="2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384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200,416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193,110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liabilities</w:t>
            </w:r>
          </w:p>
        </w:tc>
        <w:tc>
          <w:tcPr>
            <w:tcW w:w="2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other non-income tax liabilities</w:t>
            </w: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deposit liabilities</w:t>
            </w:r>
          </w:p>
        </w:tc>
        <w:tc>
          <w:tcPr>
            <w:tcW w:w="2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20" w:type="dxa"/>
            <w:vAlign w:val="bottom"/>
          </w:tcPr>
          <w:p>
            <w:pPr>
              <w:spacing w:after="0"/>
              <w:rPr>
                <w:sz w:val="14"/>
                <w:szCs w:val="14"/>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558,562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500,164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Liabilities, Noncurrent</w:t>
            </w: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4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liabilities, noncurrent consisted of the following:</w:t>
            </w:r>
          </w:p>
        </w:tc>
        <w:tc>
          <w:tcPr>
            <w:tcW w:w="2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non-income tax liabilities</w:t>
            </w:r>
          </w:p>
        </w:tc>
        <w:tc>
          <w:tcPr>
            <w:tcW w:w="384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income tax liabilities</w:t>
            </w:r>
          </w:p>
        </w:tc>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820" w:type="dxa"/>
            <w:vAlign w:val="bottom"/>
          </w:tcPr>
          <w:p>
            <w:pPr>
              <w:spacing w:after="0"/>
              <w:rPr>
                <w:sz w:val="14"/>
                <w:szCs w:val="14"/>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95,363</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20" w:type="dxa"/>
            <w:vAlign w:val="bottom"/>
            <w:vMerge w:val="restart"/>
          </w:tcPr>
          <w:p>
            <w:pPr>
              <w:jc w:val="right"/>
              <w:ind w:right="2069"/>
              <w:spacing w:after="0"/>
              <w:rPr>
                <w:sz w:val="20"/>
                <w:szCs w:val="20"/>
                <w:color w:val="auto"/>
              </w:rPr>
            </w:pPr>
            <w:r>
              <w:rPr>
                <w:rFonts w:ascii="Times New Roman" w:cs="Times New Roman" w:eastAsia="Times New Roman" w:hAnsi="Times New Roman"/>
                <w:sz w:val="14"/>
                <w:szCs w:val="14"/>
                <w:color w:val="auto"/>
              </w:rPr>
              <w:t>86</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50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4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Operating Leases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We have entered into various operating lease agreements for office space, with remaining contractual periods of up to five years. We also enter into equipment operating lease agreements related to our Hardware-as-a-Service (“HaaS”) offering. We elect to apply the lessor practical expedient per ASC 842 and account for HaaS with customers as a combined performance obligation with the right to access our unified communications and collaboration platform under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HaaS was immaterial to our consolidated financial statements.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years ended January 31, 2025, 2024 and 2023 was $26.7 million, $24.9 million and $32.7 million, respectively, excluding short-term lease costs, variable lease costs, and sublease income, each of which was immaterial for the fiscal years ended January 31, 2025, 2024 and 2023.</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was as follows: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Reported 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Assets:</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Liabilities: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p>
      <w:pPr>
        <w:spacing w:after="0" w:line="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operating lease liabilities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As of January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5"/>
        </w:trPr>
        <w:tc>
          <w:tcPr>
            <w:tcW w:w="420" w:type="dxa"/>
            <w:vAlign w:val="bottom"/>
          </w:tcPr>
          <w:p>
            <w:pPr>
              <w:spacing w:after="0"/>
              <w:rPr>
                <w:sz w:val="12"/>
                <w:szCs w:val="12"/>
                <w:color w:val="auto"/>
              </w:rPr>
            </w:pPr>
          </w:p>
        </w:tc>
        <w:tc>
          <w:tcPr>
            <w:tcW w:w="3160" w:type="dxa"/>
            <w:vAlign w:val="bottom"/>
            <w:gridSpan w:val="4"/>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(in thousands, except life and percentages)</w:t>
            </w:r>
          </w:p>
        </w:tc>
      </w:tr>
      <w:tr>
        <w:trPr>
          <w:trHeight w:val="551"/>
        </w:trPr>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55,900</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58,975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8"/>
        </w:trPr>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27,026</w:t>
            </w:r>
          </w:p>
        </w:tc>
        <w:tc>
          <w:tcPr>
            <w:tcW w:w="100" w:type="dxa"/>
            <w:vAlign w:val="bottom"/>
          </w:tcPr>
          <w:p>
            <w:pPr>
              <w:spacing w:after="0"/>
              <w:rPr>
                <w:sz w:val="24"/>
                <w:szCs w:val="24"/>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24,645</w:t>
            </w:r>
          </w:p>
        </w:tc>
      </w:tr>
      <w:tr>
        <w:trPr>
          <w:trHeight w:val="184"/>
        </w:trPr>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37,406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48,308</w:t>
            </w:r>
          </w:p>
        </w:tc>
      </w:tr>
      <w:tr>
        <w:trPr>
          <w:trHeight w:val="171"/>
        </w:trPr>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color w:val="auto"/>
              </w:rPr>
              <w:t>64,432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72,953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39"/>
        </w:trPr>
        <w:tc>
          <w:tcPr>
            <w:tcW w:w="420" w:type="dxa"/>
            <w:vAlign w:val="bottom"/>
          </w:tcPr>
          <w:p>
            <w:pPr>
              <w:spacing w:after="0"/>
              <w:rPr>
                <w:sz w:val="24"/>
                <w:szCs w:val="24"/>
                <w:color w:val="auto"/>
              </w:rPr>
            </w:pPr>
          </w:p>
        </w:tc>
        <w:tc>
          <w:tcPr>
            <w:tcW w:w="14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3.3 years</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years</w:t>
            </w:r>
          </w:p>
        </w:tc>
      </w:tr>
      <w:tr>
        <w:trPr>
          <w:trHeight w:val="184"/>
        </w:trPr>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-1191260</wp:posOffset>
            </wp:positionV>
            <wp:extent cx="7161530"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-962660</wp:posOffset>
            </wp:positionV>
            <wp:extent cx="7161530"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-720090</wp:posOffset>
            </wp:positionV>
            <wp:extent cx="7161530"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-490855</wp:posOffset>
            </wp:positionV>
            <wp:extent cx="7161530" cy="134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-227965</wp:posOffset>
            </wp:positionV>
            <wp:extent cx="7161530"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580"/>
          </w:cols>
          <w:pgMar w:left="300" w:top="125" w:right="31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Supplemental cash flow and other information related to operating leases was as follows: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1"/>
          <w:szCs w:val="11"/>
          <w:b w:val="1"/>
          <w:bCs w:val="1"/>
          <w:color w:val="auto"/>
        </w:rPr>
        <w:t>Year Ended January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2"/>
          </w:tcPr>
          <w:p>
            <w:pPr>
              <w:jc w:val="right"/>
              <w:ind w:right="70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included in the measurement of our operating lease liabilities</w:t>
            </w: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31,197</w:t>
            </w:r>
          </w:p>
        </w:tc>
        <w:tc>
          <w:tcPr>
            <w:tcW w:w="52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26,471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recognized in exchange for new operating lease obligations</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21,760</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8200" w:type="dxa"/>
            <w:vAlign w:val="bottom"/>
            <w:gridSpan w:val="6"/>
          </w:tcPr>
          <w:p>
            <w:pPr>
              <w:ind w:left="380"/>
              <w:spacing w:after="0"/>
              <w:rPr>
                <w:sz w:val="20"/>
                <w:szCs w:val="20"/>
                <w:color w:val="auto"/>
              </w:rPr>
            </w:pPr>
            <w:r>
              <w:rPr>
                <w:rFonts w:ascii="Times New Roman" w:cs="Times New Roman" w:eastAsia="Times New Roman" w:hAnsi="Times New Roman"/>
                <w:sz w:val="14"/>
                <w:szCs w:val="14"/>
                <w:color w:val="auto"/>
              </w:rPr>
              <w:t>As of January 31, 2025, the future minimum lease payments included in the measurement of our operating lease liabilities are as follows: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As of January 31, 2025</w:t>
            </w:r>
          </w:p>
        </w:tc>
        <w:tc>
          <w:tcPr>
            <w:tcW w:w="0" w:type="dxa"/>
            <w:vAlign w:val="bottom"/>
          </w:tcPr>
          <w:p>
            <w:pPr>
              <w:spacing w:after="0"/>
              <w:rPr>
                <w:sz w:val="1"/>
                <w:szCs w:val="1"/>
                <w:color w:val="auto"/>
              </w:rPr>
            </w:pPr>
          </w:p>
        </w:tc>
      </w:tr>
      <w:tr>
        <w:trPr>
          <w:trHeight w:val="154"/>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January 31,</w:t>
            </w: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imputed interest</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9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64,432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Goodwill and Intangible Assets</w:t>
            </w: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9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amount of goodwill during the years:</w:t>
            </w: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gridSpan w:val="4"/>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the year</w:t>
            </w:r>
          </w:p>
        </w:tc>
        <w:tc>
          <w:tcPr>
            <w:tcW w:w="4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307,295</w:t>
            </w:r>
          </w:p>
        </w:tc>
        <w:tc>
          <w:tcPr>
            <w:tcW w:w="54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Increase in goodwill related to business combinations</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ending of the year</w:t>
            </w:r>
          </w:p>
        </w:tc>
        <w:tc>
          <w:tcPr>
            <w:tcW w:w="4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307,295</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fiscal year ended January 31, 2024, we acquired Workvivo, and recorded goodwill of $184.7 million. See Note 5 for additional information related to the acquisition.</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Intangibles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intangible assets with a finite useful life included within other asset, noncurrent on the consolidated balance sheet: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40" w:type="dxa"/>
            <w:vAlign w:val="bottom"/>
          </w:tcPr>
          <w:p>
            <w:pPr>
              <w:spacing w:after="0"/>
              <w:rPr>
                <w:sz w:val="9"/>
                <w:szCs w:val="9"/>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Net Value</w:t>
            </w:r>
          </w:p>
        </w:tc>
        <w:tc>
          <w:tcPr>
            <w:tcW w:w="100" w:type="dxa"/>
            <w:vAlign w:val="bottom"/>
            <w:vMerge w:val="restart"/>
          </w:tcPr>
          <w:p>
            <w:pPr>
              <w:spacing w:after="0"/>
              <w:rPr>
                <w:sz w:val="9"/>
                <w:szCs w:val="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9"/>
                <w:szCs w:val="9"/>
                <w:color w:val="auto"/>
              </w:rPr>
            </w:pPr>
          </w:p>
        </w:tc>
        <w:tc>
          <w:tcPr>
            <w:tcW w:w="104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Net Value</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4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24,048</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18,283</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Assembled workforce</w:t>
            </w: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65,725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65,725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46,935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Intangible asset amortization expense was $13.5 million, $12.5 million, and $5.3 million for the fiscal years ended January 31, 2025, 2024 and 2023,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Estimated amortization expense for each of the five succeeding fiscal years and thereafter is as follows:</w:t>
            </w: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of January 31, 2025</w:t>
            </w: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January 31,</w:t>
            </w:r>
          </w:p>
        </w:tc>
        <w:tc>
          <w:tcPr>
            <w:tcW w:w="5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33,410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1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color w:val="auto"/>
              </w:rPr>
              <w:t>The following table summarizes intangible assets with an indefinite useful life included within other asset, noncurrent on the consolidated balance sheet:</w:t>
            </w:r>
          </w:p>
        </w:tc>
        <w:tc>
          <w:tcPr>
            <w:tcW w:w="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0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2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Domain and IP Addresses</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20,232</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Patents and trade names</w:t>
            </w: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years ended January 31, 2025, 2024 and 2023, there were no intangible assets impairment losses.</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Commitments and Contingencies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Non-cancelable Purchase Obligations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we enter into non-cancelable purchase commitments with various parties to purchase primarily software-based services. As of January 31, 2025, we had outstanding non-cancelable purchase obligations with a term of less than 12 months of $236.5 million and non-cancelable purchase obligations with a term 12 months or longer of $233.7 million.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Indemnifications and Contingency</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Sales and Other Tax Liabilities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conduct operations in many tax jurisdictions. In many jurisdictions, non-income-based taxes, such as sales and use tax and other indirect taxes, are assessed on our operations. Although we are diligent in collecting and remitting such taxes,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there is uncertainty as to what constitutes sufficient presence for a jurisdiction to levy taxes, fees, and surcharges for sales made over the Internet. As of January 31, 2025 and 2024, we recorded sales and other tax liabilities of $83.3 million and $77.7 million, respectively, of which $41.8 million and $35.5 million are included in accrued expenses and other current liabilities, respectively, and $41.5 million and $42.3 million are included in other liabilities, noncurrent, respectively, in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These investigations are ongoing, and a negative outcome in any or all of these matters could cause us to incur substantial fines, penalties, or other financial exposure, as well as reputational harm. During the fiscal year ended January 31, 2025, we recorded an $18.0 million accrual with respect to a tentative settlement offer for the SEC matter that remains subject to SEC approval. We do not know when these matters will be completed, including the SEC matter, which facts we will ultimately discover as a result of the investigations, or what actions the government may or may not take. We are unable to predict the ultimate outcome of these matters and are unable to reasonably estimate any range of possible loss beyond the $18.0 million settlement offer for the SEC matter.</w:t>
      </w:r>
    </w:p>
    <w:p>
      <w:pPr>
        <w:spacing w:after="0" w:line="61"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required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December 22, 2023, plaintiff filed her opposition to the motion to dismiss, and on January 26, 2024, defendants filed their reply in support of the motion to dismiss. On April 1, 2024, the parties notified the court that the parties are engaged in good-faith, material settlement discussions, and requested that the court stay any proceedings and rulings in connection with the pending motion to dismiss while the parties attempt to reach a proposed resolution of this action. On April 2, 2024, the Court stayed the case. On January 14, 2025, the parties executed a Stipulation of Settlement (“Stipulation”) to resolve this matter. Under the terms of the Stipulation, in exchange for the release and dismissal with prejudice of all claims against all defendants in the matter, Zoom agreed to enact certain corporate governance reforms and to pay plaintiff’s counsel a fee award of up to $1.35 million. The Stipulation and settlement remain subject to preliminary and final approval by the court. On January 16, 2025, plaintiff filed a motion for preliminary approval of the settlement. On February 6, 2025, the court held a hearing on the motion for preliminary approval of the settlement. We accrued the $1.35 million fee award and recorded it as a general and administrative expense in our consolidated statement of operations for the year ended January 31, 2025.</w:t>
      </w:r>
    </w:p>
    <w:p>
      <w:pPr>
        <w:spacing w:after="0" w:line="6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vigorously defending ourselves against these lawsuits. Given the uncertainty of litigation, the preliminary stage of the cases, and the legal standards that must be met for, among other things, class certification and success on the merits,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described above, we cannot estimate the reasonably possible loss or range of loss that may result from these actions.</w:t>
      </w:r>
    </w:p>
    <w:p>
      <w:pPr>
        <w:spacing w:after="0" w:line="94"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was held on June 13, 2024, but the court has yet to enter a preliminary approval order. As a result of the settlement, we made net payments of $60.0 million ($150.0 million for the settlement net of $90.0 million covered by insurance) during the year ended January 31, 2024, of which $7.5 million had been accrued during the year ended January 31, 2023 and $52.5 million was recorded as a general and administrative expense in our consolidated statement of operations for the year ended January 31, 2024.</w:t>
      </w:r>
    </w:p>
    <w:p>
      <w:pPr>
        <w:spacing w:after="0" w:line="6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Stockholders’ Equity and Equity Incentive Plans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Dual-Class Common Stock Structure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Upon the effectiveness of the amended and restated certificate of incorporation in November 2018, the number of shares of common stock that are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have the following shares of Class A common stock reserved for future issuance:</w:t>
      </w:r>
    </w:p>
    <w:p>
      <w:pPr>
        <w:spacing w:after="0" w:line="1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1"/>
          <w:szCs w:val="11"/>
          <w:b w:val="1"/>
          <w:bCs w:val="1"/>
          <w:color w:val="auto"/>
        </w:rPr>
        <w:t>As of January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4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2,394,918</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3,314,228</w:t>
            </w:r>
          </w:p>
        </w:tc>
      </w:tr>
      <w:tr>
        <w:trPr>
          <w:trHeight w:val="18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outstanding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23,870,513</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26,040,557</w:t>
            </w:r>
          </w:p>
        </w:tc>
      </w:tr>
      <w:tr>
        <w:trPr>
          <w:trHeight w:val="18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 purchase rights outstanding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2,311,567</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2,086,604</w:t>
            </w:r>
          </w:p>
        </w:tc>
      </w:tr>
      <w:tr>
        <w:trPr>
          <w:trHeight w:val="18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Remaining shares available for future issuance under the 2011 and 2019 plan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56,022,675</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50,559,254</w:t>
            </w:r>
          </w:p>
        </w:tc>
      </w:tr>
      <w:tr>
        <w:trPr>
          <w:trHeight w:val="18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shares available for future issuance under the ESPP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18,807,595</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14,712,385</w:t>
            </w:r>
          </w:p>
        </w:tc>
      </w:tr>
      <w:tr>
        <w:trPr>
          <w:trHeight w:val="17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shares of Class A common stock reserved</w:t>
            </w:r>
          </w:p>
        </w:tc>
        <w:tc>
          <w:tcPr>
            <w:tcW w:w="10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103,407,268</w:t>
            </w:r>
          </w:p>
        </w:tc>
        <w:tc>
          <w:tcPr>
            <w:tcW w:w="100" w:type="dxa"/>
            <w:vAlign w:val="bottom"/>
          </w:tcPr>
          <w:p>
            <w:pPr>
              <w:spacing w:after="0"/>
              <w:rPr>
                <w:sz w:val="14"/>
                <w:szCs w:val="14"/>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96,713,028</w:t>
            </w: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Plan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fiscal year ended January 31, 2025, we repurchased and subsequently retired 15,888,316 shares of our Class A common stock for an aggregate amount of $1.1 billion. As of January 31, 2025, $1.6 billion of the repurchase authorization remained available.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5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In April 2019, we adopted the 2019 Plan, which became effective in connection with our IPO. Our 2019 Plan provides for the grant of stock options, stock appreciation rights, RSU awards, performance awards, and other forms of awards. The awards generally vest over four years.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w:t>
      </w:r>
    </w:p>
    <w:p>
      <w:pPr>
        <w:spacing w:after="0" w:line="3" w:lineRule="exact"/>
        <w:rPr>
          <w:sz w:val="20"/>
          <w:szCs w:val="20"/>
          <w:color w:val="auto"/>
        </w:rPr>
      </w:pPr>
    </w:p>
    <w:p>
      <w:pPr>
        <w:ind w:left="220" w:hanging="215"/>
        <w:spacing w:after="0"/>
        <w:tabs>
          <w:tab w:leader="none" w:pos="2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lesser number of shares determined by our board of directors prior to the applicable February 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5"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stock option activity under our equity incentive plan and related information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80" w:type="dxa"/>
            <w:vAlign w:val="bottom"/>
          </w:tcPr>
          <w:p>
            <w:pPr>
              <w:spacing w:after="0"/>
              <w:rPr>
                <w:sz w:val="9"/>
                <w:szCs w:val="9"/>
                <w:color w:val="auto"/>
              </w:rPr>
            </w:pPr>
          </w:p>
        </w:tc>
        <w:tc>
          <w:tcPr>
            <w:tcW w:w="1120" w:type="dxa"/>
            <w:vAlign w:val="bottom"/>
            <w:vMerge w:val="restart"/>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06"/>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left="343"/>
              <w:spacing w:after="0" w:line="10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jc w:val="center"/>
              <w:ind w:right="440"/>
              <w:spacing w:after="0" w:line="10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980" w:type="dxa"/>
            <w:vAlign w:val="bottom"/>
          </w:tcPr>
          <w:p>
            <w:pPr>
              <w:jc w:val="center"/>
              <w:ind w:left="343"/>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jc w:val="center"/>
              <w:ind w:right="46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80" w:type="dxa"/>
            <w:vAlign w:val="bottom"/>
          </w:tcPr>
          <w:p>
            <w:pPr>
              <w:spacing w:after="0"/>
              <w:rPr>
                <w:sz w:val="10"/>
                <w:szCs w:val="10"/>
                <w:color w:val="auto"/>
              </w:rPr>
            </w:pPr>
          </w:p>
        </w:tc>
        <w:tc>
          <w:tcPr>
            <w:tcW w:w="1120" w:type="dxa"/>
            <w:vAlign w:val="bottom"/>
          </w:tcPr>
          <w:p>
            <w:pPr>
              <w:jc w:val="center"/>
              <w:ind w:right="216"/>
              <w:spacing w:after="0" w:line="117"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thousands, except share, life and per share data)</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3,314,228</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189,921</w:t>
            </w:r>
          </w:p>
        </w:tc>
        <w:tc>
          <w:tcPr>
            <w:tcW w:w="0" w:type="dxa"/>
            <w:vAlign w:val="bottom"/>
          </w:tcPr>
          <w:p>
            <w:pPr>
              <w:spacing w:after="0"/>
              <w:rPr>
                <w:sz w:val="1"/>
                <w:szCs w:val="1"/>
                <w:color w:val="auto"/>
              </w:rPr>
            </w:pPr>
          </w:p>
        </w:tc>
      </w:tr>
      <w:tr>
        <w:trPr>
          <w:trHeight w:val="180"/>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(908,844)</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62,063</w:t>
            </w: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Canceled/forfeited/expired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(10,466)</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and Exercisable as of January 31, 2025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2,394,918</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187,284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There were no options granted for the fiscal years ended January 31, 2025, 2024 and 2023. The intrinsic value of the options exercised, which represents the difference between the fair market value of our common stock on the date of exercise and the exercise price of each option, was $62.1 million, $90.0 million, and $121.5 million during the fiscal years ended January 31, 2025, 2024, and 2023, respectively. As of January 31, 2025, all options have vested and there is no unrecognized stock-based compensation expense remaining.</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RSU activity under our equity incentive plan and related information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98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1"/>
                <w:szCs w:val="11"/>
                <w:b w:val="1"/>
                <w:bCs w:val="1"/>
                <w:color w:val="auto"/>
              </w:rPr>
              <w:t>RSUs</w:t>
            </w:r>
          </w:p>
        </w:tc>
        <w:tc>
          <w:tcPr>
            <w:tcW w:w="1400" w:type="dxa"/>
            <w:vAlign w:val="bottom"/>
            <w:tcBorders>
              <w:bottom w:val="single" w:sz="8" w:color="auto"/>
            </w:tcBorders>
          </w:tcPr>
          <w:p>
            <w:pPr>
              <w:spacing w:after="0"/>
              <w:rPr>
                <w:sz w:val="13"/>
                <w:szCs w:val="13"/>
                <w:color w:val="auto"/>
              </w:rPr>
            </w:pPr>
          </w:p>
        </w:tc>
      </w:tr>
      <w:tr>
        <w:trPr>
          <w:trHeight w:val="106"/>
        </w:trPr>
        <w:tc>
          <w:tcPr>
            <w:tcW w:w="7900" w:type="dxa"/>
            <w:vAlign w:val="bottom"/>
          </w:tcPr>
          <w:p>
            <w:pPr>
              <w:spacing w:after="0"/>
              <w:rPr>
                <w:sz w:val="9"/>
                <w:szCs w:val="9"/>
                <w:color w:val="auto"/>
              </w:rPr>
            </w:pPr>
          </w:p>
        </w:tc>
        <w:tc>
          <w:tcPr>
            <w:tcW w:w="1660" w:type="dxa"/>
            <w:vAlign w:val="bottom"/>
          </w:tcPr>
          <w:p>
            <w:pPr>
              <w:ind w:left="600"/>
              <w:spacing w:after="0" w:line="106"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jc w:val="right"/>
              <w:ind w:right="312"/>
              <w:spacing w:after="0" w:line="106" w:lineRule="exact"/>
              <w:rPr>
                <w:sz w:val="20"/>
                <w:szCs w:val="20"/>
                <w:color w:val="auto"/>
              </w:rPr>
            </w:pPr>
            <w:r>
              <w:rPr>
                <w:rFonts w:ascii="Times New Roman" w:cs="Times New Roman" w:eastAsia="Times New Roman" w:hAnsi="Times New Roman"/>
                <w:sz w:val="11"/>
                <w:szCs w:val="11"/>
                <w:b w:val="1"/>
                <w:bCs w:val="1"/>
                <w:color w:val="auto"/>
              </w:rPr>
              <w:t>Weighted-Average</w:t>
            </w:r>
          </w:p>
        </w:tc>
      </w:tr>
      <w:tr>
        <w:trPr>
          <w:trHeight w:val="154"/>
        </w:trPr>
        <w:tc>
          <w:tcPr>
            <w:tcW w:w="79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RSUs</w:t>
            </w: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Grant Date Fair Value Per Share</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January 31, 2024</w:t>
            </w:r>
          </w:p>
        </w:tc>
        <w:tc>
          <w:tcPr>
            <w:tcW w:w="16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26,040,557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83.14</w:t>
            </w:r>
          </w:p>
        </w:tc>
      </w:tr>
      <w:tr>
        <w:trPr>
          <w:trHeight w:val="180"/>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6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13,811,816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67.30</w:t>
            </w: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(12,095,006)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r>
      <w:tr>
        <w:trPr>
          <w:trHeight w:val="18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(3,886,854)</w:t>
            </w:r>
          </w:p>
        </w:tc>
        <w:tc>
          <w:tcPr>
            <w:tcW w:w="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78.72</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January 31, 2025</w:t>
            </w:r>
          </w:p>
        </w:tc>
        <w:tc>
          <w:tcPr>
            <w:tcW w:w="16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23,870,513</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January 31, 2025, unrecognized stock-based compensation expense related to outstanding unvested RSUs was $1,495.8 million, which is expected to be recognized over a weighted-average period of 2.6 years.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fiscal year ended January 31, 2025, we granted 1.7 million RSUs that contain both service and performance vesting criteria. The ultimate number of shares eligible to vest pursuant to these RSUs range from 0% to 100% of the target number of shares depending on achievement of the performance metrics. The number of RSUs with service and performance vesting conditions included in the granted amount in the table above reflects the shares that would be eligible to vest at 100% of the target amount.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2019 Employee Stock Purchase Plan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58"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January 31, 2025, 2024, and 2023, 1,066,977, 921,892, and 678,279 shares, respectively, of our Class A common stock were purchased under the ESPP.</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January 31, 2025, unrecognized stock-based compensation expense related to the ESPP was $36.2 million, which is expected to be recognized over a weighted-average period of 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We</w:t>
            </w: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estimated</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ESPP</w:t>
            </w:r>
          </w:p>
        </w:tc>
        <w:tc>
          <w:tcPr>
            <w:tcW w:w="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purchase</w:t>
            </w: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rights</w:t>
            </w: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using</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Black-Scholes</w:t>
            </w:r>
          </w:p>
        </w:tc>
        <w:tc>
          <w:tcPr>
            <w:tcW w:w="100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option-pricing</w:t>
            </w: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7"/>
              </w:rPr>
              <w:t>model</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with</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w:t>
            </w:r>
          </w:p>
        </w:tc>
        <w:tc>
          <w:tcPr>
            <w:tcW w:w="10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following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assumptions:</w:t>
            </w:r>
          </w:p>
        </w:tc>
      </w:tr>
      <w:tr>
        <w:trPr>
          <w:trHeight w:val="171"/>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54"/>
        </w:trPr>
        <w:tc>
          <w:tcPr>
            <w:tcW w:w="7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center"/>
              <w:ind w:right="2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740" w:type="dxa"/>
            <w:vAlign w:val="bottom"/>
            <w:tcBorders>
              <w:bottom w:val="single" w:sz="8" w:color="auto"/>
            </w:tcBorders>
          </w:tcPr>
          <w:p>
            <w:pPr>
              <w:spacing w:after="0"/>
              <w:rPr>
                <w:sz w:val="13"/>
                <w:szCs w:val="13"/>
                <w:color w:val="auto"/>
              </w:rPr>
            </w:pPr>
          </w:p>
        </w:tc>
      </w:tr>
      <w:tr>
        <w:trPr>
          <w:trHeight w:val="176"/>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0.5 - 2.0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jc w:val="center"/>
              <w:ind w:left="470"/>
              <w:spacing w:after="0"/>
              <w:rPr>
                <w:sz w:val="20"/>
                <w:szCs w:val="20"/>
                <w:color w:val="auto"/>
              </w:rPr>
            </w:pPr>
            <w:r>
              <w:rPr>
                <w:rFonts w:ascii="Times New Roman" w:cs="Times New Roman" w:eastAsia="Times New Roman" w:hAnsi="Times New Roman"/>
                <w:sz w:val="14"/>
                <w:szCs w:val="14"/>
                <w:color w:val="auto"/>
                <w:w w:val="98"/>
              </w:rPr>
              <w:t>0.5 - 2.0</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4"/>
                <w:szCs w:val="14"/>
                <w:color w:val="auto"/>
              </w:rPr>
              <w:t>0.5 - 2.0</w:t>
            </w:r>
          </w:p>
        </w:tc>
        <w:tc>
          <w:tcPr>
            <w:tcW w:w="740" w:type="dxa"/>
            <w:vAlign w:val="bottom"/>
            <w:shd w:val="clear" w:color="auto" w:fill="CCEEFF"/>
          </w:tcPr>
          <w:p>
            <w:pPr>
              <w:spacing w:after="0"/>
              <w:rPr>
                <w:sz w:val="15"/>
                <w:szCs w:val="15"/>
                <w:color w:val="auto"/>
              </w:rPr>
            </w:pPr>
          </w:p>
        </w:tc>
      </w:tr>
      <w:tr>
        <w:trPr>
          <w:trHeight w:val="18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28.4% - 43.3%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5"/>
          </w:tcPr>
          <w:p>
            <w:pPr>
              <w:jc w:val="center"/>
              <w:ind w:left="10"/>
              <w:spacing w:after="0"/>
              <w:rPr>
                <w:sz w:val="20"/>
                <w:szCs w:val="20"/>
                <w:color w:val="auto"/>
              </w:rPr>
            </w:pPr>
            <w:r>
              <w:rPr>
                <w:rFonts w:ascii="Times New Roman" w:cs="Times New Roman" w:eastAsia="Times New Roman" w:hAnsi="Times New Roman"/>
                <w:sz w:val="14"/>
                <w:szCs w:val="14"/>
                <w:color w:val="auto"/>
              </w:rPr>
              <w:t>30.0% - 57.6%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589"/>
              <w:spacing w:after="0"/>
              <w:rPr>
                <w:sz w:val="20"/>
                <w:szCs w:val="20"/>
                <w:color w:val="auto"/>
              </w:rPr>
            </w:pPr>
            <w:r>
              <w:rPr>
                <w:rFonts w:ascii="Times New Roman" w:cs="Times New Roman" w:eastAsia="Times New Roman" w:hAnsi="Times New Roman"/>
                <w:sz w:val="14"/>
                <w:szCs w:val="14"/>
                <w:color w:val="auto"/>
                <w:w w:val="99"/>
              </w:rPr>
              <w:t>57.6% - 64.6%</w:t>
            </w:r>
          </w:p>
        </w:tc>
      </w:tr>
      <w:tr>
        <w:trPr>
          <w:trHeight w:val="18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 - 5.4%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gridSpan w:val="5"/>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w w:val="99"/>
              </w:rPr>
              <w:t>4.6% - 5.4%</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w w:val="99"/>
              </w:rPr>
              <w:t>2.2% - 4.8%</w:t>
            </w:r>
          </w:p>
        </w:tc>
        <w:tc>
          <w:tcPr>
            <w:tcW w:w="740" w:type="dxa"/>
            <w:vAlign w:val="bottom"/>
            <w:shd w:val="clear" w:color="auto" w:fill="CCEEFF"/>
          </w:tcPr>
          <w:p>
            <w:pPr>
              <w:spacing w:after="0"/>
              <w:rPr>
                <w:sz w:val="15"/>
                <w:szCs w:val="15"/>
                <w:color w:val="auto"/>
              </w:rPr>
            </w:pPr>
          </w:p>
        </w:tc>
      </w:tr>
      <w:tr>
        <w:trPr>
          <w:trHeight w:val="18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jc w:val="center"/>
              <w:ind w:left="292"/>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2"/>
          </w:tcPr>
          <w:p>
            <w:pPr>
              <w:jc w:val="center"/>
              <w:ind w:right="6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left="33"/>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Pr>
          <w:p>
            <w:pPr>
              <w:spacing w:after="0"/>
              <w:rPr>
                <w:sz w:val="16"/>
                <w:szCs w:val="16"/>
                <w:color w:val="auto"/>
              </w:rPr>
            </w:pPr>
          </w:p>
        </w:tc>
      </w:tr>
      <w:tr>
        <w:trPr>
          <w:trHeight w:val="314"/>
        </w:trPr>
        <w:tc>
          <w:tcPr>
            <w:tcW w:w="8600" w:type="dxa"/>
            <w:vAlign w:val="bottom"/>
            <w:gridSpan w:val="20"/>
          </w:tcPr>
          <w:p>
            <w:pPr>
              <w:ind w:left="380"/>
              <w:spacing w:after="0"/>
              <w:rPr>
                <w:sz w:val="20"/>
                <w:szCs w:val="20"/>
                <w:color w:val="auto"/>
              </w:rPr>
            </w:pPr>
            <w:r>
              <w:rPr>
                <w:rFonts w:ascii="Times New Roman" w:cs="Times New Roman" w:eastAsia="Times New Roman" w:hAnsi="Times New Roman"/>
                <w:sz w:val="14"/>
                <w:szCs w:val="14"/>
                <w:color w:val="auto"/>
              </w:rPr>
              <w:t>The stock-based compensation expense by line item in the accompanying consolidated statements of operations is summarized as follows: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6"/>
        </w:trPr>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154"/>
        </w:trPr>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7"/>
        </w:trPr>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124,561</w:t>
            </w:r>
          </w:p>
        </w:tc>
        <w:tc>
          <w:tcPr>
            <w:tcW w:w="36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174,546</w:t>
            </w:r>
          </w:p>
        </w:tc>
      </w:tr>
      <w:tr>
        <w:trPr>
          <w:trHeight w:val="18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333,767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336,309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361,720</w:t>
            </w:r>
          </w:p>
        </w:tc>
      </w:tr>
      <w:tr>
        <w:trPr>
          <w:trHeight w:val="18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319,631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532,371</w:t>
            </w:r>
          </w:p>
        </w:tc>
      </w:tr>
      <w:tr>
        <w:trPr>
          <w:trHeight w:val="180"/>
        </w:trPr>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4"/>
                <w:szCs w:val="14"/>
                <w:color w:val="auto"/>
              </w:rPr>
              <w:t>153,350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195,756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217,115</w:t>
            </w:r>
          </w:p>
        </w:tc>
      </w:tr>
      <w:tr>
        <w:trPr>
          <w:trHeight w:val="171"/>
        </w:trPr>
        <w:tc>
          <w:tcPr>
            <w:tcW w:w="29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931,309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1,285,752</w:t>
            </w:r>
          </w:p>
        </w:tc>
      </w:tr>
      <w:tr>
        <w:trPr>
          <w:trHeight w:val="180"/>
        </w:trPr>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3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4"/>
                <w:szCs w:val="14"/>
                <w:color w:val="auto"/>
              </w:rPr>
              <w:t>(176,463)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(197,068)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(199,971)</w:t>
            </w:r>
          </w:p>
        </w:tc>
      </w:tr>
      <w:tr>
        <w:trPr>
          <w:trHeight w:val="196"/>
        </w:trPr>
        <w:tc>
          <w:tcPr>
            <w:tcW w:w="388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 recorded to net income</w:t>
            </w:r>
          </w:p>
        </w:tc>
        <w:tc>
          <w:tcPr>
            <w:tcW w:w="6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754,846</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860,093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1,085,781</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Restructuring Activities</w:t>
      </w:r>
    </w:p>
    <w:p>
      <w:pPr>
        <w:spacing w:after="0" w:line="18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February 7, 2023, we announced a restructuring plan (the “Plan”) intended to reduce operating costs and continue advancing our ongoing commitment to profitable growth. The Plan included a reduction of our then-current workforce by approximately 15%. The execution of the Plan was completed as of July 31, 2023, and therefore no restructuring expense was recorded for the year ended January 31, 2025.</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 ended January 31, 2024, we recorded net restructuring costs of $73.0 million, which consisted of $54.4 million related to employee transition, severance payments, and employee benefits; $17.3 million related to stock-based compensation awards; and $1.3 million for other related expenses.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restructuring expenses that were recorded as an operating expense in the consolidated statement of operations for the year ended January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6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Year Ended January 31, 2024</w:t>
            </w:r>
          </w:p>
        </w:tc>
      </w:tr>
      <w:tr>
        <w:trPr>
          <w:trHeight w:val="150"/>
        </w:trPr>
        <w:tc>
          <w:tcPr>
            <w:tcW w:w="9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8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w:t>
            </w:r>
          </w:p>
        </w:tc>
      </w:tr>
      <w:tr>
        <w:trPr>
          <w:trHeight w:val="180"/>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19,629</w:t>
            </w:r>
          </w:p>
        </w:tc>
      </w:tr>
      <w:tr>
        <w:trPr>
          <w:trHeight w:val="18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32,930</w:t>
            </w:r>
          </w:p>
        </w:tc>
      </w:tr>
      <w:tr>
        <w:trPr>
          <w:trHeight w:val="18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13,315</w:t>
            </w:r>
          </w:p>
        </w:tc>
      </w:tr>
      <w:tr>
        <w:trPr>
          <w:trHeight w:val="196"/>
        </w:trPr>
        <w:tc>
          <w:tcPr>
            <w:tcW w:w="9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restructuring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72,993</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was no restructuring liability as of January 31, 2025 and January 31, 2024.</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the net income before the provision for income taxes were as follows: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1,238,452</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792,495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4"/>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77,132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39,817</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1,315,584</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832,312</w:t>
            </w: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The provision for income taxes was as follows:</w:t>
            </w: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58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323,625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257,913</w:t>
            </w:r>
          </w:p>
        </w:tc>
        <w:tc>
          <w:tcPr>
            <w:tcW w:w="48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52,186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20,086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9,159</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395,897</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311,529</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306,526</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(78,476)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(88,110)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(173,941)</w:t>
            </w:r>
          </w:p>
        </w:tc>
        <w:tc>
          <w:tcPr>
            <w:tcW w:w="0" w:type="dxa"/>
            <w:vAlign w:val="bottom"/>
          </w:tcPr>
          <w:p>
            <w:pPr>
              <w:spacing w:after="0"/>
              <w:rPr>
                <w:sz w:val="1"/>
                <w:szCs w:val="1"/>
                <w:color w:val="auto"/>
              </w:rPr>
            </w:pPr>
          </w:p>
        </w:tc>
      </w:tr>
      <w:tr>
        <w:trPr>
          <w:trHeight w:val="180"/>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(12,875)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(3,693)</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deferred income tax expense</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(90,551)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(116,679)</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(160,961)</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36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305,346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194,850</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145,565</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3"/>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880" w:type="dxa"/>
            <w:vAlign w:val="bottom"/>
            <w:gridSpan w:val="6"/>
          </w:tcPr>
          <w:p>
            <w:pPr>
              <w:ind w:left="380"/>
              <w:spacing w:after="0"/>
              <w:rPr>
                <w:sz w:val="20"/>
                <w:szCs w:val="20"/>
                <w:color w:val="auto"/>
              </w:rPr>
            </w:pPr>
            <w:r>
              <w:rPr>
                <w:rFonts w:ascii="Times New Roman" w:cs="Times New Roman" w:eastAsia="Times New Roman" w:hAnsi="Times New Roman"/>
                <w:sz w:val="14"/>
                <w:szCs w:val="14"/>
                <w:color w:val="auto"/>
              </w:rPr>
              <w:t>The provision for income taxes differs from the amount computed by applying the statutory federal tax rate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6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gridSpan w:val="9"/>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at federal statutory rate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276,270</w:t>
            </w:r>
          </w:p>
        </w:tc>
        <w:tc>
          <w:tcPr>
            <w:tcW w:w="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174,785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52,277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taxes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56,336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37,137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13,666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2,943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compensation</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15,757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10,639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10,231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58,770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96,936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124,631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10,371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4,016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9,090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deduction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(56,630)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(63,571)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(76,686)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(49,813)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(39,226)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(38,127)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uncertainties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7,478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2,674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2,296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(14,109)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39,288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rate 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(3,993)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(6,803)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(1,576)</w:t>
            </w: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(10,571)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5,868</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305,346</w:t>
            </w:r>
          </w:p>
        </w:tc>
        <w:tc>
          <w:tcPr>
            <w:tcW w:w="8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194,850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145,565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Effective tax rate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58.4 %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Deferred income taxes result from differences in the recognition of amounts for tax and financial reporting purposes, as well as operating loss and tax credit carryforwards. Significant components of our deferred income tax assets as of January 31, 2025 and 2024 are as follows: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200" w:type="dxa"/>
            <w:vAlign w:val="bottom"/>
            <w:tcBorders>
              <w:bottom w:val="single" w:sz="8" w:color="auto"/>
            </w:tcBorders>
          </w:tcPr>
          <w:p>
            <w:pPr>
              <w:spacing w:after="0"/>
              <w:rPr>
                <w:sz w:val="13"/>
                <w:szCs w:val="13"/>
                <w:color w:val="auto"/>
              </w:rPr>
            </w:pPr>
          </w:p>
        </w:tc>
      </w:tr>
      <w:tr>
        <w:trPr>
          <w:trHeight w:val="154"/>
        </w:trPr>
        <w:tc>
          <w:tcPr>
            <w:tcW w:w="7620" w:type="dxa"/>
            <w:vAlign w:val="bottom"/>
          </w:tcPr>
          <w:p>
            <w:pPr>
              <w:spacing w:after="0"/>
              <w:rPr>
                <w:sz w:val="13"/>
                <w:szCs w:val="13"/>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7"/>
        </w:trPr>
        <w:tc>
          <w:tcPr>
            <w:tcW w:w="7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0" w:type="dxa"/>
            <w:vAlign w:val="bottom"/>
          </w:tcPr>
          <w:p>
            <w:pPr>
              <w:spacing w:after="0"/>
              <w:rPr>
                <w:sz w:val="15"/>
                <w:szCs w:val="15"/>
                <w:color w:val="auto"/>
              </w:rPr>
            </w:pPr>
          </w:p>
        </w:tc>
      </w:tr>
      <w:tr>
        <w:trPr>
          <w:trHeight w:val="19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12,995</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credit carryforwards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16,610</w:t>
            </w: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59,565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84,906</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Accruals and reserves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39,295</w:t>
            </w: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308,152</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research expenditures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514,667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379,102</w:t>
            </w: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17,829</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r>
      <w:tr>
        <w:trPr>
          <w:trHeight w:val="171"/>
        </w:trPr>
        <w:tc>
          <w:tcPr>
            <w:tcW w:w="7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979,755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862,994</w:t>
            </w:r>
          </w:p>
        </w:tc>
      </w:tr>
      <w:tr>
        <w:trPr>
          <w:trHeight w:val="180"/>
        </w:trPr>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Valuation allowance</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(28,990)</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(35,949)</w:t>
            </w:r>
          </w:p>
        </w:tc>
      </w:tr>
      <w:tr>
        <w:trPr>
          <w:trHeight w:val="171"/>
        </w:trPr>
        <w:tc>
          <w:tcPr>
            <w:tcW w:w="7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950,765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827,045</w:t>
            </w:r>
          </w:p>
        </w:tc>
      </w:tr>
      <w:tr>
        <w:trPr>
          <w:trHeight w:val="202"/>
        </w:trPr>
        <w:tc>
          <w:tcPr>
            <w:tcW w:w="7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and intangible assets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(35,007)</w:t>
            </w: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(83,862)</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(14,396)</w:t>
            </w:r>
          </w:p>
        </w:tc>
      </w:tr>
      <w:tr>
        <w:trPr>
          <w:trHeight w:val="180"/>
        </w:trPr>
        <w:tc>
          <w:tcPr>
            <w:tcW w:w="7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(75,290)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(35,480)</w:t>
            </w:r>
          </w:p>
        </w:tc>
      </w:tr>
      <w:tr>
        <w:trPr>
          <w:trHeight w:val="171"/>
        </w:trPr>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(204,305)</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(168,745)</w:t>
            </w:r>
          </w:p>
        </w:tc>
      </w:tr>
      <w:tr>
        <w:trPr>
          <w:trHeight w:val="182"/>
        </w:trPr>
        <w:tc>
          <w:tcPr>
            <w:tcW w:w="7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746,460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658,300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year ended January 31, 2025, we believe that it is more likely than not that the tax benefits relating to U.S. losses that are capital in nature and certain state deferred tax assets may not be realized prior to expiration. Accordingly, we have maintained a valuation allowance against these deferred tax assets and intend to maintain the applicable valuation allowance until sufficient positive evidence exists to support a reversal of, or decrease in, the valuation allowance.</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January 31, 2025, we had net operating loss carryforwards of approximately $1.8 million for federal income tax purposes, and $12.5 million for state income tax purposes, which will begin to expire in the year 2033 if unused. We also had certain foreign net operating loss carryforwards of $22.4 million, which have an indefinite life.</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January 31, 2025, we also had research and development credit carryforwards of approximately $1.2 million for federal income tax purposes and $23.4 million for state income tax purposes. The federal research and development tax credits have a twenty-year carryover period while the state research and development tax credits carry forward indefinitely.</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reconciliation of the beginning and ending balance of total unrecognized tax benefits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0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jc w:val="right"/>
              <w:ind w:right="3149"/>
              <w:spacing w:after="0"/>
              <w:rPr>
                <w:sz w:val="20"/>
                <w:szCs w:val="20"/>
                <w:color w:val="auto"/>
              </w:rPr>
            </w:pPr>
            <w:r>
              <w:rPr>
                <w:rFonts w:ascii="Times New Roman" w:cs="Times New Roman" w:eastAsia="Times New Roman" w:hAnsi="Times New Roman"/>
                <w:sz w:val="11"/>
                <w:szCs w:val="11"/>
                <w:b w:val="1"/>
                <w:bCs w:val="1"/>
                <w:color w:val="auto"/>
              </w:rPr>
              <w:t>Unrecognized Tax Benefits (in thousands)</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530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49"/>
        </w:trPr>
        <w:tc>
          <w:tcPr>
            <w:tcW w:w="21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530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r>
      <w:tr>
        <w:trPr>
          <w:trHeight w:val="180"/>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taken in prior year:</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increases</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r>
      <w:tr>
        <w:trPr>
          <w:trHeight w:val="180"/>
        </w:trPr>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decreases</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Positions taken in current year:</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increases</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10,547</w:t>
            </w:r>
          </w:p>
        </w:tc>
      </w:tr>
      <w:tr>
        <w:trPr>
          <w:trHeight w:val="180"/>
        </w:trPr>
        <w:tc>
          <w:tcPr>
            <w:tcW w:w="2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decreases</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42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56,334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41,772</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30,404</w:t>
            </w:r>
          </w:p>
        </w:tc>
      </w:tr>
      <w:tr>
        <w:trPr>
          <w:trHeight w:val="20"/>
        </w:trPr>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January 31, 2025, gross unrecognized tax benefits related to uncertain tax positions were $56.3 million ($66.0 million total, including $9.7 million associated with interest and penalties). As of January 31, 2024, gross unrecognized tax benefits related to uncertain tax positions were $41.8 million ($46.5 million total, including $4.7 million associated with interest and penalties). As of January 31, 2023, gross unrecognized tax benefits related to uncertain tax positions were $30.4 million ($32.5 million total, including $1.6 million associated with interest and penalties). We recognized approximately $9.7 million, $4.7 million, and $1.6 million in potential interest and penalties associated with uncertain tax positions during fiscal years ended January 31, 2025, 2024, and 2023, respectively. To the extent taxes are not assessed with respect to uncertain tax positions, substantially all amounts accrued (including interest and penalties) will be reduced and reflected as a reduction of the overall income tax provision. Unrecognized tax benefits and associated accrued interest and penalties are included in our income tax provision.</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file income tax returns in the U.S. federal jurisdiction, various state jurisdictions, and various foreign jurisdictions. As of January 31, 2025, all of the years in which net operating losses or tax credits were utilized remain open to examination by the federal and state tax authorities.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Net Income Per Share Attributable to Common Stockholders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attributable to common stockholders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80" w:type="dxa"/>
            <w:vAlign w:val="bottom"/>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861,755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148,483</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16,465</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undistributed earnings attributable to participating securities</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 basic</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861,755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538,554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16,458</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Reallocation of net income attributable to common stockholders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2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(5,170)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5,170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(4,653)</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4,653</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1,205</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 diluted</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856,585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533,901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103,561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262,715,505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45,266,466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254,084,540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46,663,622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249,494,904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47,065,597</w:t>
            </w: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stockholders, basic</w:t>
            </w: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2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w:t>
            </w: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267,148,873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47,920,709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258,398,674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50,121,223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252,413,234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51,818,116</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common stockholders, diluted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common stockholders, basic</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income per share attributable to common stockholders, diluted</w:t>
            </w: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0.34</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per share attributable to common stockholders for the periods presented because including them would have been anti-dilutive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416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900" w:type="dxa"/>
            <w:vAlign w:val="bottom"/>
            <w:tcBorders>
              <w:bottom w:val="single" w:sz="8" w:color="auto"/>
            </w:tcBorders>
          </w:tcPr>
          <w:p>
            <w:pPr>
              <w:spacing w:after="0"/>
              <w:rPr>
                <w:sz w:val="13"/>
                <w:szCs w:val="13"/>
                <w:color w:val="auto"/>
              </w:rPr>
            </w:pPr>
          </w:p>
        </w:tc>
      </w:tr>
      <w:tr>
        <w:trPr>
          <w:trHeight w:val="150"/>
        </w:trPr>
        <w:tc>
          <w:tcPr>
            <w:tcW w:w="4160" w:type="dxa"/>
            <w:vAlign w:val="bottom"/>
          </w:tcPr>
          <w:p>
            <w:pPr>
              <w:spacing w:after="0"/>
              <w:rPr>
                <w:sz w:val="13"/>
                <w:szCs w:val="13"/>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3"/>
                <w:szCs w:val="13"/>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9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Class B</w:t>
            </w:r>
          </w:p>
        </w:tc>
      </w:tr>
      <w:tr>
        <w:trPr>
          <w:trHeight w:val="16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stock options</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95,963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109,441</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88,019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Unvested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8,082,027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9,124,205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9,228,633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rights committed under the ESPP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1,236,530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1,789,166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1,674,853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9,414,520</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11,022,812</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10,991,505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years ended January 31, 2025, 2024, and 2023, the table above does not include 405,156 of issued Class A common stock held by us that are reserved for the sole purpose of being transferred to nonprofit organizations.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Segment Information</w:t>
      </w:r>
    </w:p>
    <w:p>
      <w:pPr>
        <w:spacing w:after="0" w:line="18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CEO is the Chief Operating Decision Maker (“CODM”) of the Company. The Company manages the business activities on a consolidated basis and all information provided to and reviewed by our CODM is compiled at the consolidated entity level. Therefore, we have only one operating and reportable segment. The description of the types of products and services from which the reportable segment derives its revenue is the same as those described in the Summary of Business and Significant Accounting Policies.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measure of segment profit or loss that our CODM uses to allocate resources and assess performance is our consolidated net income. The CODM uses net income to monitor results and to decide whether to reinvest profits. Our CODM does not assess segment performance or make decisions using asset or liability information.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significant segment expenses regularly provided to the CODM as well as other segment items: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4,665,433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4,527,224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4,392,960</w:t>
            </w:r>
          </w:p>
        </w:tc>
      </w:tr>
      <w:tr>
        <w:trPr>
          <w:trHeight w:val="202"/>
        </w:trPr>
        <w:tc>
          <w:tcPr>
            <w:tcW w:w="5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0"/>
        </w:trPr>
        <w:tc>
          <w:tcPr>
            <w:tcW w:w="5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cost of revenue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908,283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912,913</w:t>
            </w:r>
          </w:p>
        </w:tc>
      </w:tr>
      <w:tr>
        <w:trPr>
          <w:trHeight w:val="180"/>
        </w:trPr>
        <w:tc>
          <w:tcPr>
            <w:tcW w:w="58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research and development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430,117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393,548</w:t>
            </w:r>
          </w:p>
        </w:tc>
      </w:tr>
      <w:tr>
        <w:trPr>
          <w:trHeight w:val="180"/>
        </w:trPr>
        <w:tc>
          <w:tcPr>
            <w:tcW w:w="5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sales and marketing </w:t>
            </w:r>
            <w:r>
              <w:rPr>
                <w:rFonts w:ascii="Times New Roman" w:cs="Times New Roman" w:eastAsia="Times New Roman" w:hAnsi="Times New Roman"/>
                <w:sz w:val="18"/>
                <w:szCs w:val="18"/>
                <w:color w:val="auto"/>
                <w:vertAlign w:val="superscript"/>
              </w:rPr>
              <w:t>(1)</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1,090,294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1,116,356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1,153,660</w:t>
            </w:r>
          </w:p>
        </w:tc>
      </w:tr>
      <w:tr>
        <w:trPr>
          <w:trHeight w:val="180"/>
        </w:trPr>
        <w:tc>
          <w:tcPr>
            <w:tcW w:w="58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Adjusted general and administrative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297,580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353,755</w:t>
            </w: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931,309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1,057,161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1,285,752</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(54,103)</w:t>
            </w:r>
          </w:p>
        </w:tc>
      </w:tr>
      <w:tr>
        <w:trPr>
          <w:trHeight w:val="180"/>
        </w:trPr>
        <w:tc>
          <w:tcPr>
            <w:tcW w:w="5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98,159</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305,346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194,850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145,565</w:t>
            </w: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income</w:t>
            </w: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103,711</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and reconciling items</w:t>
            </w:r>
          </w:p>
        </w:tc>
        <w:tc>
          <w:tcPr>
            <w:tcW w:w="10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20" w:hanging="115"/>
        <w:spacing w:after="0"/>
        <w:tabs>
          <w:tab w:leader="none" w:pos="1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stock-based compensation expense and related payroll taxes, acquisition-related expenses, restructuring expenses, and litigation settlements, net</w:t>
      </w:r>
    </w:p>
    <w:p>
      <w:pPr>
        <w:ind w:firstLine="5"/>
        <w:spacing w:after="0"/>
        <w:tabs>
          <w:tab w:leader="none" w:pos="128"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stock-based compensation related payroll taxes, acquisition-related expenses, restructuring expenses, litigation settlements, net, gains on strategic investments, net, and other income, net excluding interest income</w:t>
      </w:r>
    </w:p>
    <w:p>
      <w:pPr>
        <w:spacing w:after="0" w:line="3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our property and equipment, net of depreciation and amortization, by geographic region: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80" w:type="dxa"/>
            <w:vAlign w:val="bottom"/>
            <w:tcBorders>
              <w:bottom w:val="single" w:sz="8" w:color="auto"/>
            </w:tcBorders>
          </w:tcPr>
          <w:p>
            <w:pPr>
              <w:spacing w:after="0"/>
              <w:rPr>
                <w:sz w:val="13"/>
                <w:szCs w:val="13"/>
                <w:color w:val="auto"/>
              </w:rPr>
            </w:pPr>
          </w:p>
        </w:tc>
      </w:tr>
      <w:tr>
        <w:trPr>
          <w:trHeight w:val="154"/>
        </w:trPr>
        <w:tc>
          <w:tcPr>
            <w:tcW w:w="7660" w:type="dxa"/>
            <w:vAlign w:val="bottom"/>
          </w:tcPr>
          <w:p>
            <w:pPr>
              <w:spacing w:after="0"/>
              <w:rPr>
                <w:sz w:val="13"/>
                <w:szCs w:val="13"/>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7"/>
        </w:trPr>
        <w:tc>
          <w:tcPr>
            <w:tcW w:w="7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80" w:type="dxa"/>
            <w:vAlign w:val="bottom"/>
          </w:tcPr>
          <w:p>
            <w:pPr>
              <w:spacing w:after="0"/>
              <w:rPr>
                <w:sz w:val="15"/>
                <w:szCs w:val="15"/>
                <w:color w:val="auto"/>
              </w:rPr>
            </w:pPr>
          </w:p>
        </w:tc>
      </w:tr>
      <w:tr>
        <w:trPr>
          <w:trHeight w:val="19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238,328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202,022</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45,321</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46,361</w:t>
            </w:r>
          </w:p>
        </w:tc>
      </w:tr>
      <w:tr>
        <w:trPr>
          <w:trHeight w:val="171"/>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10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330,475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293,704</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3360"/>
        <w:spacing w:after="0" w:line="416"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 internal control over financial reporting was effective as of January 31, 2025 to provide reasonable assurance regarding the reliability of financial reporting and the preparation of financial statements in accordance with U.S. GAAP.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January 31, 2025 has been audited by KPMG LLP, an independent registered public accounting firm, as stated in their report, which is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(as defined in Rules 13a-15(d) and 15d-15(d) under the Exchange Act) that occurred during the quarter ended January 31, 2025 that has materially affected, or is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Disclosure Controls and Procedures</w:t>
      </w:r>
    </w:p>
    <w:p>
      <w:pPr>
        <w:spacing w:after="0" w:line="96"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Trading Arrangements</w:t>
      </w:r>
    </w:p>
    <w:p>
      <w:pPr>
        <w:spacing w:after="0" w:line="74" w:lineRule="exact"/>
        <w:rPr>
          <w:sz w:val="20"/>
          <w:szCs w:val="20"/>
          <w:color w:val="auto"/>
        </w:rPr>
      </w:pPr>
    </w:p>
    <w:p>
      <w:pPr>
        <w:jc w:val="both"/>
        <w:ind w:right="20" w:firstLine="382"/>
        <w:spacing w:after="0" w:line="271" w:lineRule="auto"/>
        <w:rPr>
          <w:sz w:val="20"/>
          <w:szCs w:val="20"/>
          <w:color w:val="auto"/>
        </w:rPr>
      </w:pPr>
      <w:r>
        <w:rPr>
          <w:rFonts w:ascii="Times New Roman" w:cs="Times New Roman" w:eastAsia="Times New Roman" w:hAnsi="Times New Roman"/>
          <w:sz w:val="14"/>
          <w:szCs w:val="14"/>
          <w:color w:val="auto"/>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68515" cy="1556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8515" cy="155638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Borders>
              <w:top w:val="single" w:sz="8" w:color="auto"/>
              <w:bottom w:val="single" w:sz="8" w:color="auto"/>
              <w:right w:val="single" w:sz="8" w:color="auto"/>
            </w:tcBorders>
          </w:tcPr>
          <w:p>
            <w:pPr>
              <w:spacing w:after="0"/>
              <w:rPr>
                <w:sz w:val="17"/>
                <w:szCs w:val="17"/>
                <w:color w:val="auto"/>
              </w:rPr>
            </w:pPr>
          </w:p>
        </w:tc>
        <w:tc>
          <w:tcPr>
            <w:tcW w:w="1260" w:type="dxa"/>
            <w:vAlign w:val="bottom"/>
            <w:tcBorders>
              <w:top w:val="single" w:sz="8" w:color="auto"/>
              <w:bottom w:val="single" w:sz="8" w:color="auto"/>
              <w:right w:val="single" w:sz="8" w:color="auto"/>
            </w:tcBorders>
          </w:tcPr>
          <w:p>
            <w:pPr>
              <w:spacing w:after="0"/>
              <w:rPr>
                <w:sz w:val="17"/>
                <w:szCs w:val="17"/>
                <w:color w:val="auto"/>
              </w:rPr>
            </w:pPr>
          </w:p>
        </w:tc>
        <w:tc>
          <w:tcPr>
            <w:tcW w:w="1460" w:type="dxa"/>
            <w:vAlign w:val="bottom"/>
            <w:tcBorders>
              <w:top w:val="single" w:sz="8" w:color="auto"/>
              <w:bottom w:val="single" w:sz="8" w:color="auto"/>
              <w:right w:val="single" w:sz="8" w:color="auto"/>
            </w:tcBorders>
          </w:tcPr>
          <w:p>
            <w:pPr>
              <w:spacing w:after="0"/>
              <w:rPr>
                <w:sz w:val="17"/>
                <w:szCs w:val="17"/>
                <w:color w:val="auto"/>
              </w:rPr>
            </w:pPr>
          </w:p>
        </w:tc>
        <w:tc>
          <w:tcPr>
            <w:tcW w:w="214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Type of Trading Arrangement</w:t>
            </w:r>
          </w:p>
        </w:tc>
        <w:tc>
          <w:tcPr>
            <w:tcW w:w="1500" w:type="dxa"/>
            <w:vAlign w:val="bottom"/>
            <w:tcBorders>
              <w:top w:val="single" w:sz="8" w:color="auto"/>
              <w:bottom w:val="single" w:sz="8" w:color="auto"/>
              <w:right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r>
      <w:tr>
        <w:trPr>
          <w:trHeight w:val="151"/>
        </w:trPr>
        <w:tc>
          <w:tcPr>
            <w:tcW w:w="3660" w:type="dxa"/>
            <w:vAlign w:val="bottom"/>
            <w:tcBorders>
              <w:right w:val="single" w:sz="8" w:color="auto"/>
            </w:tcBorders>
          </w:tcPr>
          <w:p>
            <w:pPr>
              <w:ind w:left="1260"/>
              <w:spacing w:after="0" w:line="151" w:lineRule="exact"/>
              <w:rPr>
                <w:sz w:val="20"/>
                <w:szCs w:val="20"/>
                <w:color w:val="auto"/>
              </w:rPr>
            </w:pPr>
            <w:r>
              <w:rPr>
                <w:rFonts w:ascii="Times New Roman" w:cs="Times New Roman" w:eastAsia="Times New Roman" w:hAnsi="Times New Roman"/>
                <w:sz w:val="14"/>
                <w:szCs w:val="14"/>
                <w:b w:val="1"/>
                <w:bCs w:val="1"/>
                <w:color w:val="auto"/>
              </w:rPr>
              <w:t>Name and Position</w:t>
            </w:r>
          </w:p>
        </w:tc>
        <w:tc>
          <w:tcPr>
            <w:tcW w:w="126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Action</w:t>
            </w:r>
          </w:p>
        </w:tc>
        <w:tc>
          <w:tcPr>
            <w:tcW w:w="1460" w:type="dxa"/>
            <w:vAlign w:val="bottom"/>
            <w:tcBorders>
              <w:right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Adoption/ Termination</w:t>
            </w:r>
          </w:p>
        </w:tc>
        <w:tc>
          <w:tcPr>
            <w:tcW w:w="104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Rule 10b5-1*</w:t>
            </w:r>
          </w:p>
        </w:tc>
        <w:tc>
          <w:tcPr>
            <w:tcW w:w="110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Non-</w:t>
            </w:r>
          </w:p>
        </w:tc>
        <w:tc>
          <w:tcPr>
            <w:tcW w:w="150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Total Shares of Class A</w:t>
            </w:r>
          </w:p>
        </w:tc>
        <w:tc>
          <w:tcPr>
            <w:tcW w:w="1280" w:type="dxa"/>
            <w:vAlign w:val="bottom"/>
          </w:tcPr>
          <w:p>
            <w:pPr>
              <w:jc w:val="right"/>
              <w:ind w:right="89"/>
              <w:spacing w:after="0" w:line="151" w:lineRule="exact"/>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59"/>
        </w:trPr>
        <w:tc>
          <w:tcPr>
            <w:tcW w:w="36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jc w:val="right"/>
              <w:ind w:right="529"/>
              <w:spacing w:after="0" w:line="159" w:lineRule="exact"/>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Rule 10b5-1**</w:t>
            </w:r>
          </w:p>
        </w:tc>
        <w:tc>
          <w:tcPr>
            <w:tcW w:w="15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Common Stock to be</w:t>
            </w:r>
          </w:p>
        </w:tc>
        <w:tc>
          <w:tcPr>
            <w:tcW w:w="1280" w:type="dxa"/>
            <w:vAlign w:val="bottom"/>
          </w:tcPr>
          <w:p>
            <w:pPr>
              <w:spacing w:after="0"/>
              <w:rPr>
                <w:sz w:val="13"/>
                <w:szCs w:val="13"/>
                <w:color w:val="auto"/>
              </w:rPr>
            </w:pPr>
          </w:p>
        </w:tc>
      </w:tr>
      <w:tr>
        <w:trPr>
          <w:trHeight w:val="186"/>
        </w:trPr>
        <w:tc>
          <w:tcPr>
            <w:tcW w:w="36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Sold***</w:t>
            </w:r>
          </w:p>
        </w:tc>
        <w:tc>
          <w:tcPr>
            <w:tcW w:w="1280" w:type="dxa"/>
            <w:vAlign w:val="bottom"/>
          </w:tcPr>
          <w:p>
            <w:pPr>
              <w:spacing w:after="0"/>
              <w:rPr>
                <w:sz w:val="16"/>
                <w:szCs w:val="16"/>
                <w:color w:val="auto"/>
              </w:rPr>
            </w:pPr>
          </w:p>
        </w:tc>
      </w:tr>
      <w:tr>
        <w:trPr>
          <w:trHeight w:val="22"/>
        </w:trPr>
        <w:tc>
          <w:tcPr>
            <w:tcW w:w="36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1"/>
        </w:trPr>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Santiago Subotovsky, Director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Adoption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1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64,350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03/27/2026</w:t>
            </w:r>
          </w:p>
        </w:tc>
      </w:tr>
      <w:tr>
        <w:trPr>
          <w:trHeight w:val="129"/>
        </w:trPr>
        <w:tc>
          <w:tcPr>
            <w:tcW w:w="3660" w:type="dxa"/>
            <w:vAlign w:val="bottom"/>
            <w:tcBorders>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Velchamy Sankarlingam,</w:t>
            </w:r>
          </w:p>
        </w:tc>
        <w:tc>
          <w:tcPr>
            <w:tcW w:w="126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President, Product and Engineering</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Adoption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01/14/2025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1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Up to 143,201****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04/22/2026</w:t>
            </w:r>
          </w:p>
        </w:tc>
      </w:tr>
    </w:tbl>
    <w:p>
      <w:pPr>
        <w:ind w:left="20"/>
        <w:spacing w:after="0"/>
        <w:rPr>
          <w:sz w:val="20"/>
          <w:szCs w:val="20"/>
          <w:color w:val="auto"/>
        </w:rPr>
      </w:pPr>
      <w:r>
        <w:rPr>
          <w:rFonts w:ascii="Times New Roman" w:cs="Times New Roman" w:eastAsia="Times New Roman" w:hAnsi="Times New Roman"/>
          <w:sz w:val="14"/>
          <w:szCs w:val="14"/>
          <w:color w:val="auto"/>
        </w:rPr>
        <w:t>* Contract, instruction or written plan intended to satisfy the affirmative defense conditions of Rule 10b5-1(c) under the Exchange Act.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“Non-Rule 10b5-1 trading arrangement” as defined in Item 408(c) of Regulation S-K under the Exchange Act.</w:t>
      </w:r>
    </w:p>
    <w:p>
      <w:pPr>
        <w:spacing w:after="0" w:line="51" w:lineRule="exact"/>
        <w:rPr>
          <w:sz w:val="20"/>
          <w:szCs w:val="20"/>
          <w:color w:val="auto"/>
        </w:rPr>
      </w:pPr>
    </w:p>
    <w:p>
      <w:pPr>
        <w:ind w:left="20" w:right="160"/>
        <w:spacing w:after="0" w:line="271" w:lineRule="auto"/>
        <w:rPr>
          <w:sz w:val="20"/>
          <w:szCs w:val="20"/>
          <w:color w:val="auto"/>
        </w:rPr>
      </w:pPr>
      <w:r>
        <w:rPr>
          <w:rFonts w:ascii="Times New Roman" w:cs="Times New Roman" w:eastAsia="Times New Roman" w:hAnsi="Times New Roman"/>
          <w:sz w:val="14"/>
          <w:szCs w:val="14"/>
          <w:color w:val="auto"/>
        </w:rPr>
        <w:t>*** Represents the maximum number of shares that may be sold pursuant to the 10b5-1 arrangement. The actual number of shares sold will be dependent on the satisfaction of certain conditions as set forth in the written plan.</w:t>
      </w:r>
    </w:p>
    <w:p>
      <w:pPr>
        <w:spacing w:after="0" w:line="8" w:lineRule="exact"/>
        <w:rPr>
          <w:sz w:val="20"/>
          <w:szCs w:val="20"/>
          <w:color w:val="auto"/>
        </w:rPr>
      </w:pPr>
    </w:p>
    <w:p>
      <w:pPr>
        <w:ind w:left="20" w:right="180"/>
        <w:spacing w:after="0" w:line="271" w:lineRule="auto"/>
        <w:rPr>
          <w:sz w:val="20"/>
          <w:szCs w:val="20"/>
          <w:color w:val="auto"/>
        </w:rPr>
      </w:pPr>
      <w:r>
        <w:rPr>
          <w:rFonts w:ascii="Times New Roman" w:cs="Times New Roman" w:eastAsia="Times New Roman" w:hAnsi="Times New Roman"/>
          <w:sz w:val="14"/>
          <w:szCs w:val="14"/>
          <w:color w:val="auto"/>
        </w:rPr>
        <w:t>**** The plan provides for the sale of up to 75% of the shares vested during the plan period, net of any shares we withhold to satisfy income tax withholding, the amount of which cannot currently be determined. A maximum of 143,201 shares are eligible to vest during the plan period.</w:t>
      </w:r>
    </w:p>
    <w:p>
      <w:pPr>
        <w:spacing w:after="0" w:line="229" w:lineRule="exact"/>
        <w:rPr>
          <w:sz w:val="20"/>
          <w:szCs w:val="20"/>
          <w:color w:val="auto"/>
        </w:rPr>
      </w:pPr>
    </w:p>
    <w:p>
      <w:pPr>
        <w:ind w:right="4920"/>
        <w:spacing w:after="0" w:line="328" w:lineRule="auto"/>
        <w:rPr>
          <w:sz w:val="20"/>
          <w:szCs w:val="20"/>
          <w:color w:val="auto"/>
        </w:rPr>
      </w:pPr>
      <w:r>
        <w:rPr>
          <w:rFonts w:ascii="Times New Roman" w:cs="Times New Roman" w:eastAsia="Times New Roman" w:hAnsi="Times New Roman"/>
          <w:sz w:val="14"/>
          <w:szCs w:val="14"/>
          <w:b w:val="1"/>
          <w:bCs w:val="1"/>
          <w:color w:val="auto"/>
        </w:rPr>
        <w:t xml:space="preserve">Item 9C. DISCLOSURE REGARDING FOREIGN JURISDICTIONS THAT PREVENT INSPECTIONS </w:t>
      </w:r>
      <w:r>
        <w:rPr>
          <w:rFonts w:ascii="Times New Roman" w:cs="Times New Roman" w:eastAsia="Times New Roman" w:hAnsi="Times New Roman"/>
          <w:sz w:val="14"/>
          <w:szCs w:val="14"/>
          <w:color w:val="auto"/>
        </w:rPr>
        <w:t>Not applicable.</w:t>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remaining information required by this item is incorporated by reference to the definitive Proxy Statement for our 2025 Annual Meeting of Stockholders, which will be filed with the SEC no later than 120 days after January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2025 Annual Meeting of Stockholders, which will be filed with the SEC no later than 120 days after January 31, 2025.</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79" w:lineRule="exact"/>
        <w:rPr>
          <w:sz w:val="20"/>
          <w:szCs w:val="20"/>
          <w:color w:val="auto"/>
        </w:rPr>
      </w:pPr>
    </w:p>
    <w:p>
      <w:pPr>
        <w:ind w:left="580" w:hanging="193"/>
        <w:spacing w:after="0"/>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a part of this Annual Report on Form 10-K:</w:t>
      </w:r>
    </w:p>
    <w:p>
      <w:pPr>
        <w:spacing w:after="0" w:line="93"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Consolidated financial statements:</w:t>
      </w:r>
    </w:p>
    <w:p>
      <w:pPr>
        <w:spacing w:after="0" w:line="93"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financial statements are listed in the “Index to Consolidated Financial Statements” under Part II, Item 8 of this Annual Report on Form 10-K.</w:t>
      </w:r>
    </w:p>
    <w:p>
      <w:pPr>
        <w:spacing w:after="0" w:line="93"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Financial Statement Schedules: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Schedule II: Valuation and Qualifying Accounts is filed as part of this Annual Report on Form 10-K and should be read in conjunction with the consolidated financial statements and notes thereto.</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Schedules not listed above have been omitted because the information required to be set forth therein is not applicable or is shown in the financial statements or notes herein.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(3) Exhibits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2"/>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740" w:type="dxa"/>
            <w:vAlign w:val="bottom"/>
            <w:tcBorders>
              <w:bottom w:val="single" w:sz="8" w:color="auto"/>
            </w:tcBorders>
          </w:tcPr>
          <w:p>
            <w:pPr>
              <w:spacing w:after="0"/>
              <w:rPr>
                <w:sz w:val="13"/>
                <w:szCs w:val="13"/>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3"/>
                <w:szCs w:val="13"/>
                <w:color w:val="auto"/>
              </w:rPr>
            </w:pPr>
          </w:p>
        </w:tc>
        <w:tc>
          <w:tcPr>
            <w:tcW w:w="3960" w:type="dxa"/>
            <w:vAlign w:val="bottom"/>
            <w:gridSpan w:val="7"/>
          </w:tcPr>
          <w:p>
            <w:pPr>
              <w:ind w:left="13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20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56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4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74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125"/>
        </w:trPr>
        <w:tc>
          <w:tcPr>
            <w:tcW w:w="114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3.1</w:t>
            </w:r>
          </w:p>
        </w:tc>
        <w:tc>
          <w:tcPr>
            <w:tcW w:w="4140" w:type="dxa"/>
            <w:vAlign w:val="bottom"/>
            <w:gridSpan w:val="8"/>
          </w:tcPr>
          <w:p>
            <w:pPr>
              <w:spacing w:after="0" w:line="125" w:lineRule="exact"/>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Amended and Restated Certificate of Incorporation of Zoom Video Communications,</w:t>
              </w:r>
            </w:hyperlink>
          </w:p>
        </w:tc>
        <w:tc>
          <w:tcPr>
            <w:tcW w:w="120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8-K</w:t>
            </w:r>
          </w:p>
        </w:tc>
        <w:tc>
          <w:tcPr>
            <w:tcW w:w="1560" w:type="dxa"/>
            <w:vAlign w:val="bottom"/>
          </w:tcPr>
          <w:p>
            <w:pPr>
              <w:ind w:left="340"/>
              <w:spacing w:after="0" w:line="125" w:lineRule="exact"/>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jc w:val="right"/>
              <w:ind w:right="963"/>
              <w:spacing w:after="0" w:line="125" w:lineRule="exact"/>
              <w:rPr>
                <w:sz w:val="20"/>
                <w:szCs w:val="20"/>
                <w:color w:val="auto"/>
              </w:rPr>
            </w:pPr>
            <w:r>
              <w:rPr>
                <w:rFonts w:ascii="Times New Roman" w:cs="Times New Roman" w:eastAsia="Times New Roman" w:hAnsi="Times New Roman"/>
                <w:sz w:val="11"/>
                <w:szCs w:val="11"/>
                <w:color w:val="auto"/>
              </w:rPr>
              <w:t>3.1</w:t>
            </w:r>
          </w:p>
        </w:tc>
        <w:tc>
          <w:tcPr>
            <w:tcW w:w="1740" w:type="dxa"/>
            <w:vAlign w:val="bottom"/>
          </w:tcPr>
          <w:p>
            <w:pPr>
              <w:ind w:left="300"/>
              <w:spacing w:after="0" w:line="125" w:lineRule="exact"/>
              <w:rPr>
                <w:sz w:val="20"/>
                <w:szCs w:val="20"/>
                <w:color w:val="auto"/>
              </w:rPr>
            </w:pPr>
            <w:r>
              <w:rPr>
                <w:rFonts w:ascii="Times New Roman" w:cs="Times New Roman" w:eastAsia="Times New Roman" w:hAnsi="Times New Roman"/>
                <w:sz w:val="11"/>
                <w:szCs w:val="11"/>
                <w:color w:val="auto"/>
              </w:rPr>
              <w:t>April 23, 2019</w:t>
            </w:r>
          </w:p>
        </w:tc>
      </w:tr>
      <w:tr>
        <w:trPr>
          <w:trHeight w:val="97"/>
        </w:trPr>
        <w:tc>
          <w:tcPr>
            <w:tcW w:w="1140" w:type="dxa"/>
            <w:vAlign w:val="bottom"/>
          </w:tcPr>
          <w:p>
            <w:pPr>
              <w:spacing w:after="0"/>
              <w:rPr>
                <w:sz w:val="8"/>
                <w:szCs w:val="8"/>
                <w:color w:val="auto"/>
              </w:rPr>
            </w:pPr>
          </w:p>
        </w:tc>
        <w:tc>
          <w:tcPr>
            <w:tcW w:w="18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4"/>
              </w:rPr>
            </w:pPr>
            <w:hyperlink r:id="rId126">
              <w:r>
                <w:rPr>
                  <w:rFonts w:ascii="Times New Roman" w:cs="Times New Roman" w:eastAsia="Times New Roman" w:hAnsi="Times New Roman"/>
                  <w:sz w:val="11"/>
                  <w:szCs w:val="11"/>
                  <w:color w:val="0000FF"/>
                  <w:w w:val="94"/>
                </w:rPr>
                <w:t>Inc.</w:t>
              </w:r>
            </w:hyperlink>
          </w:p>
        </w:tc>
        <w:tc>
          <w:tcPr>
            <w:tcW w:w="3700" w:type="dxa"/>
            <w:vAlign w:val="bottom"/>
            <w:tcBorders>
              <w:top w:val="single" w:sz="8" w:color="0000FF"/>
            </w:tcBorders>
            <w:gridSpan w:val="4"/>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3.2</w:t>
            </w:r>
          </w:p>
        </w:tc>
        <w:tc>
          <w:tcPr>
            <w:tcW w:w="4140" w:type="dxa"/>
            <w:vAlign w:val="bottom"/>
            <w:gridSpan w:val="8"/>
          </w:tcPr>
          <w:p>
            <w:pPr>
              <w:spacing w:after="0"/>
              <w:rPr>
                <w:rFonts w:ascii="Times New Roman" w:cs="Times New Roman" w:eastAsia="Times New Roman" w:hAnsi="Times New Roman"/>
                <w:sz w:val="11"/>
                <w:szCs w:val="11"/>
                <w:color w:val="0000FF"/>
              </w:rPr>
            </w:pPr>
            <w:hyperlink r:id="rId127">
              <w:r>
                <w:rPr>
                  <w:rFonts w:ascii="Times New Roman" w:cs="Times New Roman" w:eastAsia="Times New Roman" w:hAnsi="Times New Roman"/>
                  <w:sz w:val="11"/>
                  <w:szCs w:val="11"/>
                  <w:color w:val="0000FF"/>
                </w:rPr>
                <w:t>Certificate of Amendment to Certificate of Incorporation of Zoom Communications, Inc.</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8-K</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rPr>
              <w:t>3.1</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November 25, 2024</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3.3</w:t>
            </w:r>
          </w:p>
        </w:tc>
        <w:tc>
          <w:tcPr>
            <w:tcW w:w="28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1"/>
                <w:szCs w:val="11"/>
                <w:color w:val="0000FF"/>
              </w:rPr>
            </w:pPr>
            <w:hyperlink r:id="rId128">
              <w:r>
                <w:rPr>
                  <w:rFonts w:ascii="Times New Roman" w:cs="Times New Roman" w:eastAsia="Times New Roman" w:hAnsi="Times New Roman"/>
                  <w:sz w:val="11"/>
                  <w:szCs w:val="11"/>
                  <w:color w:val="0000FF"/>
                </w:rPr>
                <w:t>Amended and Restated Bylaws of Zoom Communications, Inc.</w:t>
              </w:r>
            </w:hyperlink>
          </w:p>
        </w:tc>
        <w:tc>
          <w:tcPr>
            <w:tcW w:w="114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8-K</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rPr>
              <w:t>3.2</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November 25, 2024</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4.1</w:t>
            </w:r>
          </w:p>
        </w:tc>
        <w:tc>
          <w:tcPr>
            <w:tcW w:w="2000" w:type="dxa"/>
            <w:vAlign w:val="bottom"/>
            <w:tcBorders>
              <w:bottom w:val="single" w:sz="8" w:color="0000FF"/>
            </w:tcBorders>
            <w:gridSpan w:val="2"/>
          </w:tcPr>
          <w:p>
            <w:pPr>
              <w:spacing w:after="0"/>
              <w:rPr>
                <w:rFonts w:ascii="Times New Roman" w:cs="Times New Roman" w:eastAsia="Times New Roman" w:hAnsi="Times New Roman"/>
                <w:sz w:val="11"/>
                <w:szCs w:val="11"/>
                <w:color w:val="0000FF"/>
              </w:rPr>
            </w:pPr>
            <w:hyperlink r:id="rId129">
              <w:r>
                <w:rPr>
                  <w:rFonts w:ascii="Times New Roman" w:cs="Times New Roman" w:eastAsia="Times New Roman" w:hAnsi="Times New Roman"/>
                  <w:sz w:val="11"/>
                  <w:szCs w:val="11"/>
                  <w:color w:val="0000FF"/>
                </w:rPr>
                <w:t>Form of Class A Common Stock Certificate</w:t>
              </w:r>
            </w:hyperlink>
          </w:p>
        </w:tc>
        <w:tc>
          <w:tcPr>
            <w:tcW w:w="2140" w:type="dxa"/>
            <w:vAlign w:val="bottom"/>
            <w:gridSpan w:val="6"/>
          </w:tcPr>
          <w:p>
            <w:pPr>
              <w:spacing w:after="0"/>
              <w:rPr>
                <w:sz w:val="12"/>
                <w:szCs w:val="1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S-1/A</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rPr>
              <w:t>4.1</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April 8, 2019</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4.2#</w:t>
            </w:r>
          </w:p>
        </w:tc>
        <w:tc>
          <w:tcPr>
            <w:tcW w:w="4140" w:type="dxa"/>
            <w:vAlign w:val="bottom"/>
            <w:gridSpan w:val="8"/>
          </w:tcPr>
          <w:p>
            <w:pPr>
              <w:spacing w:after="0"/>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Third Amended and Restated Investors’ Rights Agreement by and among the Registrant</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rPr>
              <w:t>4.2</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4000" w:type="dxa"/>
            <w:vAlign w:val="bottom"/>
            <w:tcBorders>
              <w:top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and certain of its stockholders, dated December 1, 2016</w:t>
              </w:r>
            </w:hyperlink>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4.3</w:t>
            </w:r>
          </w:p>
        </w:tc>
        <w:tc>
          <w:tcPr>
            <w:tcW w:w="1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1"/>
                <w:szCs w:val="11"/>
                <w:color w:val="0000FF"/>
              </w:rPr>
              <w:t>Description of Securities</w:t>
            </w:r>
          </w:p>
        </w:tc>
        <w:tc>
          <w:tcPr>
            <w:tcW w:w="2940" w:type="dxa"/>
            <w:vAlign w:val="bottom"/>
            <w:gridSpan w:val="31"/>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Zoom Video Communications, Inc. Fourth Amended and Restated 2011 Global Share</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1900" w:type="dxa"/>
            <w:vAlign w:val="bottom"/>
            <w:tcBorders>
              <w:top w:val="single" w:sz="8" w:color="0000FF"/>
              <w:bottom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Plan, and forms of agreements thereunder</w:t>
              </w:r>
            </w:hyperlink>
          </w:p>
        </w:tc>
        <w:tc>
          <w:tcPr>
            <w:tcW w:w="2000" w:type="dxa"/>
            <w:vAlign w:val="bottom"/>
            <w:tcBorders>
              <w:top w:val="single" w:sz="8" w:color="0000FF"/>
            </w:tcBorders>
            <w:gridSpan w:val="19"/>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w:t>
            </w:r>
          </w:p>
        </w:tc>
        <w:tc>
          <w:tcPr>
            <w:tcW w:w="408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Zoom Communications, Inc. 2019 Equity Incentive Plan, as amended, and forms of</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1040" w:type="dxa"/>
            <w:vAlign w:val="bottom"/>
            <w:tcBorders>
              <w:top w:val="single" w:sz="8" w:color="0000FF"/>
              <w:bottom w:val="single" w:sz="8" w:color="0000FF"/>
            </w:tcBorders>
            <w:gridSpan w:val="8"/>
          </w:tcPr>
          <w:p>
            <w:pPr>
              <w:spacing w:after="0" w:line="97" w:lineRule="exact"/>
              <w:rPr>
                <w:sz w:val="20"/>
                <w:szCs w:val="20"/>
                <w:color w:val="auto"/>
              </w:rPr>
            </w:pPr>
            <w:r>
              <w:rPr>
                <w:rFonts w:ascii="Times New Roman" w:cs="Times New Roman" w:eastAsia="Times New Roman" w:hAnsi="Times New Roman"/>
                <w:sz w:val="11"/>
                <w:szCs w:val="11"/>
                <w:color w:val="0000FF"/>
              </w:rPr>
              <w:t>agreements thereunder</w:t>
            </w:r>
          </w:p>
        </w:tc>
        <w:tc>
          <w:tcPr>
            <w:tcW w:w="2780" w:type="dxa"/>
            <w:vAlign w:val="bottom"/>
            <w:tcBorders>
              <w:top w:val="single" w:sz="8" w:color="0000FF"/>
            </w:tcBorders>
            <w:gridSpan w:val="2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10.3</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3">
              <w:r>
                <w:rPr>
                  <w:rFonts w:ascii="Times New Roman" w:cs="Times New Roman" w:eastAsia="Times New Roman" w:hAnsi="Times New Roman"/>
                  <w:sz w:val="11"/>
                  <w:szCs w:val="11"/>
                  <w:color w:val="0000FF"/>
                </w:rPr>
                <w:t>Zoom Video Communications, Inc. 2019 Equity Incentive Plan Non-Employee Director</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10.3</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3, 2020</w:t>
            </w:r>
          </w:p>
        </w:tc>
      </w:tr>
      <w:tr>
        <w:trPr>
          <w:trHeight w:val="97"/>
        </w:trPr>
        <w:tc>
          <w:tcPr>
            <w:tcW w:w="1140" w:type="dxa"/>
            <w:vAlign w:val="bottom"/>
          </w:tcPr>
          <w:p>
            <w:pPr>
              <w:spacing w:after="0"/>
              <w:rPr>
                <w:sz w:val="8"/>
                <w:szCs w:val="8"/>
                <w:color w:val="auto"/>
              </w:rPr>
            </w:pPr>
          </w:p>
        </w:tc>
        <w:tc>
          <w:tcPr>
            <w:tcW w:w="4000" w:type="dxa"/>
            <w:vAlign w:val="bottom"/>
            <w:tcBorders>
              <w:top w:val="single" w:sz="8" w:color="0000FF"/>
            </w:tcBorders>
            <w:gridSpan w:val="39"/>
          </w:tcPr>
          <w:p>
            <w:pPr>
              <w:spacing w:after="0" w:line="97" w:lineRule="exact"/>
              <w:rPr>
                <w:rFonts w:ascii="Times New Roman" w:cs="Times New Roman" w:eastAsia="Times New Roman" w:hAnsi="Times New Roman"/>
                <w:sz w:val="11"/>
                <w:szCs w:val="11"/>
                <w:color w:val="0000FF"/>
              </w:rPr>
            </w:pPr>
            <w:hyperlink r:id="rId133">
              <w:r>
                <w:rPr>
                  <w:rFonts w:ascii="Times New Roman" w:cs="Times New Roman" w:eastAsia="Times New Roman" w:hAnsi="Times New Roman"/>
                  <w:sz w:val="11"/>
                  <w:szCs w:val="11"/>
                  <w:color w:val="0000FF"/>
                </w:rPr>
                <w:t>Global Restricted Stock Unit Award Grant Notice, as amended</w:t>
              </w:r>
            </w:hyperlink>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10.4</w:t>
            </w:r>
          </w:p>
        </w:tc>
        <w:tc>
          <w:tcPr>
            <w:tcW w:w="408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Zoom Video Communications, Inc. 2019 Equity Incentive Plan Global RSU Award</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3780" w:type="dxa"/>
            <w:vAlign w:val="bottom"/>
            <w:tcBorders>
              <w:top w:val="single" w:sz="8" w:color="0000FF"/>
            </w:tcBorders>
            <w:gridSpan w:val="28"/>
          </w:tcPr>
          <w:p>
            <w:pPr>
              <w:spacing w:after="0" w:line="97" w:lineRule="exact"/>
              <w:rPr>
                <w:sz w:val="20"/>
                <w:szCs w:val="20"/>
                <w:color w:val="auto"/>
              </w:rPr>
            </w:pPr>
            <w:r>
              <w:rPr>
                <w:rFonts w:ascii="Times New Roman" w:cs="Times New Roman" w:eastAsia="Times New Roman" w:hAnsi="Times New Roman"/>
                <w:sz w:val="11"/>
                <w:szCs w:val="11"/>
                <w:color w:val="0000FF"/>
              </w:rPr>
              <w:t>Grant Notice (Performance Vesting, Non-Executive)</w:t>
            </w: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10.5</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Zoom Video Communications, Inc. 2019 Equity Incentive Plan Global RSU Award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May 22, 2024</w:t>
            </w:r>
          </w:p>
        </w:tc>
      </w:tr>
      <w:tr>
        <w:trPr>
          <w:trHeight w:val="97"/>
        </w:trPr>
        <w:tc>
          <w:tcPr>
            <w:tcW w:w="1140" w:type="dxa"/>
            <w:vAlign w:val="bottom"/>
          </w:tcPr>
          <w:p>
            <w:pPr>
              <w:spacing w:after="0"/>
              <w:rPr>
                <w:sz w:val="8"/>
                <w:szCs w:val="8"/>
                <w:color w:val="auto"/>
              </w:rPr>
            </w:pPr>
          </w:p>
        </w:tc>
        <w:tc>
          <w:tcPr>
            <w:tcW w:w="2160" w:type="dxa"/>
            <w:vAlign w:val="bottom"/>
            <w:tcBorders>
              <w:top w:val="single" w:sz="8" w:color="0000FF"/>
              <w:bottom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Grant Notice (Performance Vesting, Executive)</w:t>
              </w:r>
            </w:hyperlink>
          </w:p>
        </w:tc>
        <w:tc>
          <w:tcPr>
            <w:tcW w:w="1620" w:type="dxa"/>
            <w:vAlign w:val="bottom"/>
            <w:tcBorders>
              <w:top w:val="single" w:sz="8" w:color="0000FF"/>
            </w:tcBorders>
            <w:gridSpan w:val="1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10.6#</w:t>
            </w:r>
          </w:p>
        </w:tc>
        <w:tc>
          <w:tcPr>
            <w:tcW w:w="3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1"/>
                <w:szCs w:val="11"/>
                <w:color w:val="0000FF"/>
              </w:rPr>
              <w:t>Zoom Communications, Inc. 2019 Employee Stock Purchase Plan</w:t>
            </w:r>
          </w:p>
        </w:tc>
        <w:tc>
          <w:tcPr>
            <w:tcW w:w="1060" w:type="dxa"/>
            <w:vAlign w:val="bottom"/>
            <w:gridSpan w:val="21"/>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10.7#</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5">
              <w:r>
                <w:rPr>
                  <w:rFonts w:ascii="Times New Roman" w:cs="Times New Roman" w:eastAsia="Times New Roman" w:hAnsi="Times New Roman"/>
                  <w:sz w:val="11"/>
                  <w:szCs w:val="11"/>
                  <w:color w:val="0000FF"/>
                </w:rPr>
                <w:t>Form of Indemnification Agreement entered into by and between the Registrant and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10.4</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1580" w:type="dxa"/>
            <w:vAlign w:val="bottom"/>
            <w:tcBorders>
              <w:top w:val="single" w:sz="8" w:color="0000FF"/>
              <w:bottom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35">
              <w:r>
                <w:rPr>
                  <w:rFonts w:ascii="Times New Roman" w:cs="Times New Roman" w:eastAsia="Times New Roman" w:hAnsi="Times New Roman"/>
                  <w:sz w:val="11"/>
                  <w:szCs w:val="11"/>
                  <w:color w:val="0000FF"/>
                </w:rPr>
                <w:t>each director and executive officer</w:t>
              </w:r>
            </w:hyperlink>
          </w:p>
        </w:tc>
        <w:tc>
          <w:tcPr>
            <w:tcW w:w="2260" w:type="dxa"/>
            <w:vAlign w:val="bottom"/>
            <w:tcBorders>
              <w:top w:val="single" w:sz="8" w:color="0000FF"/>
            </w:tcBorders>
            <w:gridSpan w:val="19"/>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10.8#</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Zoom Video Communications, Inc. Non-Employee Director Compensation Policy, as</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10-K</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10.7</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3, 2023</w:t>
            </w:r>
          </w:p>
        </w:tc>
      </w:tr>
      <w:tr>
        <w:trPr>
          <w:trHeight w:val="97"/>
        </w:trPr>
        <w:tc>
          <w:tcPr>
            <w:tcW w:w="1140" w:type="dxa"/>
            <w:vAlign w:val="bottom"/>
          </w:tcPr>
          <w:p>
            <w:pPr>
              <w:spacing w:after="0"/>
              <w:rPr>
                <w:sz w:val="8"/>
                <w:szCs w:val="8"/>
                <w:color w:val="auto"/>
              </w:rPr>
            </w:pPr>
          </w:p>
        </w:tc>
        <w:tc>
          <w:tcPr>
            <w:tcW w:w="42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amended</w:t>
              </w:r>
            </w:hyperlink>
          </w:p>
        </w:tc>
        <w:tc>
          <w:tcPr>
            <w:tcW w:w="3460" w:type="dxa"/>
            <w:vAlign w:val="bottom"/>
            <w:tcBorders>
              <w:top w:val="single" w:sz="8" w:color="0000FF"/>
            </w:tcBorders>
            <w:gridSpan w:val="31"/>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10.9#</w:t>
            </w:r>
          </w:p>
        </w:tc>
        <w:tc>
          <w:tcPr>
            <w:tcW w:w="408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Zoom Communications, Inc. 2019 Equity Incentive Plan Global RSU Award Grant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6"/>
          </w:tcPr>
          <w:p>
            <w:pPr>
              <w:spacing w:after="0" w:line="97" w:lineRule="exact"/>
              <w:rPr>
                <w:sz w:val="20"/>
                <w:szCs w:val="20"/>
                <w:color w:val="auto"/>
              </w:rPr>
            </w:pPr>
            <w:r>
              <w:rPr>
                <w:rFonts w:ascii="Times New Roman" w:cs="Times New Roman" w:eastAsia="Times New Roman" w:hAnsi="Times New Roman"/>
                <w:sz w:val="11"/>
                <w:szCs w:val="11"/>
                <w:color w:val="0000FF"/>
              </w:rPr>
              <w:t>Notice (Executive)</w:t>
            </w:r>
          </w:p>
        </w:tc>
        <w:tc>
          <w:tcPr>
            <w:tcW w:w="2860" w:type="dxa"/>
            <w:vAlign w:val="bottom"/>
            <w:tcBorders>
              <w:top w:val="single" w:sz="8" w:color="0000FF"/>
            </w:tcBorders>
            <w:gridSpan w:val="21"/>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10.10#</w:t>
            </w:r>
          </w:p>
        </w:tc>
        <w:tc>
          <w:tcPr>
            <w:tcW w:w="408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Zoom Communications, Inc. 2019 Equity Incentive Plan Global RSU Award Grant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3760" w:type="dxa"/>
            <w:vAlign w:val="bottom"/>
            <w:tcBorders>
              <w:top w:val="single" w:sz="8" w:color="0000FF"/>
            </w:tcBorders>
            <w:gridSpan w:val="27"/>
          </w:tcPr>
          <w:p>
            <w:pPr>
              <w:spacing w:after="0" w:line="97" w:lineRule="exact"/>
              <w:rPr>
                <w:sz w:val="20"/>
                <w:szCs w:val="20"/>
                <w:color w:val="auto"/>
              </w:rPr>
            </w:pPr>
            <w:r>
              <w:rPr>
                <w:rFonts w:ascii="Times New Roman" w:cs="Times New Roman" w:eastAsia="Times New Roman" w:hAnsi="Times New Roman"/>
                <w:sz w:val="11"/>
                <w:szCs w:val="11"/>
                <w:color w:val="0000FF"/>
              </w:rPr>
              <w:t>Notice</w:t>
            </w: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10.11#</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Zoom Video Communications, Inc. 2019 Equity Incentive Plan Non-Employee Director</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10.3</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13, 2019</w:t>
            </w:r>
          </w:p>
        </w:tc>
      </w:tr>
      <w:tr>
        <w:trPr>
          <w:trHeight w:val="97"/>
        </w:trPr>
        <w:tc>
          <w:tcPr>
            <w:tcW w:w="1140" w:type="dxa"/>
            <w:vAlign w:val="bottom"/>
          </w:tcPr>
          <w:p>
            <w:pPr>
              <w:spacing w:after="0"/>
              <w:rPr>
                <w:sz w:val="8"/>
                <w:szCs w:val="8"/>
                <w:color w:val="auto"/>
              </w:rPr>
            </w:pPr>
          </w:p>
        </w:tc>
        <w:tc>
          <w:tcPr>
            <w:tcW w:w="4000" w:type="dxa"/>
            <w:vAlign w:val="bottom"/>
            <w:tcBorders>
              <w:top w:val="single" w:sz="8" w:color="0000FF"/>
            </w:tcBorders>
            <w:gridSpan w:val="39"/>
          </w:tcPr>
          <w:p>
            <w:pPr>
              <w:spacing w:after="0" w:line="97" w:lineRule="exact"/>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Global RSU Award Grant Notice</w:t>
              </w:r>
            </w:hyperlink>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10.12#</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Confirmatory Offer Letter by and between the Registrant and Eric S. Yuan, dated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10.5</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December 18, 2018</w:t>
              </w:r>
            </w:hyperlink>
          </w:p>
        </w:tc>
        <w:tc>
          <w:tcPr>
            <w:tcW w:w="2780" w:type="dxa"/>
            <w:vAlign w:val="bottom"/>
            <w:tcBorders>
              <w:top w:val="single" w:sz="8" w:color="0000FF"/>
            </w:tcBorders>
            <w:gridSpan w:val="18"/>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10.13#</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Confirmatory Offer Letter by and between the Registrant and Aparna Bawa, dated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10.6</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December 18, 2018</w:t>
              </w:r>
            </w:hyperlink>
          </w:p>
        </w:tc>
        <w:tc>
          <w:tcPr>
            <w:tcW w:w="2820" w:type="dxa"/>
            <w:vAlign w:val="bottom"/>
            <w:tcBorders>
              <w:top w:val="single" w:sz="8" w:color="0000FF"/>
            </w:tcBorders>
            <w:gridSpan w:val="19"/>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10.14#</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Offer Letter by and between the Registrant and Velchamy Sankarlingam dated May 19,</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3, 2020</w:t>
            </w:r>
          </w:p>
        </w:tc>
      </w:tr>
      <w:tr>
        <w:trPr>
          <w:trHeight w:val="97"/>
        </w:trPr>
        <w:tc>
          <w:tcPr>
            <w:tcW w:w="1140" w:type="dxa"/>
            <w:vAlign w:val="bottom"/>
          </w:tcPr>
          <w:p>
            <w:pPr>
              <w:spacing w:after="0"/>
              <w:rPr>
                <w:sz w:val="8"/>
                <w:szCs w:val="8"/>
                <w:color w:val="auto"/>
              </w:rPr>
            </w:pPr>
          </w:p>
        </w:tc>
        <w:tc>
          <w:tcPr>
            <w:tcW w:w="30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2020</w:t>
              </w:r>
            </w:hyperlink>
          </w:p>
        </w:tc>
        <w:tc>
          <w:tcPr>
            <w:tcW w:w="1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10.15#</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Director Offer Letter by and between the Registrant and Lieut. General H.R. McMaster</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3, 2020</w:t>
            </w:r>
          </w:p>
        </w:tc>
      </w:tr>
      <w:tr>
        <w:trPr>
          <w:trHeight w:val="97"/>
        </w:trPr>
        <w:tc>
          <w:tcPr>
            <w:tcW w:w="1140" w:type="dxa"/>
            <w:vAlign w:val="bottom"/>
          </w:tcPr>
          <w:p>
            <w:pPr>
              <w:spacing w:after="0"/>
              <w:rPr>
                <w:sz w:val="8"/>
                <w:szCs w:val="8"/>
                <w:color w:val="auto"/>
              </w:rPr>
            </w:pPr>
          </w:p>
        </w:tc>
        <w:tc>
          <w:tcPr>
            <w:tcW w:w="88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dated May 6, 2020</w:t>
              </w:r>
            </w:hyperlink>
          </w:p>
        </w:tc>
        <w:tc>
          <w:tcPr>
            <w:tcW w:w="3100" w:type="dxa"/>
            <w:vAlign w:val="bottom"/>
            <w:tcBorders>
              <w:top w:val="single" w:sz="8" w:color="0000FF"/>
            </w:tcBorders>
            <w:gridSpan w:val="33"/>
          </w:tcPr>
          <w:p>
            <w:pPr>
              <w:spacing w:after="0"/>
              <w:rPr>
                <w:sz w:val="8"/>
                <w:szCs w:val="8"/>
                <w:color w:val="auto"/>
              </w:rPr>
            </w:pPr>
          </w:p>
        </w:tc>
        <w:tc>
          <w:tcPr>
            <w:tcW w:w="100" w:type="dxa"/>
            <w:vAlign w:val="bottom"/>
            <w:gridSpan w:val="2"/>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10.16#</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Director Offer Letter by and between the Registrant and Janet Napolitano dated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10-K</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10.17</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18, 2021</w:t>
            </w:r>
          </w:p>
        </w:tc>
      </w:tr>
      <w:tr>
        <w:trPr>
          <w:trHeight w:val="97"/>
        </w:trPr>
        <w:tc>
          <w:tcPr>
            <w:tcW w:w="1140" w:type="dxa"/>
            <w:vAlign w:val="bottom"/>
          </w:tcPr>
          <w:p>
            <w:pPr>
              <w:spacing w:after="0"/>
              <w:rPr>
                <w:sz w:val="8"/>
                <w:szCs w:val="8"/>
                <w:color w:val="auto"/>
              </w:rPr>
            </w:pPr>
          </w:p>
        </w:tc>
        <w:tc>
          <w:tcPr>
            <w:tcW w:w="86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November 2, 2020</w:t>
              </w:r>
            </w:hyperlink>
          </w:p>
        </w:tc>
        <w:tc>
          <w:tcPr>
            <w:tcW w:w="2740" w:type="dxa"/>
            <w:vAlign w:val="bottom"/>
            <w:tcBorders>
              <w:top w:val="single" w:sz="8" w:color="0000FF"/>
            </w:tcBorders>
            <w:gridSpan w:val="19"/>
          </w:tcPr>
          <w:p>
            <w:pPr>
              <w:spacing w:after="0"/>
              <w:rPr>
                <w:sz w:val="8"/>
                <w:szCs w:val="8"/>
                <w:color w:val="auto"/>
              </w:rPr>
            </w:pPr>
          </w:p>
        </w:tc>
        <w:tc>
          <w:tcPr>
            <w:tcW w:w="14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10.17#</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Director Offer Letter by and between the Registrant and William R. McDermott dated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May 25, 2022</w:t>
            </w:r>
          </w:p>
        </w:tc>
      </w:tr>
      <w:tr>
        <w:trPr>
          <w:trHeight w:val="97"/>
        </w:trPr>
        <w:tc>
          <w:tcPr>
            <w:tcW w:w="1140" w:type="dxa"/>
            <w:vAlign w:val="bottom"/>
          </w:tcPr>
          <w:p>
            <w:pPr>
              <w:spacing w:after="0"/>
              <w:rPr>
                <w:sz w:val="8"/>
                <w:szCs w:val="8"/>
                <w:color w:val="auto"/>
              </w:rPr>
            </w:pPr>
          </w:p>
        </w:tc>
        <w:tc>
          <w:tcPr>
            <w:tcW w:w="84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February 23, 2022</w:t>
              </w:r>
            </w:hyperlink>
          </w:p>
        </w:tc>
        <w:tc>
          <w:tcPr>
            <w:tcW w:w="3080" w:type="dxa"/>
            <w:vAlign w:val="bottom"/>
            <w:tcBorders>
              <w:top w:val="single" w:sz="8" w:color="0000FF"/>
            </w:tcBorders>
            <w:gridSpan w:val="3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10.18#</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Director Offer Letter by and between the Registrant and Cindy Hoots dated January 4,</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10-K</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10.20</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3, 2023</w:t>
            </w:r>
          </w:p>
        </w:tc>
      </w:tr>
      <w:tr>
        <w:trPr>
          <w:trHeight w:val="97"/>
        </w:trPr>
        <w:tc>
          <w:tcPr>
            <w:tcW w:w="1140" w:type="dxa"/>
            <w:vAlign w:val="bottom"/>
          </w:tcPr>
          <w:p>
            <w:pPr>
              <w:spacing w:after="0"/>
              <w:rPr>
                <w:sz w:val="8"/>
                <w:szCs w:val="8"/>
                <w:color w:val="auto"/>
              </w:rPr>
            </w:pPr>
          </w:p>
        </w:tc>
        <w:tc>
          <w:tcPr>
            <w:tcW w:w="30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2023</w:t>
              </w:r>
            </w:hyperlink>
          </w:p>
        </w:tc>
        <w:tc>
          <w:tcPr>
            <w:tcW w:w="1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10.19#</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Offer Letter between Zoom Video Communications, Inc. and Michelle Chang, dated</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8-K</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October 1, 2024</w:t>
            </w:r>
          </w:p>
        </w:tc>
      </w:tr>
      <w:tr>
        <w:trPr>
          <w:trHeight w:val="97"/>
        </w:trPr>
        <w:tc>
          <w:tcPr>
            <w:tcW w:w="1140" w:type="dxa"/>
            <w:vAlign w:val="bottom"/>
          </w:tcPr>
          <w:p>
            <w:pPr>
              <w:spacing w:after="0"/>
              <w:rPr>
                <w:sz w:val="8"/>
                <w:szCs w:val="8"/>
                <w:color w:val="auto"/>
              </w:rPr>
            </w:pPr>
          </w:p>
        </w:tc>
        <w:tc>
          <w:tcPr>
            <w:tcW w:w="3860" w:type="dxa"/>
            <w:vAlign w:val="bottom"/>
            <w:tcBorders>
              <w:top w:val="single" w:sz="8" w:color="0000FF"/>
            </w:tcBorders>
            <w:gridSpan w:val="32"/>
          </w:tcPr>
          <w:p>
            <w:pPr>
              <w:spacing w:after="0" w:line="97" w:lineRule="exact"/>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September 25, 2024.</w:t>
              </w:r>
            </w:hyperlink>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10.20</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Lease Agreement dated August 1, 2016, as amended, by and between Zoom Video</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10.9</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3020" w:type="dxa"/>
            <w:vAlign w:val="bottom"/>
            <w:tcBorders>
              <w:top w:val="single" w:sz="8" w:color="0000FF"/>
              <w:bottom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Communications, Inc. and KBSIII Almaden Financial Plaza, LLC</w:t>
              </w:r>
            </w:hyperlink>
          </w:p>
        </w:tc>
        <w:tc>
          <w:tcPr>
            <w:tcW w:w="720" w:type="dxa"/>
            <w:vAlign w:val="bottom"/>
            <w:tcBorders>
              <w:top w:val="single" w:sz="8" w:color="0000FF"/>
            </w:tcBorders>
            <w:gridSpan w:val="7"/>
          </w:tcPr>
          <w:p>
            <w:pPr>
              <w:spacing w:after="0"/>
              <w:rPr>
                <w:sz w:val="8"/>
                <w:szCs w:val="8"/>
                <w:color w:val="auto"/>
              </w:rPr>
            </w:pPr>
          </w:p>
        </w:tc>
        <w:tc>
          <w:tcPr>
            <w:tcW w:w="60" w:type="dxa"/>
            <w:vAlign w:val="bottom"/>
            <w:gridSpan w:val="3"/>
          </w:tcPr>
          <w:p>
            <w:pPr>
              <w:spacing w:after="0"/>
              <w:rPr>
                <w:sz w:val="8"/>
                <w:szCs w:val="8"/>
                <w:color w:val="auto"/>
              </w:rPr>
            </w:pPr>
          </w:p>
        </w:tc>
        <w:tc>
          <w:tcPr>
            <w:tcW w:w="140" w:type="dxa"/>
            <w:vAlign w:val="bottom"/>
            <w:gridSpan w:val="7"/>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10.21</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Fourth Amendment to Lease Agreement by and between the Registrant and KBSIII</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10.5</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13, 2019</w:t>
            </w:r>
          </w:p>
        </w:tc>
      </w:tr>
      <w:tr>
        <w:trPr>
          <w:trHeight w:val="97"/>
        </w:trPr>
        <w:tc>
          <w:tcPr>
            <w:tcW w:w="1140" w:type="dxa"/>
            <w:vAlign w:val="bottom"/>
          </w:tcPr>
          <w:p>
            <w:pPr>
              <w:spacing w:after="0"/>
              <w:rPr>
                <w:sz w:val="8"/>
                <w:szCs w:val="8"/>
                <w:color w:val="auto"/>
              </w:rPr>
            </w:pPr>
          </w:p>
        </w:tc>
        <w:tc>
          <w:tcPr>
            <w:tcW w:w="1420" w:type="dxa"/>
            <w:vAlign w:val="bottom"/>
            <w:tcBorders>
              <w:top w:val="single" w:sz="8" w:color="0000FF"/>
              <w:bottom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Almaden Financial Plaza, LLC</w:t>
              </w:r>
            </w:hyperlink>
          </w:p>
        </w:tc>
        <w:tc>
          <w:tcPr>
            <w:tcW w:w="2380" w:type="dxa"/>
            <w:vAlign w:val="bottom"/>
            <w:tcBorders>
              <w:top w:val="single" w:sz="8" w:color="0000FF"/>
            </w:tcBorders>
            <w:gridSpan w:val="19"/>
          </w:tcPr>
          <w:p>
            <w:pPr>
              <w:spacing w:after="0"/>
              <w:rPr>
                <w:sz w:val="8"/>
                <w:szCs w:val="8"/>
                <w:color w:val="auto"/>
              </w:rPr>
            </w:pPr>
          </w:p>
        </w:tc>
        <w:tc>
          <w:tcPr>
            <w:tcW w:w="140" w:type="dxa"/>
            <w:vAlign w:val="bottom"/>
            <w:gridSpan w:val="7"/>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10.22</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Fifth Amendment to Lease Agreement by and between Zoom Video Communications,</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June 5, 2020</w:t>
            </w:r>
          </w:p>
        </w:tc>
      </w:tr>
      <w:tr>
        <w:trPr>
          <w:trHeight w:val="97"/>
        </w:trPr>
        <w:tc>
          <w:tcPr>
            <w:tcW w:w="1140" w:type="dxa"/>
            <w:vAlign w:val="bottom"/>
          </w:tcPr>
          <w:p>
            <w:pPr>
              <w:spacing w:after="0"/>
              <w:rPr>
                <w:sz w:val="8"/>
                <w:szCs w:val="8"/>
                <w:color w:val="auto"/>
              </w:rPr>
            </w:pPr>
          </w:p>
        </w:tc>
        <w:tc>
          <w:tcPr>
            <w:tcW w:w="3140" w:type="dxa"/>
            <w:vAlign w:val="bottom"/>
            <w:tcBorders>
              <w:top w:val="single" w:sz="8" w:color="0000FF"/>
              <w:bottom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Inc. and KBSIII Almaden Financial Plaza, LLC dated March 9, 2020</w:t>
              </w:r>
            </w:hyperlink>
          </w:p>
        </w:tc>
        <w:tc>
          <w:tcPr>
            <w:tcW w:w="800" w:type="dxa"/>
            <w:vAlign w:val="bottom"/>
            <w:tcBorders>
              <w:top w:val="single" w:sz="8" w:color="0000FF"/>
            </w:tcBorders>
            <w:gridSpan w:val="1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10.23#</w:t>
            </w:r>
          </w:p>
        </w:tc>
        <w:tc>
          <w:tcPr>
            <w:tcW w:w="3240" w:type="dxa"/>
            <w:vAlign w:val="bottom"/>
            <w:tcBorders>
              <w:bottom w:val="single" w:sz="8" w:color="0000FF"/>
            </w:tcBorders>
            <w:gridSpan w:val="22"/>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Zoom Video Communications, Inc. Officer Incentive Plan, as amended</w:t>
              </w:r>
            </w:hyperlink>
          </w:p>
        </w:tc>
        <w:tc>
          <w:tcPr>
            <w:tcW w:w="840" w:type="dxa"/>
            <w:vAlign w:val="bottom"/>
            <w:gridSpan w:val="18"/>
          </w:tcPr>
          <w:p>
            <w:pPr>
              <w:spacing w:after="0"/>
              <w:rPr>
                <w:sz w:val="11"/>
                <w:szCs w:val="11"/>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10-K</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7, 2022</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10.24#</w:t>
            </w:r>
          </w:p>
        </w:tc>
        <w:tc>
          <w:tcPr>
            <w:tcW w:w="4080" w:type="dxa"/>
            <w:vAlign w:val="bottom"/>
            <w:gridSpan w:val="40"/>
          </w:tcPr>
          <w:p>
            <w:pPr>
              <w:spacing w:after="0"/>
              <w:rPr>
                <w:rFonts w:ascii="Times New Roman" w:cs="Times New Roman" w:eastAsia="Times New Roman" w:hAnsi="Times New Roman"/>
                <w:sz w:val="11"/>
                <w:szCs w:val="11"/>
                <w:color w:val="0000FF"/>
              </w:rPr>
            </w:pPr>
            <w:hyperlink r:id="rId150">
              <w:r>
                <w:rPr>
                  <w:rFonts w:ascii="Times New Roman" w:cs="Times New Roman" w:eastAsia="Times New Roman" w:hAnsi="Times New Roman"/>
                  <w:sz w:val="11"/>
                  <w:szCs w:val="11"/>
                  <w:color w:val="0000FF"/>
                </w:rPr>
                <w:t>Zoom Video Communications, Inc. Severance and Change in Control Plan and form of</w:t>
              </w:r>
            </w:hyperlink>
          </w:p>
        </w:tc>
        <w:tc>
          <w:tcPr>
            <w:tcW w:w="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c>
          <w:tcPr>
            <w:tcW w:w="168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August 24, 2022</w:t>
            </w:r>
          </w:p>
        </w:tc>
      </w:tr>
      <w:tr>
        <w:trPr>
          <w:trHeight w:val="97"/>
        </w:trPr>
        <w:tc>
          <w:tcPr>
            <w:tcW w:w="1140" w:type="dxa"/>
            <w:vAlign w:val="bottom"/>
          </w:tcPr>
          <w:p>
            <w:pPr>
              <w:spacing w:after="0"/>
              <w:rPr>
                <w:sz w:val="8"/>
                <w:szCs w:val="8"/>
                <w:color w:val="auto"/>
              </w:rPr>
            </w:pPr>
          </w:p>
        </w:tc>
        <w:tc>
          <w:tcPr>
            <w:tcW w:w="3960" w:type="dxa"/>
            <w:vAlign w:val="bottom"/>
            <w:tcBorders>
              <w:top w:val="single" w:sz="8" w:color="0000FF"/>
            </w:tcBorders>
            <w:gridSpan w:val="37"/>
          </w:tcPr>
          <w:p>
            <w:pPr>
              <w:spacing w:after="0" w:line="97" w:lineRule="exact"/>
              <w:rPr>
                <w:rFonts w:ascii="Times New Roman" w:cs="Times New Roman" w:eastAsia="Times New Roman" w:hAnsi="Times New Roman"/>
                <w:sz w:val="11"/>
                <w:szCs w:val="11"/>
                <w:color w:val="0000FF"/>
              </w:rPr>
            </w:pPr>
            <w:hyperlink r:id="rId150">
              <w:r>
                <w:rPr>
                  <w:rFonts w:ascii="Times New Roman" w:cs="Times New Roman" w:eastAsia="Times New Roman" w:hAnsi="Times New Roman"/>
                  <w:sz w:val="11"/>
                  <w:szCs w:val="11"/>
                  <w:color w:val="0000FF"/>
                </w:rPr>
                <w:t>Participation Agreement thereunder</w:t>
              </w:r>
            </w:hyperlink>
          </w:p>
        </w:tc>
        <w:tc>
          <w:tcPr>
            <w:tcW w:w="120" w:type="dxa"/>
            <w:vAlign w:val="bottom"/>
            <w:gridSpan w:val="3"/>
          </w:tcPr>
          <w:p>
            <w:pPr>
              <w:spacing w:after="0"/>
              <w:rPr>
                <w:sz w:val="8"/>
                <w:szCs w:val="8"/>
                <w:color w:val="auto"/>
              </w:rPr>
            </w:pP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19.1</w:t>
            </w:r>
          </w:p>
        </w:tc>
        <w:tc>
          <w:tcPr>
            <w:tcW w:w="408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Zoom Communications, Inc. Insider Trading Policy</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21.1</w:t>
            </w:r>
          </w:p>
        </w:tc>
        <w:tc>
          <w:tcPr>
            <w:tcW w:w="2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1"/>
                <w:szCs w:val="11"/>
                <w:color w:val="0000FF"/>
              </w:rPr>
              <w:t>List of subsidiaries of the Registrant</w:t>
            </w:r>
          </w:p>
        </w:tc>
        <w:tc>
          <w:tcPr>
            <w:tcW w:w="1700" w:type="dxa"/>
            <w:vAlign w:val="bottom"/>
            <w:gridSpan w:val="23"/>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gridSpan w:val="14"/>
            <w:shd w:val="clear" w:color="auto" w:fill="0000FF"/>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1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23.1</w:t>
            </w:r>
          </w:p>
        </w:tc>
        <w:tc>
          <w:tcPr>
            <w:tcW w:w="3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1"/>
                <w:szCs w:val="11"/>
                <w:color w:val="0000FF"/>
              </w:rPr>
              <w:t>Consent of KPMG LLP, independent registered public accounting firm</w:t>
            </w:r>
          </w:p>
        </w:tc>
        <w:tc>
          <w:tcPr>
            <w:tcW w:w="860" w:type="dxa"/>
            <w:vAlign w:val="bottom"/>
            <w:gridSpan w:val="19"/>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24.1</w:t>
            </w:r>
          </w:p>
        </w:tc>
        <w:tc>
          <w:tcPr>
            <w:tcW w:w="408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Power of Attorney (reference is made to the signature page hereto)</w:t>
            </w:r>
          </w:p>
        </w:tc>
        <w:tc>
          <w:tcPr>
            <w:tcW w:w="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31.1</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Exchange Act Rules 13a-14(a) and</w:t>
            </w:r>
          </w:p>
        </w:tc>
        <w:tc>
          <w:tcPr>
            <w:tcW w:w="9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97"/>
        </w:trPr>
        <w:tc>
          <w:tcPr>
            <w:tcW w:w="1160" w:type="dxa"/>
            <w:vAlign w:val="bottom"/>
          </w:tcPr>
          <w:p>
            <w:pPr>
              <w:spacing w:after="0"/>
              <w:rPr>
                <w:sz w:val="8"/>
                <w:szCs w:val="8"/>
                <w:color w:val="auto"/>
              </w:rPr>
            </w:pPr>
          </w:p>
        </w:tc>
        <w:tc>
          <w:tcPr>
            <w:tcW w:w="3940" w:type="dxa"/>
            <w:vAlign w:val="bottom"/>
            <w:tcBorders>
              <w:top w:val="single" w:sz="8" w:color="0000FF"/>
            </w:tcBorders>
            <w:gridSpan w:val="6"/>
          </w:tcPr>
          <w:p>
            <w:pPr>
              <w:spacing w:after="0" w:line="97" w:lineRule="exact"/>
              <w:rPr>
                <w:sz w:val="20"/>
                <w:szCs w:val="20"/>
                <w:color w:val="auto"/>
              </w:rPr>
            </w:pPr>
            <w:r>
              <w:rPr>
                <w:rFonts w:ascii="Times New Roman" w:cs="Times New Roman" w:eastAsia="Times New Roman" w:hAnsi="Times New Roman"/>
                <w:sz w:val="11"/>
                <w:szCs w:val="11"/>
                <w:color w:val="0000FF"/>
              </w:rPr>
              <w:t>15d-14(a), as adopted pursuant to Section 302 of the Sarbanes-Oxley Act of 2002</w:t>
            </w: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31.2</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Exchange Act Rules 13a-14(a) and</w:t>
            </w:r>
          </w:p>
        </w:tc>
        <w:tc>
          <w:tcPr>
            <w:tcW w:w="9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97"/>
        </w:trPr>
        <w:tc>
          <w:tcPr>
            <w:tcW w:w="1160" w:type="dxa"/>
            <w:vAlign w:val="bottom"/>
          </w:tcPr>
          <w:p>
            <w:pPr>
              <w:spacing w:after="0"/>
              <w:rPr>
                <w:sz w:val="8"/>
                <w:szCs w:val="8"/>
                <w:color w:val="auto"/>
              </w:rPr>
            </w:pPr>
          </w:p>
        </w:tc>
        <w:tc>
          <w:tcPr>
            <w:tcW w:w="3920" w:type="dxa"/>
            <w:vAlign w:val="bottom"/>
            <w:tcBorders>
              <w:top w:val="single" w:sz="8" w:color="0000FF"/>
            </w:tcBorders>
            <w:gridSpan w:val="5"/>
          </w:tcPr>
          <w:p>
            <w:pPr>
              <w:spacing w:after="0" w:line="97" w:lineRule="exact"/>
              <w:rPr>
                <w:sz w:val="20"/>
                <w:szCs w:val="20"/>
                <w:color w:val="auto"/>
              </w:rPr>
            </w:pPr>
            <w:r>
              <w:rPr>
                <w:rFonts w:ascii="Times New Roman" w:cs="Times New Roman" w:eastAsia="Times New Roman" w:hAnsi="Times New Roman"/>
                <w:sz w:val="11"/>
                <w:szCs w:val="11"/>
                <w:color w:val="0000FF"/>
              </w:rPr>
              <w:t>15d-14(a), as adopted pursuant to Section 302 of the Sarbanes-Oxley Act of 2002</w:t>
            </w:r>
          </w:p>
        </w:tc>
        <w:tc>
          <w:tcPr>
            <w:tcW w:w="12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32.1†</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0000FF"/>
              </w:rPr>
              <w:t>Certifications of Chief Executive Officer and Chief Financial Officer pursuant to 18</w:t>
            </w:r>
          </w:p>
        </w:tc>
        <w:tc>
          <w:tcPr>
            <w:tcW w:w="9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97"/>
        </w:trPr>
        <w:tc>
          <w:tcPr>
            <w:tcW w:w="1160" w:type="dxa"/>
            <w:vAlign w:val="bottom"/>
          </w:tcPr>
          <w:p>
            <w:pPr>
              <w:spacing w:after="0"/>
              <w:rPr>
                <w:sz w:val="8"/>
                <w:szCs w:val="8"/>
                <w:color w:val="auto"/>
              </w:rPr>
            </w:pPr>
          </w:p>
        </w:tc>
        <w:tc>
          <w:tcPr>
            <w:tcW w:w="3800" w:type="dxa"/>
            <w:vAlign w:val="bottom"/>
            <w:tcBorders>
              <w:top w:val="single" w:sz="8" w:color="0000FF"/>
            </w:tcBorders>
            <w:gridSpan w:val="4"/>
          </w:tcPr>
          <w:p>
            <w:pPr>
              <w:spacing w:after="0" w:line="97" w:lineRule="exact"/>
              <w:rPr>
                <w:sz w:val="20"/>
                <w:szCs w:val="20"/>
                <w:color w:val="auto"/>
              </w:rPr>
            </w:pPr>
            <w:r>
              <w:rPr>
                <w:rFonts w:ascii="Times New Roman" w:cs="Times New Roman" w:eastAsia="Times New Roman" w:hAnsi="Times New Roman"/>
                <w:sz w:val="11"/>
                <w:szCs w:val="11"/>
                <w:color w:val="0000FF"/>
              </w:rPr>
              <w:t>U.S.C. Section 1350, as adopted pursuant to Section 906 of the Sarbanes-Oxley Act</w:t>
            </w:r>
          </w:p>
        </w:tc>
        <w:tc>
          <w:tcPr>
            <w:tcW w:w="24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11"/>
                <w:szCs w:val="11"/>
                <w:color w:val="0000FF"/>
              </w:rPr>
              <w:t>of</w:t>
            </w: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86"/>
        </w:trPr>
        <w:tc>
          <w:tcPr>
            <w:tcW w:w="1160" w:type="dxa"/>
            <w:vAlign w:val="bottom"/>
          </w:tcPr>
          <w:p>
            <w:pPr>
              <w:spacing w:after="0"/>
              <w:rPr>
                <w:sz w:val="7"/>
                <w:szCs w:val="7"/>
                <w:color w:val="auto"/>
              </w:rPr>
            </w:pPr>
          </w:p>
        </w:tc>
        <w:tc>
          <w:tcPr>
            <w:tcW w:w="220" w:type="dxa"/>
            <w:vAlign w:val="bottom"/>
            <w:tcBorders>
              <w:top w:val="single" w:sz="8" w:color="0000FF"/>
              <w:bottom w:val="single" w:sz="8" w:color="0000FF"/>
            </w:tcBorders>
          </w:tcPr>
          <w:p>
            <w:pPr>
              <w:spacing w:after="0" w:line="86" w:lineRule="exact"/>
              <w:rPr>
                <w:sz w:val="20"/>
                <w:szCs w:val="20"/>
                <w:color w:val="auto"/>
              </w:rPr>
            </w:pPr>
            <w:r>
              <w:rPr>
                <w:rFonts w:ascii="Times New Roman" w:cs="Times New Roman" w:eastAsia="Times New Roman" w:hAnsi="Times New Roman"/>
                <w:sz w:val="9"/>
                <w:szCs w:val="9"/>
                <w:color w:val="0000FF"/>
              </w:rPr>
              <w:t>2002</w:t>
            </w:r>
          </w:p>
        </w:tc>
        <w:tc>
          <w:tcPr>
            <w:tcW w:w="2180" w:type="dxa"/>
            <w:vAlign w:val="bottom"/>
            <w:tcBorders>
              <w:top w:val="single" w:sz="8" w:color="0000FF"/>
            </w:tcBorders>
          </w:tcPr>
          <w:p>
            <w:pPr>
              <w:spacing w:after="0"/>
              <w:rPr>
                <w:sz w:val="7"/>
                <w:szCs w:val="7"/>
                <w:color w:val="auto"/>
              </w:rPr>
            </w:pPr>
          </w:p>
        </w:tc>
        <w:tc>
          <w:tcPr>
            <w:tcW w:w="12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97.1</w:t>
            </w:r>
          </w:p>
        </w:tc>
        <w:tc>
          <w:tcPr>
            <w:tcW w:w="2400" w:type="dxa"/>
            <w:vAlign w:val="bottom"/>
            <w:tcBorders>
              <w:bottom w:val="single" w:sz="8" w:color="0000FF"/>
            </w:tcBorders>
            <w:gridSpan w:val="2"/>
          </w:tcPr>
          <w:p>
            <w:pPr>
              <w:spacing w:after="0"/>
              <w:rPr>
                <w:rFonts w:ascii="Times New Roman" w:cs="Times New Roman" w:eastAsia="Times New Roman" w:hAnsi="Times New Roman"/>
                <w:sz w:val="11"/>
                <w:szCs w:val="11"/>
                <w:color w:val="0000FF"/>
              </w:rPr>
            </w:pPr>
            <w:hyperlink r:id="rId152">
              <w:r>
                <w:rPr>
                  <w:rFonts w:ascii="Times New Roman" w:cs="Times New Roman" w:eastAsia="Times New Roman" w:hAnsi="Times New Roman"/>
                  <w:sz w:val="11"/>
                  <w:szCs w:val="11"/>
                  <w:color w:val="0000FF"/>
                </w:rPr>
                <w:t>Zoom Video Communications, Inc. Clawback Policy</w:t>
              </w:r>
            </w:hyperlink>
          </w:p>
        </w:tc>
        <w:tc>
          <w:tcPr>
            <w:tcW w:w="1640" w:type="dxa"/>
            <w:vAlign w:val="bottom"/>
            <w:gridSpan w:val="5"/>
          </w:tcPr>
          <w:p>
            <w:pPr>
              <w:spacing w:after="0"/>
              <w:rPr>
                <w:sz w:val="12"/>
                <w:szCs w:val="12"/>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10-K</w:t>
            </w:r>
          </w:p>
        </w:tc>
        <w:tc>
          <w:tcPr>
            <w:tcW w:w="166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jc w:val="right"/>
              <w:ind w:right="583"/>
              <w:spacing w:after="0"/>
              <w:rPr>
                <w:sz w:val="20"/>
                <w:szCs w:val="20"/>
                <w:color w:val="auto"/>
              </w:rPr>
            </w:pPr>
            <w:r>
              <w:rPr>
                <w:rFonts w:ascii="Times New Roman" w:cs="Times New Roman" w:eastAsia="Times New Roman" w:hAnsi="Times New Roman"/>
                <w:sz w:val="11"/>
                <w:szCs w:val="11"/>
                <w:color w:val="auto"/>
              </w:rPr>
              <w:t>97.1</w:t>
            </w:r>
          </w:p>
        </w:tc>
        <w:tc>
          <w:tcPr>
            <w:tcW w:w="130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9"/>
              </w:rPr>
              <w:t>March 4, 2024</w:t>
            </w:r>
          </w:p>
        </w:tc>
      </w:tr>
      <w:tr>
        <w:trPr>
          <w:trHeight w:val="163"/>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101.INS</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XBRL Instance Document</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5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101.SCH</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XBRL Taxonomy Extension Schema Document</w:t>
            </w:r>
          </w:p>
        </w:tc>
        <w:tc>
          <w:tcPr>
            <w:tcW w:w="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101.CAL</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XBRL Taxonomy Extension Calculation Linkbase Document</w:t>
            </w:r>
          </w:p>
        </w:tc>
        <w:tc>
          <w:tcPr>
            <w:tcW w:w="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101.DEF</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XBRL Taxonomy Extension Definition Linkbase Document</w:t>
            </w:r>
          </w:p>
        </w:tc>
        <w:tc>
          <w:tcPr>
            <w:tcW w:w="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101.LAB</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XBRL Taxonomy Extension Label Linkbase Document</w:t>
            </w:r>
          </w:p>
        </w:tc>
        <w:tc>
          <w:tcPr>
            <w:tcW w:w="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9"/>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101.PRE</w:t>
            </w:r>
          </w:p>
        </w:tc>
        <w:tc>
          <w:tcPr>
            <w:tcW w:w="404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XBRL Taxonomy Extension Presentation Linkbase Document</w:t>
            </w:r>
          </w:p>
        </w:tc>
        <w:tc>
          <w:tcPr>
            <w:tcW w:w="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r>
    </w:tbl>
    <w:p>
      <w:pPr>
        <w:spacing w:after="0" w:line="23" w:lineRule="exact"/>
        <w:rPr>
          <w:sz w:val="20"/>
          <w:szCs w:val="20"/>
          <w:color w:val="auto"/>
        </w:rPr>
      </w:pPr>
    </w:p>
    <w:p>
      <w:pPr>
        <w:ind w:left="1560" w:hanging="1159"/>
        <w:spacing w:after="0"/>
        <w:tabs>
          <w:tab w:leader="none" w:pos="1560" w:val="left"/>
        </w:tabs>
        <w:numPr>
          <w:ilvl w:val="1"/>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(formatted as inline XBRL)</w:t>
      </w:r>
    </w:p>
    <w:p>
      <w:pPr>
        <w:spacing w:after="0" w:line="181"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Indicates a management contract or compensatory plan or arrangement.</w:t>
      </w:r>
    </w:p>
    <w:p>
      <w:pPr>
        <w:spacing w:after="0" w:line="86" w:lineRule="exact"/>
        <w:rPr>
          <w:sz w:val="20"/>
          <w:szCs w:val="20"/>
          <w:color w:val="auto"/>
        </w:rPr>
      </w:pPr>
    </w:p>
    <w:p>
      <w:pPr>
        <w:ind w:left="520" w:hanging="515"/>
        <w:spacing w:after="0" w:line="300" w:lineRule="auto"/>
        <w:tabs>
          <w:tab w:leader="none" w:pos="189"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table below details the activity of the accounts receivable allowances and deferred tax asset valuation allowance for the fiscal years ended January 31, 2025,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400" w:type="dxa"/>
            <w:vAlign w:val="bottom"/>
          </w:tcPr>
          <w:p>
            <w:pPr>
              <w:spacing w:after="0"/>
              <w:rPr>
                <w:sz w:val="11"/>
                <w:szCs w:val="11"/>
                <w:color w:val="auto"/>
              </w:rPr>
            </w:pPr>
          </w:p>
        </w:tc>
        <w:tc>
          <w:tcPr>
            <w:tcW w:w="1540" w:type="dxa"/>
            <w:vAlign w:val="bottom"/>
            <w:vMerge w:val="restart"/>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6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Write-offs or Deductions</w:t>
            </w:r>
          </w:p>
        </w:tc>
        <w:tc>
          <w:tcPr>
            <w:tcW w:w="8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Beginning of Year</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End of Year</w:t>
            </w: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 2025</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allowances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32,371</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27,236</w:t>
            </w:r>
          </w:p>
        </w:tc>
        <w:tc>
          <w:tcPr>
            <w:tcW w:w="6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(37,529)</w:t>
            </w:r>
          </w:p>
        </w:tc>
        <w:tc>
          <w:tcPr>
            <w:tcW w:w="8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22,078</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 valuation allowance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28,990</w:t>
            </w: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 2024</w:t>
            </w: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receivable allowances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52,730</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32,371</w:t>
            </w:r>
          </w:p>
        </w:tc>
        <w:tc>
          <w:tcPr>
            <w:tcW w:w="0" w:type="dxa"/>
            <w:vAlign w:val="bottom"/>
          </w:tcPr>
          <w:p>
            <w:pPr>
              <w:spacing w:after="0"/>
              <w:rPr>
                <w:sz w:val="1"/>
                <w:szCs w:val="1"/>
                <w:color w:val="auto"/>
              </w:rPr>
            </w:pPr>
          </w:p>
        </w:tc>
      </w:tr>
      <w:tr>
        <w:trPr>
          <w:trHeight w:val="168"/>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tax asset valuation allowance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53,570</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6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(18,220)</w:t>
            </w:r>
          </w:p>
        </w:tc>
        <w:tc>
          <w:tcPr>
            <w:tcW w:w="8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35,949</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 2023</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allowances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24,696</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57,142</w:t>
            </w:r>
          </w:p>
        </w:tc>
        <w:tc>
          <w:tcPr>
            <w:tcW w:w="6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(48,632)</w:t>
            </w:r>
          </w:p>
        </w:tc>
        <w:tc>
          <w:tcPr>
            <w:tcW w:w="8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33,206</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 valuation allowance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40,965</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53,570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716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ZOOM COMMUNICATIONS, INC.</w:t>
            </w:r>
          </w:p>
        </w:tc>
      </w:tr>
      <w:tr>
        <w:trPr>
          <w:trHeight w:val="382"/>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320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167"/>
        </w:trPr>
        <w:tc>
          <w:tcPr>
            <w:tcW w:w="4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40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40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82"/>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3200" w:type="dxa"/>
            <w:vAlign w:val="bottom"/>
          </w:tcPr>
          <w:p>
            <w:pPr>
              <w:ind w:left="2680"/>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Michelle Chang</w:t>
            </w:r>
          </w:p>
        </w:tc>
      </w:tr>
      <w:tr>
        <w:trPr>
          <w:trHeight w:val="167"/>
        </w:trPr>
        <w:tc>
          <w:tcPr>
            <w:tcW w:w="4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Michelle Chang</w:t>
            </w:r>
          </w:p>
        </w:tc>
      </w:tr>
      <w:tr>
        <w:trPr>
          <w:trHeight w:val="178"/>
        </w:trPr>
        <w:tc>
          <w:tcPr>
            <w:tcW w:w="40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40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91" w:lineRule="exact"/>
        <w:rPr>
          <w:sz w:val="20"/>
          <w:szCs w:val="20"/>
          <w:color w:val="auto"/>
        </w:rPr>
      </w:pPr>
    </w:p>
    <w:p>
      <w:pPr>
        <w:jc w:val="both"/>
        <w:ind w:firstLine="347"/>
        <w:spacing w:after="0" w:line="250"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Eric S. Yuan, Michelle Chang,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29" w:lineRule="exact"/>
        <w:rPr>
          <w:sz w:val="20"/>
          <w:szCs w:val="20"/>
          <w:color w:val="auto"/>
        </w:rPr>
      </w:pPr>
    </w:p>
    <w:p>
      <w:pPr>
        <w:ind w:right="4120"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125" w:right="319" w:bottom="1440" w:gutter="0" w:footer="0" w:header="0"/>
        </w:sectPr>
      </w:pP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00" w:type="dxa"/>
            <w:vAlign w:val="bottom"/>
          </w:tcPr>
          <w:p>
            <w:pPr>
              <w:spacing w:after="0"/>
              <w:rPr>
                <w:sz w:val="16"/>
                <w:szCs w:val="16"/>
                <w:color w:val="auto"/>
              </w:rPr>
            </w:pPr>
          </w:p>
        </w:tc>
        <w:tc>
          <w:tcPr>
            <w:tcW w:w="48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color w:val="auto"/>
              </w:rPr>
              <w:t>Title</w:t>
            </w:r>
          </w:p>
        </w:tc>
      </w:tr>
      <w:tr>
        <w:trPr>
          <w:trHeight w:val="30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Eric S. Yuan</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President, Chief Executive Officer and Director </w:t>
            </w:r>
            <w:r>
              <w:rPr>
                <w:rFonts w:ascii="Times New Roman" w:cs="Times New Roman" w:eastAsia="Times New Roman" w:hAnsi="Times New Roman"/>
                <w:sz w:val="14"/>
                <w:szCs w:val="14"/>
                <w:i w:val="1"/>
                <w:iCs w:val="1"/>
                <w:color w:val="auto"/>
              </w:rPr>
              <w:t>(Principal Executive Officer)</w:t>
            </w:r>
          </w:p>
        </w:tc>
      </w:tr>
      <w:tr>
        <w:trPr>
          <w:trHeight w:val="187"/>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Eric S. Yuan</w:t>
            </w:r>
          </w:p>
        </w:tc>
        <w:tc>
          <w:tcPr>
            <w:tcW w:w="10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286"/>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Michelle Chang</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Chief Financial Officer </w:t>
            </w:r>
            <w:r>
              <w:rPr>
                <w:rFonts w:ascii="Times New Roman" w:cs="Times New Roman" w:eastAsia="Times New Roman" w:hAnsi="Times New Roman"/>
                <w:sz w:val="14"/>
                <w:szCs w:val="14"/>
                <w:i w:val="1"/>
                <w:iCs w:val="1"/>
                <w:color w:val="auto"/>
              </w:rPr>
              <w:t>(Principal Financial Officer)</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81"/>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Michelle Chang</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18"/>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Shane Crehan</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Chief Accounting Officer </w:t>
            </w:r>
            <w:r>
              <w:rPr>
                <w:rFonts w:ascii="Times New Roman" w:cs="Times New Roman" w:eastAsia="Times New Roman" w:hAnsi="Times New Roman"/>
                <w:sz w:val="14"/>
                <w:szCs w:val="14"/>
                <w:i w:val="1"/>
                <w:iCs w:val="1"/>
                <w:color w:val="auto"/>
              </w:rPr>
              <w:t>(Principal Accounting Officer)</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81"/>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Shane Crehan</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2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Jonathan Chadwick</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Jonathan Chadwick</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Mike Fenger</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81"/>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Mike Fenger</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2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Peter Gassner</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81"/>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Peter Gassner</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2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Cindy Hoots</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81"/>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Cindy Hoots</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2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R. McDermott</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William R. McDermott</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Herbert Raymond McMaster</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Herbert Raymond McMaster</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Janet Napolitano</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Janet Napolitano</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 Scheinman</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 Scheinman</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3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Santiago Subotovsky</w:t>
            </w:r>
          </w:p>
        </w:tc>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r>
      <w:tr>
        <w:trPr>
          <w:trHeight w:val="181"/>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Santiago Subotovsky</w:t>
            </w:r>
          </w:p>
        </w:tc>
        <w:tc>
          <w:tcPr>
            <w:tcW w:w="100" w:type="dxa"/>
            <w:vAlign w:val="bottom"/>
          </w:tcPr>
          <w:p>
            <w:pPr>
              <w:spacing w:after="0"/>
              <w:rPr>
                <w:sz w:val="15"/>
                <w:szCs w:val="15"/>
                <w:color w:val="auto"/>
              </w:rPr>
            </w:pPr>
          </w:p>
        </w:tc>
        <w:tc>
          <w:tcPr>
            <w:tcW w:w="4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14605</wp:posOffset>
            </wp:positionV>
            <wp:extent cx="14566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28, 2025</w:t>
      </w:r>
    </w:p>
    <w:p>
      <w:pPr>
        <w:spacing w:after="0" w:line="435" w:lineRule="exact"/>
        <w:rPr>
          <w:sz w:val="20"/>
          <w:szCs w:val="20"/>
          <w:color w:val="auto"/>
        </w:rPr>
      </w:pPr>
    </w:p>
    <w:p>
      <w:pPr>
        <w:sectPr>
          <w:pgSz w:w="11900" w:h="16838" w:orient="portrait"/>
          <w:cols w:equalWidth="0" w:num="2">
            <w:col w:w="9100" w:space="720"/>
            <w:col w:w="1460"/>
          </w:cols>
          <w:pgMar w:left="300" w:top="125" w:right="31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280"/>
          </w:cols>
          <w:pgMar w:left="300" w:top="125" w:right="31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7"/>
          <w:szCs w:val="17"/>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8" w:lineRule="exact"/>
        <w:rPr>
          <w:sz w:val="20"/>
          <w:szCs w:val="20"/>
          <w:color w:val="auto"/>
        </w:rPr>
      </w:pPr>
    </w:p>
    <w:p>
      <w:pPr>
        <w:jc w:val="both"/>
        <w:ind w:firstLine="347"/>
        <w:spacing w:after="0" w:line="241" w:lineRule="auto"/>
        <w:rPr>
          <w:sz w:val="20"/>
          <w:szCs w:val="20"/>
          <w:color w:val="auto"/>
        </w:rPr>
      </w:pPr>
      <w:r>
        <w:rPr>
          <w:rFonts w:ascii="Times New Roman" w:cs="Times New Roman" w:eastAsia="Times New Roman" w:hAnsi="Times New Roman"/>
          <w:sz w:val="17"/>
          <w:szCs w:val="17"/>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16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authorized capital stock consists of the following shares, all with a par value of $0.001 per share, of which:</w:t>
      </w:r>
    </w:p>
    <w:p>
      <w:pPr>
        <w:spacing w:after="0" w:line="186" w:lineRule="exact"/>
        <w:rPr>
          <w:sz w:val="20"/>
          <w:szCs w:val="20"/>
          <w:color w:val="auto"/>
        </w:rPr>
      </w:pPr>
    </w:p>
    <w:p>
      <w:pPr>
        <w:ind w:left="620" w:hanging="10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2,000,000,000 shares are designated as Class A common stock;</w:t>
      </w:r>
    </w:p>
    <w:p>
      <w:pPr>
        <w:spacing w:after="0" w:line="207" w:lineRule="exact"/>
        <w:rPr>
          <w:rFonts w:ascii="Times New Roman" w:cs="Times New Roman" w:eastAsia="Times New Roman" w:hAnsi="Times New Roman"/>
          <w:sz w:val="17"/>
          <w:szCs w:val="17"/>
          <w:color w:val="auto"/>
        </w:rPr>
      </w:pPr>
    </w:p>
    <w:p>
      <w:pPr>
        <w:ind w:left="620" w:hanging="10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300,000,000 shares are designated as Class B common stock; and</w:t>
      </w:r>
    </w:p>
    <w:p>
      <w:pPr>
        <w:spacing w:after="0" w:line="197" w:lineRule="exact"/>
        <w:rPr>
          <w:rFonts w:ascii="Times New Roman" w:cs="Times New Roman" w:eastAsia="Times New Roman" w:hAnsi="Times New Roman"/>
          <w:sz w:val="17"/>
          <w:szCs w:val="17"/>
          <w:color w:val="auto"/>
        </w:rPr>
      </w:pPr>
    </w:p>
    <w:p>
      <w:pPr>
        <w:ind w:left="620" w:hanging="10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200,000,000 shares are designated as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p>
      <w:pPr>
        <w:spacing w:after="0" w:line="190" w:lineRule="exact"/>
        <w:rPr>
          <w:sz w:val="20"/>
          <w:szCs w:val="20"/>
          <w:color w:val="auto"/>
        </w:rPr>
      </w:pPr>
    </w:p>
    <w:p>
      <w:pPr>
        <w:jc w:val="both"/>
        <w:ind w:firstLine="347"/>
        <w:spacing w:after="0" w:line="252" w:lineRule="auto"/>
        <w:rPr>
          <w:sz w:val="20"/>
          <w:szCs w:val="20"/>
          <w:color w:val="auto"/>
        </w:rPr>
      </w:pPr>
      <w:r>
        <w:rPr>
          <w:rFonts w:ascii="Times New Roman" w:cs="Times New Roman" w:eastAsia="Times New Roman" w:hAnsi="Times New Roman"/>
          <w:sz w:val="17"/>
          <w:szCs w:val="17"/>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90"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w:t>
      </w:r>
    </w:p>
    <w:p>
      <w:pPr>
        <w:sectPr>
          <w:pgSz w:w="11900" w:h="16838" w:orient="portrait"/>
          <w:cols w:equalWidth="0" w:num="1">
            <w:col w:w="11280"/>
          </w:cols>
          <w:pgMar w:left="300" w:top="129" w:right="319" w:bottom="1440" w:gutter="0" w:footer="0" w:header="0"/>
        </w:sectPr>
      </w:pPr>
    </w:p>
    <w:bookmarkStart w:id="107" w:name="page108"/>
    <w:bookmarkEnd w:id="107"/>
    <w:p>
      <w:pPr>
        <w:jc w:val="both"/>
        <w:spacing w:after="0" w:line="263" w:lineRule="auto"/>
        <w:rPr>
          <w:sz w:val="20"/>
          <w:szCs w:val="20"/>
          <w:color w:val="auto"/>
        </w:rPr>
      </w:pPr>
      <w:r>
        <w:rPr>
          <w:rFonts w:ascii="Times New Roman" w:cs="Times New Roman" w:eastAsia="Times New Roman" w:hAnsi="Times New Roman"/>
          <w:sz w:val="17"/>
          <w:szCs w:val="17"/>
          <w:color w:val="auto"/>
        </w:rPr>
        <w:t>Class A common stock or amend our certificate of incorporation to alter the powers, preferences or special rights of the common stock as a whole in a way that would adversely affect the holders of our Class A common stock.</w:t>
      </w:r>
    </w:p>
    <w:p>
      <w:pPr>
        <w:spacing w:after="0" w:line="155" w:lineRule="exact"/>
        <w:rPr>
          <w:sz w:val="20"/>
          <w:szCs w:val="20"/>
          <w:color w:val="auto"/>
        </w:rPr>
      </w:pPr>
    </w:p>
    <w:p>
      <w:pPr>
        <w:jc w:val="both"/>
        <w:ind w:firstLine="347"/>
        <w:spacing w:after="0" w:line="245" w:lineRule="auto"/>
        <w:rPr>
          <w:sz w:val="20"/>
          <w:szCs w:val="20"/>
          <w:color w:val="auto"/>
        </w:rPr>
      </w:pPr>
      <w:r>
        <w:rPr>
          <w:rFonts w:ascii="Times New Roman" w:cs="Times New Roman" w:eastAsia="Times New Roman" w:hAnsi="Times New Roman"/>
          <w:sz w:val="17"/>
          <w:szCs w:val="17"/>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61" w:lineRule="exact"/>
        <w:rPr>
          <w:sz w:val="20"/>
          <w:szCs w:val="20"/>
          <w:color w:val="auto"/>
        </w:rPr>
      </w:pPr>
    </w:p>
    <w:p>
      <w:pPr>
        <w:jc w:val="both"/>
        <w:ind w:firstLine="347"/>
        <w:spacing w:after="0" w:line="24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stick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amended and restated certificate of incorporation does not provide for cumulative voting for the election of directors.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201" w:lineRule="exact"/>
        <w:rPr>
          <w:sz w:val="20"/>
          <w:szCs w:val="20"/>
          <w:color w:val="auto"/>
        </w:rPr>
      </w:pPr>
    </w:p>
    <w:p>
      <w:pPr>
        <w:jc w:val="both"/>
        <w:ind w:firstLine="347"/>
        <w:spacing w:after="0" w:line="243" w:lineRule="auto"/>
        <w:rPr>
          <w:sz w:val="20"/>
          <w:szCs w:val="20"/>
          <w:color w:val="auto"/>
        </w:rPr>
      </w:pPr>
      <w:r>
        <w:rPr>
          <w:rFonts w:ascii="Times New Roman" w:cs="Times New Roman" w:eastAsia="Times New Roman" w:hAnsi="Times New Roman"/>
          <w:sz w:val="17"/>
          <w:szCs w:val="17"/>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ectPr>
          <w:pgSz w:w="11900" w:h="16838" w:orient="portrait"/>
          <w:cols w:equalWidth="0" w:num="1">
            <w:col w:w="11280"/>
          </w:cols>
          <w:pgMar w:left="300" w:top="1137" w:right="319" w:bottom="1440" w:gutter="0" w:footer="0" w:header="0"/>
        </w:sectPr>
      </w:pPr>
    </w:p>
    <w:bookmarkStart w:id="108" w:name="page109"/>
    <w:bookmarkEnd w:id="108"/>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Right to Receive Liquidation Distributions</w:t>
      </w:r>
    </w:p>
    <w:p>
      <w:pPr>
        <w:spacing w:after="0" w:line="190" w:lineRule="exact"/>
        <w:rPr>
          <w:sz w:val="20"/>
          <w:szCs w:val="20"/>
          <w:color w:val="auto"/>
        </w:rPr>
      </w:pPr>
    </w:p>
    <w:p>
      <w:pPr>
        <w:jc w:val="both"/>
        <w:ind w:firstLine="347"/>
        <w:spacing w:after="0" w:line="244" w:lineRule="auto"/>
        <w:rPr>
          <w:sz w:val="20"/>
          <w:szCs w:val="20"/>
          <w:color w:val="auto"/>
        </w:rPr>
      </w:pPr>
      <w:r>
        <w:rPr>
          <w:rFonts w:ascii="Times New Roman" w:cs="Times New Roman" w:eastAsia="Times New Roman" w:hAnsi="Times New Roman"/>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Subdivisions and Combinations</w:t>
      </w:r>
    </w:p>
    <w:p>
      <w:pPr>
        <w:spacing w:after="0" w:line="190"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201" w:lineRule="exact"/>
        <w:rPr>
          <w:sz w:val="20"/>
          <w:szCs w:val="20"/>
          <w:color w:val="auto"/>
        </w:rPr>
      </w:pPr>
    </w:p>
    <w:p>
      <w:pPr>
        <w:jc w:val="both"/>
        <w:ind w:firstLine="347"/>
        <w:spacing w:after="0" w:line="244" w:lineRule="auto"/>
        <w:rPr>
          <w:sz w:val="20"/>
          <w:szCs w:val="20"/>
          <w:color w:val="auto"/>
        </w:rPr>
      </w:pPr>
      <w:r>
        <w:rPr>
          <w:rFonts w:ascii="Times New Roman" w:cs="Times New Roman" w:eastAsia="Times New Roman" w:hAnsi="Times New Roman"/>
          <w:sz w:val="17"/>
          <w:szCs w:val="17"/>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The Class A common stock and Class B common stock have no preemptive rights pursuant to the terms of our amended and restated certificate of incorporation and our amended and</w:t>
      </w:r>
    </w:p>
    <w:p>
      <w:pPr>
        <w:sectPr>
          <w:pgSz w:w="11900" w:h="16838" w:orient="portrait"/>
          <w:cols w:equalWidth="0" w:num="1">
            <w:col w:w="11280"/>
          </w:cols>
          <w:pgMar w:left="300" w:top="1440" w:right="319" w:bottom="1440" w:gutter="0" w:footer="0" w:header="0"/>
        </w:sectPr>
      </w:pPr>
    </w:p>
    <w:bookmarkStart w:id="109" w:name="page110"/>
    <w:bookmarkEnd w:id="109"/>
    <w:p>
      <w:pPr>
        <w:jc w:val="both"/>
        <w:spacing w:after="0" w:line="263" w:lineRule="auto"/>
        <w:rPr>
          <w:sz w:val="20"/>
          <w:szCs w:val="20"/>
          <w:color w:val="auto"/>
        </w:rPr>
      </w:pPr>
      <w:r>
        <w:rPr>
          <w:rFonts w:ascii="Times New Roman" w:cs="Times New Roman" w:eastAsia="Times New Roman" w:hAnsi="Times New Roman"/>
          <w:sz w:val="17"/>
          <w:szCs w:val="17"/>
          <w:color w:val="auto"/>
        </w:rPr>
        <w:t>restated bylaws. There are no redemption or sinking fund provisions applicable to the Class A common stock and Class B common stock. All outstanding shares of our Class A common stock are fully paid and non-assessable.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90" w:lineRule="exact"/>
        <w:rPr>
          <w:sz w:val="20"/>
          <w:szCs w:val="20"/>
          <w:color w:val="auto"/>
        </w:rPr>
      </w:pPr>
    </w:p>
    <w:p>
      <w:pPr>
        <w:jc w:val="both"/>
        <w:ind w:firstLine="347"/>
        <w:spacing w:after="0" w:line="245" w:lineRule="auto"/>
        <w:rPr>
          <w:sz w:val="20"/>
          <w:szCs w:val="20"/>
          <w:color w:val="auto"/>
        </w:rPr>
      </w:pPr>
      <w:r>
        <w:rPr>
          <w:rFonts w:ascii="Times New Roman" w:cs="Times New Roman" w:eastAsia="Times New Roman" w:hAnsi="Times New Roman"/>
          <w:sz w:val="17"/>
          <w:szCs w:val="17"/>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Certificate of Incorporation and Bylaws</w:t>
      </w:r>
    </w:p>
    <w:p>
      <w:pPr>
        <w:spacing w:after="0" w:line="190" w:lineRule="exact"/>
        <w:rPr>
          <w:sz w:val="20"/>
          <w:szCs w:val="20"/>
          <w:color w:val="auto"/>
        </w:rPr>
      </w:pPr>
    </w:p>
    <w:p>
      <w:pPr>
        <w:jc w:val="both"/>
        <w:ind w:firstLine="347"/>
        <w:spacing w:after="0" w:line="245" w:lineRule="auto"/>
        <w:rPr>
          <w:sz w:val="20"/>
          <w:szCs w:val="20"/>
          <w:color w:val="auto"/>
        </w:rPr>
      </w:pPr>
      <w:r>
        <w:rPr>
          <w:rFonts w:ascii="Times New Roman" w:cs="Times New Roman" w:eastAsia="Times New Roman" w:hAnsi="Times New Roman"/>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9"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Dual Class Stock</w:t>
      </w:r>
    </w:p>
    <w:p>
      <w:pPr>
        <w:spacing w:after="0" w:line="201" w:lineRule="exact"/>
        <w:rPr>
          <w:sz w:val="20"/>
          <w:szCs w:val="20"/>
          <w:color w:val="auto"/>
        </w:rPr>
      </w:pPr>
    </w:p>
    <w:p>
      <w:pPr>
        <w:jc w:val="both"/>
        <w:ind w:firstLine="347"/>
        <w:spacing w:after="0" w:line="255" w:lineRule="auto"/>
        <w:rPr>
          <w:sz w:val="20"/>
          <w:szCs w:val="20"/>
          <w:color w:val="auto"/>
        </w:rPr>
      </w:pPr>
      <w:r>
        <w:rPr>
          <w:rFonts w:ascii="Times New Roman" w:cs="Times New Roman" w:eastAsia="Times New Roman" w:hAnsi="Times New Roman"/>
          <w:sz w:val="17"/>
          <w:szCs w:val="17"/>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80"/>
          </w:cols>
          <w:pgMar w:left="300" w:top="1137" w:right="319" w:bottom="1440" w:gutter="0" w:footer="0" w:header="0"/>
        </w:sectPr>
      </w:pPr>
    </w:p>
    <w:bookmarkStart w:id="110" w:name="page111"/>
    <w:bookmarkEnd w:id="110"/>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Stockholder Meetings</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Advance Notification of Stockholder Nominations and Proposals</w:t>
      </w:r>
    </w:p>
    <w:p>
      <w:pPr>
        <w:spacing w:after="0" w:line="201" w:lineRule="exact"/>
        <w:rPr>
          <w:sz w:val="20"/>
          <w:szCs w:val="20"/>
          <w:color w:val="auto"/>
        </w:rPr>
      </w:pPr>
    </w:p>
    <w:p>
      <w:pPr>
        <w:jc w:val="both"/>
        <w:ind w:firstLine="347"/>
        <w:spacing w:after="0" w:line="249" w:lineRule="auto"/>
        <w:rPr>
          <w:sz w:val="20"/>
          <w:szCs w:val="20"/>
          <w:color w:val="auto"/>
        </w:rPr>
      </w:pPr>
      <w:r>
        <w:rPr>
          <w:rFonts w:ascii="Times New Roman" w:cs="Times New Roman" w:eastAsia="Times New Roman" w:hAnsi="Times New Roman"/>
          <w:sz w:val="17"/>
          <w:szCs w:val="17"/>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Elimination of Stockholder Action by Written Consent</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eliminate the right of stockholders to act by written consent without a meeting.</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Staggered Board</w:t>
      </w:r>
    </w:p>
    <w:p>
      <w:pPr>
        <w:spacing w:after="0" w:line="190" w:lineRule="exact"/>
        <w:rPr>
          <w:sz w:val="20"/>
          <w:szCs w:val="20"/>
          <w:color w:val="auto"/>
        </w:rPr>
      </w:pPr>
    </w:p>
    <w:p>
      <w:pPr>
        <w:jc w:val="both"/>
        <w:ind w:firstLine="347"/>
        <w:spacing w:after="0" w:line="255" w:lineRule="auto"/>
        <w:rPr>
          <w:sz w:val="20"/>
          <w:szCs w:val="20"/>
          <w:color w:val="auto"/>
        </w:rPr>
      </w:pPr>
      <w:r>
        <w:rPr>
          <w:rFonts w:ascii="Times New Roman" w:cs="Times New Roman" w:eastAsia="Times New Roman" w:hAnsi="Times New Roman"/>
          <w:sz w:val="17"/>
          <w:szCs w:val="17"/>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01"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no member of our board of directors may be removed from office by our stockholders except for cause.</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Stockholders Not Entitled to Cumulative Voting</w:t>
      </w:r>
    </w:p>
    <w:p>
      <w:pPr>
        <w:spacing w:after="0" w:line="190" w:lineRule="exact"/>
        <w:rPr>
          <w:sz w:val="20"/>
          <w:szCs w:val="20"/>
          <w:color w:val="auto"/>
        </w:rPr>
      </w:pPr>
    </w:p>
    <w:p>
      <w:pPr>
        <w:jc w:val="both"/>
        <w:ind w:firstLine="347"/>
        <w:spacing w:after="0" w:line="255" w:lineRule="auto"/>
        <w:rPr>
          <w:sz w:val="20"/>
          <w:szCs w:val="20"/>
          <w:color w:val="auto"/>
        </w:rPr>
      </w:pPr>
      <w:r>
        <w:rPr>
          <w:rFonts w:ascii="Times New Roman" w:cs="Times New Roman" w:eastAsia="Times New Roman" w:hAnsi="Times New Roman"/>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Statute</w:t>
      </w:r>
    </w:p>
    <w:p>
      <w:pPr>
        <w:spacing w:after="0" w:line="201" w:lineRule="exact"/>
        <w:rPr>
          <w:sz w:val="20"/>
          <w:szCs w:val="20"/>
          <w:color w:val="auto"/>
        </w:rPr>
      </w:pPr>
    </w:p>
    <w:p>
      <w:pPr>
        <w:jc w:val="both"/>
        <w:ind w:firstLine="347"/>
        <w:spacing w:after="0" w:line="249" w:lineRule="auto"/>
        <w:rPr>
          <w:sz w:val="20"/>
          <w:szCs w:val="20"/>
          <w:color w:val="auto"/>
        </w:rPr>
      </w:pPr>
      <w:r>
        <w:rPr>
          <w:rFonts w:ascii="Times New Roman" w:cs="Times New Roman" w:eastAsia="Times New Roman" w:hAnsi="Times New Roman"/>
          <w:sz w:val="17"/>
          <w:szCs w:val="17"/>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w:t>
      </w:r>
    </w:p>
    <w:p>
      <w:pPr>
        <w:sectPr>
          <w:pgSz w:w="11900" w:h="16838" w:orient="portrait"/>
          <w:cols w:equalWidth="0" w:num="1">
            <w:col w:w="11280"/>
          </w:cols>
          <w:pgMar w:left="300" w:top="1324" w:right="319" w:bottom="1440" w:gutter="0" w:footer="0" w:header="0"/>
        </w:sectPr>
      </w:pPr>
    </w:p>
    <w:bookmarkStart w:id="111" w:name="page112"/>
    <w:bookmarkEnd w:id="111"/>
    <w:p>
      <w:pPr>
        <w:jc w:val="both"/>
        <w:spacing w:after="0" w:line="248" w:lineRule="auto"/>
        <w:rPr>
          <w:sz w:val="20"/>
          <w:szCs w:val="20"/>
          <w:color w:val="auto"/>
        </w:rPr>
      </w:pPr>
      <w:r>
        <w:rPr>
          <w:rFonts w:ascii="Times New Roman" w:cs="Times New Roman" w:eastAsia="Times New Roman" w:hAnsi="Times New Roman"/>
          <w:sz w:val="17"/>
          <w:szCs w:val="17"/>
          <w:color w:val="auto"/>
        </w:rPr>
        <w:t>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90" w:lineRule="exact"/>
        <w:rPr>
          <w:sz w:val="20"/>
          <w:szCs w:val="20"/>
          <w:color w:val="auto"/>
        </w:rPr>
      </w:pPr>
    </w:p>
    <w:p>
      <w:pPr>
        <w:jc w:val="both"/>
        <w:ind w:firstLine="347"/>
        <w:spacing w:after="0" w:line="24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Amendment of Charter Provisions</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34"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ectPr>
          <w:pgSz w:w="11900" w:h="16838" w:orient="portrait"/>
          <w:cols w:equalWidth="0" w:num="1">
            <w:col w:w="11280"/>
          </w:cols>
          <w:pgMar w:left="300" w:top="1137" w:right="319" w:bottom="1440" w:gutter="0" w:footer="0" w:header="0"/>
        </w:sectPr>
      </w:pPr>
    </w:p>
    <w:bookmarkStart w:id="112" w:name="page113"/>
    <w:bookmarkEnd w:id="112"/>
    <w:p>
      <w:pPr>
        <w:ind w:firstLine="347"/>
        <w:spacing w:after="0" w:line="263"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and Class B common stock is Computershare Trust Company, N.A. The transfer agent and registrar’s address is 250 Royall Street, Canton, Massachusetts 02021.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Listing</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Class A common stock is listed on The Nasdaq Global Select Market under the symbol “ZM.”</w:t>
      </w:r>
    </w:p>
    <w:p>
      <w:pPr>
        <w:sectPr>
          <w:pgSz w:w="11900" w:h="16838" w:orient="portrait"/>
          <w:cols w:equalWidth="0" w:num="1">
            <w:col w:w="11280"/>
          </w:cols>
          <w:pgMar w:left="300" w:top="1328" w:right="319" w:bottom="1440"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Zoom Communications, Inc.</w:t>
      </w:r>
    </w:p>
    <w:p>
      <w:pPr>
        <w:spacing w:after="0" w:line="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 xml:space="preserve">Global RSU Award </w:t>
      </w:r>
      <w:r>
        <w:rPr>
          <w:rFonts w:ascii="Times New Roman" w:cs="Times New Roman" w:eastAsia="Times New Roman" w:hAnsi="Times New Roman"/>
          <w:sz w:val="19"/>
          <w:szCs w:val="19"/>
          <w:b w:val="1"/>
          <w:bCs w:val="1"/>
          <w:color w:val="auto"/>
        </w:rPr>
        <w:t>Grant Notice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3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Zoom Communications,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awarded you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number of restricted stock units specified and on the terms set forth below in consideration of your services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Your RSU Award is subject to all of the terms and conditions as set forth herein and in the Company’s 2019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the Global RSU Award Agreement, including any additional terms and conditions for your country included in the appendix attached thereto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-9525</wp:posOffset>
            </wp:positionV>
            <wp:extent cx="10795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-20320</wp:posOffset>
            </wp:positionV>
            <wp:extent cx="10795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-20320</wp:posOffset>
            </wp:positionV>
            <wp:extent cx="10795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-20320</wp:posOffset>
            </wp:positionV>
            <wp:extent cx="1079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346" w:lineRule="exact"/>
        <w:rPr>
          <w:sz w:val="20"/>
          <w:szCs w:val="20"/>
          <w:color w:val="auto"/>
        </w:rPr>
      </w:pPr>
    </w:p>
    <w:p>
      <w:pPr>
        <w:jc w:val="both"/>
        <w:ind w:left="1460" w:hanging="1463"/>
        <w:spacing w:after="0" w:line="289" w:lineRule="auto"/>
        <w:tabs>
          <w:tab w:leader="none" w:pos="1440" w:val="left"/>
        </w:tabs>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Subject to the Participant’s Continuous Service through each applicable vesting date, the restricted stock units subject to the RSU Award will vest as follows:</w:t>
      </w:r>
    </w:p>
    <w:p>
      <w:pPr>
        <w:spacing w:after="0" w:line="112" w:lineRule="exact"/>
        <w:rPr>
          <w:sz w:val="20"/>
          <w:szCs w:val="20"/>
          <w:color w:val="auto"/>
        </w:rPr>
      </w:pPr>
    </w:p>
    <w:p>
      <w:pPr>
        <w:jc w:val="both"/>
        <w:ind w:left="1460"/>
        <w:spacing w:after="0" w:line="236" w:lineRule="auto"/>
        <w:rPr>
          <w:sz w:val="20"/>
          <w:szCs w:val="20"/>
          <w:color w:val="auto"/>
        </w:rPr>
      </w:pPr>
      <w:r>
        <w:rPr>
          <w:rFonts w:ascii="Times New Roman" w:cs="Times New Roman" w:eastAsia="Times New Roman" w:hAnsi="Times New Roman"/>
          <w:sz w:val="17"/>
          <w:szCs w:val="17"/>
          <w:color w:val="auto"/>
        </w:rPr>
        <w:t>[New Hire Grants—1/4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restricted stock units shall vest on the first anniversary of the Vesting Commencement Date. Thereafter 1/16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restricted stock units shall vest every three months following the first anniversary of the Vesting Commencement Date on the day of the calendar month that corresponds with the Vesting Commencement Date such that the RSU Award is fully vested on the fourth anniversary of the Vesting Commencement Date.]</w:t>
      </w:r>
    </w:p>
    <w:p>
      <w:pPr>
        <w:spacing w:after="0" w:line="129" w:lineRule="exact"/>
        <w:rPr>
          <w:sz w:val="20"/>
          <w:szCs w:val="20"/>
          <w:color w:val="auto"/>
        </w:rPr>
      </w:pPr>
    </w:p>
    <w:p>
      <w:pPr>
        <w:jc w:val="both"/>
        <w:ind w:left="1460"/>
        <w:spacing w:after="0" w:line="233" w:lineRule="auto"/>
        <w:rPr>
          <w:sz w:val="20"/>
          <w:szCs w:val="20"/>
          <w:color w:val="auto"/>
        </w:rPr>
      </w:pPr>
      <w:r>
        <w:rPr>
          <w:rFonts w:ascii="Times New Roman" w:cs="Times New Roman" w:eastAsia="Times New Roman" w:hAnsi="Times New Roman"/>
          <w:sz w:val="17"/>
          <w:szCs w:val="17"/>
          <w:color w:val="auto"/>
        </w:rPr>
        <w:t>[Refresher Grants--1/16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restricted stock units shall vest every three months following the Vesting Commencement Date on the day of the calendar month that corresponds with the Vesting Commencement Date such that the RSU Award is fully vested on the fourth anniversary of the Vesting Commencement Date.]</w:t>
      </w:r>
    </w:p>
    <w:p>
      <w:pPr>
        <w:spacing w:after="0" w:line="133" w:lineRule="exact"/>
        <w:rPr>
          <w:sz w:val="20"/>
          <w:szCs w:val="20"/>
          <w:color w:val="auto"/>
        </w:rPr>
      </w:pPr>
    </w:p>
    <w:p>
      <w:pPr>
        <w:jc w:val="both"/>
        <w:ind w:left="1460"/>
        <w:spacing w:after="0" w:line="276" w:lineRule="auto"/>
        <w:rPr>
          <w:sz w:val="20"/>
          <w:szCs w:val="20"/>
          <w:color w:val="auto"/>
        </w:rPr>
      </w:pPr>
      <w:r>
        <w:rPr>
          <w:rFonts w:ascii="Times New Roman" w:cs="Times New Roman" w:eastAsia="Times New Roman" w:hAnsi="Times New Roman"/>
          <w:sz w:val="17"/>
          <w:szCs w:val="17"/>
          <w:color w:val="auto"/>
        </w:rPr>
        <w:t>Notwithstanding the foregoing, the RSU Award will fully vest upon Participant’s death or Disability, subject to the Participant’s Continuous Service through such death or Disability.</w:t>
      </w:r>
    </w:p>
    <w:p>
      <w:pPr>
        <w:spacing w:after="0" w:line="9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Issuance Schedule:</w:t>
      </w:r>
      <w:r>
        <w:rPr>
          <w:sz w:val="20"/>
          <w:szCs w:val="20"/>
          <w:color w:val="auto"/>
        </w:rPr>
        <w:tab/>
      </w:r>
      <w:r>
        <w:rPr>
          <w:rFonts w:ascii="Times New Roman" w:cs="Times New Roman" w:eastAsia="Times New Roman" w:hAnsi="Times New Roman"/>
          <w:sz w:val="16"/>
          <w:szCs w:val="16"/>
          <w:color w:val="auto"/>
        </w:rPr>
        <w:t>One share of Common Stock will be issued for each restricted stock unit which vests at the time set forth in Section 5 of the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30"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Participant Acknowledgements: </w:t>
      </w:r>
      <w:r>
        <w:rPr>
          <w:rFonts w:ascii="Times New Roman" w:cs="Times New Roman" w:eastAsia="Times New Roman" w:hAnsi="Times New Roman"/>
          <w:sz w:val="17"/>
          <w:szCs w:val="17"/>
          <w:color w:val="auto"/>
        </w:rPr>
        <w:t>By your signature below or by electronic acceptance or authentication in a form authorized by the Company, you understand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 that:</w:t>
      </w:r>
    </w:p>
    <w:p>
      <w:pPr>
        <w:spacing w:after="0" w:line="30" w:lineRule="exact"/>
        <w:rPr>
          <w:sz w:val="20"/>
          <w:szCs w:val="20"/>
          <w:color w:val="auto"/>
        </w:rPr>
      </w:pPr>
    </w:p>
    <w:p>
      <w:pPr>
        <w:jc w:val="both"/>
        <w:ind w:left="520" w:hanging="260"/>
        <w:spacing w:after="0" w:line="271" w:lineRule="auto"/>
        <w:tabs>
          <w:tab w:leader="none" w:pos="5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is governed by this Global RSU Award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7"/>
          <w:szCs w:val="17"/>
          <w:b w:val="1"/>
          <w:bCs w:val="1"/>
          <w:i w:val="1"/>
          <w:iCs w:val="1"/>
          <w:color w:val="auto"/>
        </w:rPr>
        <w:t>RSU Award Agreement</w:t>
      </w:r>
      <w:r>
        <w:rPr>
          <w:rFonts w:ascii="Times New Roman" w:cs="Times New Roman" w:eastAsia="Times New Roman" w:hAnsi="Times New Roman"/>
          <w:sz w:val="17"/>
          <w:szCs w:val="17"/>
          <w:color w:val="auto"/>
        </w:rPr>
        <w:t>”) may not be modified, amended or revised except in a writing signed by you and a duly authorized officer of the Company.</w:t>
      </w:r>
    </w:p>
    <w:p>
      <w:pPr>
        <w:spacing w:after="0" w:line="42" w:lineRule="exact"/>
        <w:rPr>
          <w:rFonts w:ascii="Times New Roman" w:cs="Times New Roman" w:eastAsia="Times New Roman" w:hAnsi="Times New Roman"/>
          <w:sz w:val="17"/>
          <w:szCs w:val="17"/>
          <w:color w:val="auto"/>
        </w:rPr>
      </w:pPr>
    </w:p>
    <w:p>
      <w:pPr>
        <w:ind w:left="520" w:hanging="260"/>
        <w:spacing w:after="0" w:line="276" w:lineRule="auto"/>
        <w:tabs>
          <w:tab w:leader="none" w:pos="5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8" w:lineRule="exact"/>
        <w:rPr>
          <w:rFonts w:ascii="Times New Roman" w:cs="Times New Roman" w:eastAsia="Times New Roman" w:hAnsi="Times New Roman"/>
          <w:sz w:val="17"/>
          <w:szCs w:val="17"/>
          <w:color w:val="auto"/>
        </w:rPr>
      </w:pPr>
    </w:p>
    <w:p>
      <w:pPr>
        <w:jc w:val="both"/>
        <w:ind w:left="520" w:hanging="260"/>
        <w:spacing w:after="0" w:line="254" w:lineRule="auto"/>
        <w:tabs>
          <w:tab w:leader="none" w:pos="5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including any prior Global RSU Award Grant Notice and Global RSU Award Agreement provided to you evidencing the restricted stock units covered by this RSU Award, with the exception of: (i) other equity awards previously granted to you, (ii) any written employment agreement, offer letter, severance agreement, written severance plan or policy, or other written agreement between the Company and you in each case that specifies the terms that should govern this RSU Award, and (iii) the Company’s Incentive Compensation Recoupment Policy, Clawback Policy,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c>
          <w:tcPr>
            <w:tcW w:w="3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332"/>
        </w:trPr>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1"/>
        </w:trPr>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10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Signature</w:t>
            </w:r>
          </w:p>
        </w:tc>
        <w:tc>
          <w:tcPr>
            <w:tcW w:w="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7"/>
                <w:szCs w:val="17"/>
                <w:color w:val="auto"/>
                <w:w w:val="98"/>
              </w:rPr>
              <w:t>Signature</w:t>
            </w:r>
          </w:p>
        </w:tc>
      </w:tr>
      <w:tr>
        <w:trPr>
          <w:trHeight w:val="258"/>
        </w:trPr>
        <w:tc>
          <w:tcPr>
            <w:tcW w:w="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120" w:type="dxa"/>
            <w:vAlign w:val="bottom"/>
            <w:tcBorders>
              <w:bottom w:val="single" w:sz="8" w:color="auto"/>
            </w:tcBorders>
          </w:tcPr>
          <w:p>
            <w:pPr>
              <w:spacing w:after="0"/>
              <w:rPr>
                <w:sz w:val="22"/>
                <w:szCs w:val="22"/>
                <w:color w:val="auto"/>
              </w:rPr>
            </w:pPr>
          </w:p>
        </w:tc>
        <w:tc>
          <w:tcPr>
            <w:tcW w:w="510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Date:</w:t>
            </w:r>
          </w:p>
        </w:tc>
        <w:tc>
          <w:tcPr>
            <w:tcW w:w="160" w:type="dxa"/>
            <w:vAlign w:val="bottom"/>
            <w:tcBorders>
              <w:bottom w:val="single" w:sz="8" w:color="auto"/>
            </w:tcBorders>
          </w:tcPr>
          <w:p>
            <w:pPr>
              <w:spacing w:after="0"/>
              <w:rPr>
                <w:sz w:val="22"/>
                <w:szCs w:val="22"/>
                <w:color w:val="auto"/>
              </w:rPr>
            </w:pPr>
          </w:p>
        </w:tc>
        <w:tc>
          <w:tcPr>
            <w:tcW w:w="2560" w:type="dxa"/>
            <w:vAlign w:val="bottom"/>
          </w:tcPr>
          <w:p>
            <w:pPr>
              <w:spacing w:after="0"/>
              <w:rPr>
                <w:sz w:val="22"/>
                <w:szCs w:val="22"/>
                <w:color w:val="auto"/>
              </w:rPr>
            </w:pPr>
          </w:p>
        </w:tc>
      </w:tr>
      <w:tr>
        <w:trPr>
          <w:trHeight w:val="266"/>
        </w:trPr>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Date:</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Attachments</w:t>
      </w:r>
      <w:r>
        <w:rPr>
          <w:rFonts w:ascii="Times New Roman" w:cs="Times New Roman" w:eastAsia="Times New Roman" w:hAnsi="Times New Roman"/>
          <w:sz w:val="17"/>
          <w:szCs w:val="17"/>
          <w:color w:val="auto"/>
        </w:rPr>
        <w:t>: Global RSU Award Agreement, 2019 Equity Incentive Plan,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Attachment 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 RSU Award Agreement</w:t>
      </w:r>
    </w:p>
    <w:p>
      <w:pPr>
        <w:spacing w:after="0" w:line="35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As reflected by your Global RSU Award Grant Notice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Zoom Communications,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you a RSU Award under its 2019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for the number of restricted stock units as indicated in your Grant Notice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The terms of your RSU Award as specified in the Global RSU Award Agreement, including any additional terms and conditions for your country included in the appendix attached hereto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and the Grant Notice constitute your “</w:t>
      </w:r>
      <w:r>
        <w:rPr>
          <w:rFonts w:ascii="Times New Roman" w:cs="Times New Roman" w:eastAsia="Times New Roman" w:hAnsi="Times New Roman"/>
          <w:sz w:val="17"/>
          <w:szCs w:val="17"/>
          <w:b w:val="1"/>
          <w:bCs w:val="1"/>
          <w:i w:val="1"/>
          <w:iCs w:val="1"/>
          <w:color w:val="auto"/>
        </w:rPr>
        <w:t>RSU Award Agreement</w:t>
      </w:r>
      <w:r>
        <w:rPr>
          <w:rFonts w:ascii="Times New Roman" w:cs="Times New Roman" w:eastAsia="Times New Roman" w:hAnsi="Times New Roman"/>
          <w:sz w:val="17"/>
          <w:szCs w:val="17"/>
          <w:color w:val="auto"/>
        </w:rPr>
        <w:t>”. Defined terms not explicitly defined in this Agreement but defined in the Grant Notice or the Plan shall have the same definitions as in the Grant Notice or Plan, as applicable.</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terms applicable to your RSU Award are as follows:</w:t>
      </w:r>
    </w:p>
    <w:p>
      <w:pPr>
        <w:spacing w:after="0" w:line="151" w:lineRule="exact"/>
        <w:rPr>
          <w:sz w:val="20"/>
          <w:szCs w:val="20"/>
          <w:color w:val="auto"/>
        </w:rPr>
      </w:pPr>
    </w:p>
    <w:p>
      <w:pPr>
        <w:ind w:left="1020" w:hanging="506"/>
        <w:spacing w:after="0"/>
        <w:tabs>
          <w:tab w:leader="none" w:pos="102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Plan Document. </w:t>
      </w:r>
      <w:r>
        <w:rPr>
          <w:rFonts w:ascii="Times New Roman" w:cs="Times New Roman" w:eastAsia="Times New Roman" w:hAnsi="Times New Roman"/>
          <w:sz w:val="17"/>
          <w:szCs w:val="17"/>
          <w:color w:val="auto"/>
        </w:rPr>
        <w:t>Your RSU Award is subject to all the provisions of the Plan, including but not limited to the provisions in:</w:t>
      </w:r>
    </w:p>
    <w:p>
      <w:pPr>
        <w:spacing w:after="0" w:line="140" w:lineRule="exact"/>
        <w:rPr>
          <w:rFonts w:ascii="Times New Roman" w:cs="Times New Roman" w:eastAsia="Times New Roman" w:hAnsi="Times New Roman"/>
          <w:sz w:val="17"/>
          <w:szCs w:val="17"/>
          <w:b w:val="1"/>
          <w:bCs w:val="1"/>
          <w:color w:val="auto"/>
        </w:rPr>
      </w:pPr>
    </w:p>
    <w:p>
      <w:pPr>
        <w:ind w:left="1520" w:hanging="497"/>
        <w:spacing w:after="0"/>
        <w:tabs>
          <w:tab w:leader="none" w:pos="1520" w:val="left"/>
        </w:tabs>
        <w:numPr>
          <w:ilvl w:val="1"/>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6 of the Plan regarding the impact of a Capitalization Adjustment, dissolution, liquidation, or Corporate Transaction on your RSU</w:t>
      </w:r>
    </w:p>
    <w:p>
      <w:pPr>
        <w:spacing w:after="0"/>
        <w:rPr>
          <w:sz w:val="20"/>
          <w:szCs w:val="20"/>
          <w:color w:val="auto"/>
        </w:rPr>
      </w:pPr>
      <w:r>
        <w:rPr>
          <w:rFonts w:ascii="Times New Roman" w:cs="Times New Roman" w:eastAsia="Times New Roman" w:hAnsi="Times New Roman"/>
          <w:sz w:val="17"/>
          <w:szCs w:val="17"/>
          <w:color w:val="auto"/>
        </w:rPr>
        <w:t>Award,</w:t>
      </w:r>
    </w:p>
    <w:p>
      <w:pPr>
        <w:spacing w:after="0" w:line="126" w:lineRule="exact"/>
        <w:rPr>
          <w:sz w:val="20"/>
          <w:szCs w:val="20"/>
          <w:color w:val="auto"/>
        </w:rPr>
      </w:pPr>
    </w:p>
    <w:p>
      <w:pPr>
        <w:ind w:left="1520" w:hanging="497"/>
        <w:spacing w:after="0"/>
        <w:tabs>
          <w:tab w:leader="none" w:pos="1520" w:val="left"/>
        </w:tabs>
        <w:numPr>
          <w:ilvl w:val="2"/>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9(e) regarding the Company’s or your employer’s retained rights to terminate your Continuous Service notwithstanding the grant of the</w:t>
      </w:r>
    </w:p>
    <w:p>
      <w:pPr>
        <w:spacing w:after="0" w:line="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RSU Award, and</w:t>
      </w:r>
    </w:p>
    <w:p>
      <w:pPr>
        <w:spacing w:after="0" w:line="126" w:lineRule="exact"/>
        <w:rPr>
          <w:rFonts w:ascii="Times New Roman" w:cs="Times New Roman" w:eastAsia="Times New Roman" w:hAnsi="Times New Roman"/>
          <w:sz w:val="16"/>
          <w:szCs w:val="16"/>
          <w:b w:val="1"/>
          <w:bCs w:val="1"/>
          <w:color w:val="auto"/>
        </w:rPr>
      </w:pPr>
    </w:p>
    <w:p>
      <w:pPr>
        <w:ind w:left="1540" w:hanging="517"/>
        <w:spacing w:after="0"/>
        <w:tabs>
          <w:tab w:leader="none" w:pos="1540" w:val="left"/>
        </w:tabs>
        <w:numPr>
          <w:ilvl w:val="2"/>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8(c) regarding the tax consequences of your RSU Award.</w:t>
      </w:r>
    </w:p>
    <w:p>
      <w:pPr>
        <w:spacing w:after="0" w:line="165" w:lineRule="exact"/>
        <w:rPr>
          <w:rFonts w:ascii="Times New Roman" w:cs="Times New Roman" w:eastAsia="Times New Roman" w:hAnsi="Times New Roman"/>
          <w:sz w:val="17"/>
          <w:szCs w:val="17"/>
          <w:b w:val="1"/>
          <w:bCs w:val="1"/>
          <w:color w:val="auto"/>
        </w:rPr>
      </w:pPr>
    </w:p>
    <w:p>
      <w:pPr>
        <w:ind w:firstLine="5"/>
        <w:spacing w:after="0" w:line="276" w:lineRule="auto"/>
        <w:tabs>
          <w:tab w:leader="none" w:pos="50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98" w:lineRule="exact"/>
        <w:rPr>
          <w:rFonts w:ascii="Times New Roman" w:cs="Times New Roman" w:eastAsia="Times New Roman" w:hAnsi="Times New Roman"/>
          <w:sz w:val="17"/>
          <w:szCs w:val="17"/>
          <w:color w:val="auto"/>
        </w:rPr>
      </w:pPr>
    </w:p>
    <w:p>
      <w:pPr>
        <w:jc w:val="both"/>
        <w:ind w:firstLine="514"/>
        <w:spacing w:after="0" w:line="217" w:lineRule="auto"/>
        <w:tabs>
          <w:tab w:leader="none" w:pos="1019" w:val="left"/>
        </w:tabs>
        <w:numPr>
          <w:ilvl w:val="1"/>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Grant of the RSU Award. </w:t>
      </w:r>
      <w:r>
        <w:rPr>
          <w:rFonts w:ascii="Times New Roman" w:cs="Times New Roman" w:eastAsia="Times New Roman" w:hAnsi="Times New Roman"/>
          <w:sz w:val="17"/>
          <w:szCs w:val="17"/>
          <w:color w:val="auto"/>
        </w:rPr>
        <w:t>This RSU Award represents your right to be issued on a future date the number of shares of the Company’s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Your Restricted Stock Units will vest, if at all, in accordance with the vesting schedule provided in the Grant Notice, subject to the provisions contained herein and the terms of the Plan. Vesting will cease upon the termination of your Continuous Service.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both"/>
        <w:ind w:firstLine="514"/>
        <w:spacing w:after="0" w:line="217" w:lineRule="auto"/>
        <w:tabs>
          <w:tab w:leader="none" w:pos="1019" w:val="left"/>
        </w:tabs>
        <w:numPr>
          <w:ilvl w:val="1"/>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w:t>
      </w:r>
      <w:r>
        <w:rPr>
          <w:rFonts w:ascii="Times New Roman" w:cs="Times New Roman" w:eastAsia="Times New Roman" w:hAnsi="Times New Roman"/>
          <w:sz w:val="17"/>
          <w:szCs w:val="17"/>
          <w:color w:val="auto"/>
        </w:rPr>
        <w:t>You may become entitled to receive payments equal to any cash dividends and other distributions paid with respect to a corresponding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 w:cs="Times New Roman" w:eastAsia="Times New Roman" w:hAnsi="Times New Roman"/>
          <w:sz w:val="17"/>
          <w:szCs w:val="17"/>
          <w:b w:val="1"/>
          <w:bCs w:val="1"/>
          <w:i w:val="1"/>
          <w:iCs w:val="1"/>
          <w:color w:val="auto"/>
        </w:rPr>
        <w:t>Dividend Units</w:t>
      </w:r>
      <w:r>
        <w:rPr>
          <w:rFonts w:ascii="Times New Roman" w:cs="Times New Roman" w:eastAsia="Times New Roman" w:hAnsi="Times New Roman"/>
          <w:sz w:val="17"/>
          <w:szCs w:val="17"/>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20"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1"/>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Withholding Obligations.</w:t>
      </w:r>
    </w:p>
    <w:p>
      <w:pPr>
        <w:spacing w:after="0" w:line="148" w:lineRule="exact"/>
        <w:rPr>
          <w:rFonts w:ascii="Times New Roman" w:cs="Times New Roman" w:eastAsia="Times New Roman" w:hAnsi="Times New Roman"/>
          <w:sz w:val="17"/>
          <w:szCs w:val="17"/>
          <w:b w:val="1"/>
          <w:bCs w:val="1"/>
          <w:color w:val="auto"/>
        </w:rPr>
      </w:pPr>
    </w:p>
    <w:p>
      <w:pPr>
        <w:jc w:val="both"/>
        <w:ind w:firstLine="1023"/>
        <w:spacing w:after="0" w:line="215" w:lineRule="auto"/>
        <w:tabs>
          <w:tab w:leader="none" w:pos="1524" w:val="left"/>
        </w:tabs>
        <w:numPr>
          <w:ilvl w:val="2"/>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acknowledge that, regardless of any action taken by the Company, or if different, the Affiliate employing or engaging you (the “</w:t>
      </w:r>
      <w:r>
        <w:rPr>
          <w:rFonts w:ascii="Times New Roman" w:cs="Times New Roman" w:eastAsia="Times New Roman" w:hAnsi="Times New Roman"/>
          <w:sz w:val="17"/>
          <w:szCs w:val="17"/>
          <w:b w:val="1"/>
          <w:bCs w:val="1"/>
          <w:i w:val="1"/>
          <w:iCs w:val="1"/>
          <w:color w:val="auto"/>
        </w:rPr>
        <w:t>Employer</w:t>
      </w:r>
      <w:r>
        <w:rPr>
          <w:rFonts w:ascii="Times New Roman" w:cs="Times New Roman" w:eastAsia="Times New Roman" w:hAnsi="Times New Roman"/>
          <w:sz w:val="17"/>
          <w:szCs w:val="17"/>
          <w:color w:val="auto"/>
        </w:rPr>
        <w:t>”), the ultimate liability for any sums required to satisfy the federal, state, local and/or foreign tax or social insurance withholding obligations, if any, which arise in connection with your RSU Award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is and remains your responsibility and may exceed the amount, if any, actually withheld by the Company or the Employer. You further acknowledge that the Company and/or the Employer (i) make no representations or undertakings regarding the treatment of any Withholding Taxes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Units; and (ii) do not commit to and are under no obligation to reduce or eliminate your liability for Withholding Taxes. Further, if you become subject to taxation in more than one country, you acknowledge that the Company and/or the Employer (or former employer, as applicable) may be required to withhold or account for Withholding Taxes more than one country.</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12" w:lineRule="auto"/>
        <w:tabs>
          <w:tab w:leader="none" w:pos="1523" w:val="left"/>
        </w:tabs>
        <w:numPr>
          <w:ilvl w:val="2"/>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further provided in Section 8 of the Plan, you hereby authorize withholding from payroll and any other amounts payable to you, and otherwise agree to make adequate provision for, Withholding Taxes if any, which arise in connection with your RSU Award in accordance with the withholding procedures established by the Company or if different, the Employer. Additionally, the Company and/or your Employer may, in its sole discretion, satisfy all or any portion of the Withholding Taxes by any of the following means or by a combination of such means: (i) causing you to tender a cash payment (which may be in the form of a check, electronic wire transfer or other method permitted by the Company); (ii) withholding from your wages or any amounts otherwise payable to you;</w:t>
      </w:r>
    </w:p>
    <w:p>
      <w:pPr>
        <w:spacing w:after="0" w:line="3" w:lineRule="exact"/>
        <w:rPr>
          <w:rFonts w:ascii="Times New Roman" w:cs="Times New Roman" w:eastAsia="Times New Roman" w:hAnsi="Times New Roman"/>
          <w:sz w:val="17"/>
          <w:szCs w:val="17"/>
          <w:b w:val="1"/>
          <w:bCs w:val="1"/>
          <w:color w:val="auto"/>
        </w:rPr>
      </w:pPr>
    </w:p>
    <w:p>
      <w:pPr>
        <w:jc w:val="both"/>
        <w:ind w:firstLine="5"/>
        <w:spacing w:after="0" w:line="213" w:lineRule="auto"/>
        <w:tabs>
          <w:tab w:leader="none" w:pos="29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 whereby you irrevocably elect to sell a portion of the shares to be issued in connection with your RSU Award to satisfy the Withholding Taxes and all applicable fees and commissions due to or required to be collected by the FINRA Dealer and whereby the FINRA Dealer irrevocably commits to forward the proceeds necessary to satisfy the Withholding Taxes directly to the Company and/or its Affiliates, including a commitment pursuant to a mandatory policy of the Company and/or your Employer or previously established Company-approved 10b5-1 plan (a “</w:t>
      </w:r>
      <w:r>
        <w:rPr>
          <w:rFonts w:ascii="Times New Roman" w:cs="Times New Roman" w:eastAsia="Times New Roman" w:hAnsi="Times New Roman"/>
          <w:sz w:val="17"/>
          <w:szCs w:val="17"/>
          <w:b w:val="1"/>
          <w:bCs w:val="1"/>
          <w:i w:val="1"/>
          <w:iCs w:val="1"/>
          <w:color w:val="auto"/>
        </w:rPr>
        <w:t>Sell to Cover</w:t>
      </w:r>
      <w:r>
        <w:rPr>
          <w:rFonts w:ascii="Times New Roman" w:cs="Times New Roman" w:eastAsia="Times New Roman" w:hAnsi="Times New Roman"/>
          <w:sz w:val="17"/>
          <w:szCs w:val="17"/>
          <w:color w:val="auto"/>
        </w:rPr>
        <w:t>” arrangement); or (iv) withholding shares of Common Stock from the shares of Common Stock issued or otherwise issuable to you upon settlement of the RSU Award with a value equal to the amount of such Withholding Taxes or such other amount as may be permitted while still avoiding classification of the RSU Award as a liability for financial accounting purposes, and to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extent necessary to qualify for an exemption from application of Section 16(b) of the Exchange Act, if applicable, such share withholding procedure will be subject to the express prior approval of the Company’s Board or Compensation Committee; and/or (v) any other method of withholding determined by the Company, provided such method is compliant with applicable law and the Plan.</w:t>
      </w:r>
    </w:p>
    <w:p>
      <w:pPr>
        <w:spacing w:after="0" w:line="122" w:lineRule="exact"/>
        <w:rPr>
          <w:sz w:val="20"/>
          <w:szCs w:val="20"/>
          <w:color w:val="auto"/>
        </w:rPr>
      </w:pPr>
    </w:p>
    <w:p>
      <w:pPr>
        <w:jc w:val="both"/>
        <w:ind w:firstLine="1023"/>
        <w:spacing w:after="0" w:line="215" w:lineRule="auto"/>
        <w:tabs>
          <w:tab w:leader="none" w:pos="1525" w:val="left"/>
        </w:tabs>
        <w:numPr>
          <w:ilvl w:val="1"/>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withhold or account for Withholding Taxes by considering statutory or other withholding rates, including maximum rates applicable in your jurisdiction(s). Maximum tax rates are based on the applicable rates in your jurisdiction, including your share of payroll or similar taxes, as provided in tax law, regulations, or the tax authority’s administrative practices, not to exceed the highest rate in that jurisdiction, even if that rate exceeds the highest rate that may be applicable to you. If any Withholding Taxes are satisfied by withholding a number of shares of Common Stock, for tax purposes, you will be deemed to have been issued the full number of shares of Common Stock subject to the vested Restricted Stock Units, notwithstanding that a number of the shares of Common Stock is held back solely for the purpose of paying the Withholding Taxes. If the maximum rate is used, any over-withheld amount may be refunded to you in cash by the Company or Employer (with no entitlement to the equivalent in shares of Common Stock), or if not refunded, you may seek a refund from the local tax authorities. You must pay to the Company and/or the Employer any amount of Withholding Taxes that the Company and/or the Employer may be required to withhold or account for as a result of your participation in the Plan that cannot be satisfied by the means previously described.</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3" w:lineRule="auto"/>
        <w:tabs>
          <w:tab w:leader="none" w:pos="1523" w:val="left"/>
        </w:tabs>
        <w:numPr>
          <w:ilvl w:val="1"/>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the Withholding Taxes are satisfied, the Company will have no obligation to issue to you any shares of Common Stock in respect of your RSU Award. In the event the Withholding Taxes arise prior to the issuance to you of any shares of Common Stock or it is determined after the delivery of Common Stock that the amount of the Withholding Taxes was greater than the amount withheld by the Company (or your Employer), you agree to indemnify and hold the Company (and your Employer) harmless from any failure by the Company or your Employer to withhold the proper amount.</w:t>
      </w:r>
    </w:p>
    <w:p>
      <w:pPr>
        <w:spacing w:after="0" w:line="118"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Date of Issuance.</w:t>
      </w:r>
    </w:p>
    <w:p>
      <w:pPr>
        <w:spacing w:after="0" w:line="148" w:lineRule="exact"/>
        <w:rPr>
          <w:rFonts w:ascii="Times New Roman" w:cs="Times New Roman" w:eastAsia="Times New Roman" w:hAnsi="Times New Roman"/>
          <w:sz w:val="17"/>
          <w:szCs w:val="17"/>
          <w:b w:val="1"/>
          <w:bCs w:val="1"/>
          <w:color w:val="auto"/>
        </w:rPr>
      </w:pPr>
    </w:p>
    <w:p>
      <w:pPr>
        <w:jc w:val="both"/>
        <w:ind w:firstLine="1023"/>
        <w:spacing w:after="0" w:line="223" w:lineRule="auto"/>
        <w:tabs>
          <w:tab w:leader="none" w:pos="1524" w:val="left"/>
        </w:tabs>
        <w:numPr>
          <w:ilvl w:val="1"/>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issuance of shares in respect of the Restricted Stock Units is intended to comply with Treasury Regulations Section 1.409A-1(b)(4) and will be construed and administered in such a manner. Subject to the satisfaction of the Withholding Taxes, if any, in the event one or more Restricted Stock Units vests, the Company shall issue to you one (1) share of Common Stock for each Restricted Stock Unit that vests on the applicable vesting date(s). Each issuance date determined by this paragraph is referred to as an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3" w:val="left"/>
        </w:tabs>
        <w:numPr>
          <w:ilvl w:val="1"/>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or to the extent not administratively feasible, as soon as practicable thereafter but in no event later than the Issuance Deadline (defined below). In addition, if:</w:t>
      </w:r>
    </w:p>
    <w:p>
      <w:pPr>
        <w:spacing w:after="0" w:line="121" w:lineRule="exact"/>
        <w:rPr>
          <w:rFonts w:ascii="Times New Roman" w:cs="Times New Roman" w:eastAsia="Times New Roman" w:hAnsi="Times New Roman"/>
          <w:sz w:val="17"/>
          <w:szCs w:val="17"/>
          <w:b w:val="1"/>
          <w:bCs w:val="1"/>
          <w:color w:val="auto"/>
        </w:rPr>
      </w:pPr>
    </w:p>
    <w:p>
      <w:pPr>
        <w:jc w:val="both"/>
        <w:ind w:firstLine="1533"/>
        <w:spacing w:after="0" w:line="223" w:lineRule="auto"/>
        <w:tabs>
          <w:tab w:leader="none" w:pos="2028" w:val="left"/>
        </w:tabs>
        <w:numPr>
          <w:ilvl w:val="2"/>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xml:space="preserve">) or under such other policy expressly approved by the Company), </w:t>
      </w:r>
      <w:r>
        <w:rPr>
          <w:rFonts w:ascii="Times New Roman" w:cs="Times New Roman" w:eastAsia="Times New Roman" w:hAnsi="Times New Roman"/>
          <w:sz w:val="17"/>
          <w:szCs w:val="17"/>
          <w:i w:val="1"/>
          <w:iCs w:val="1"/>
          <w:color w:val="auto"/>
        </w:rPr>
        <w:t>and</w:t>
      </w:r>
    </w:p>
    <w:p>
      <w:pPr>
        <w:spacing w:after="0" w:line="148" w:lineRule="exact"/>
        <w:rPr>
          <w:sz w:val="20"/>
          <w:szCs w:val="20"/>
          <w:color w:val="auto"/>
        </w:rPr>
      </w:pPr>
    </w:p>
    <w:p>
      <w:pPr>
        <w:jc w:val="both"/>
        <w:ind w:firstLine="1533"/>
        <w:spacing w:after="0" w:line="223" w:lineRule="auto"/>
        <w:tabs>
          <w:tab w:leader="none" w:pos="2032" w:val="left"/>
        </w:tabs>
        <w:numPr>
          <w:ilvl w:val="2"/>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Withholding Tax applies and the Company decides, prior to the Original Issuance Date, (A) not to satisfy the Withholding Taxes by withholding shares of Common Stock from the shares otherwise due, on the Original Issuance Date, to you under this RSU Award, and (B) not to permit you to enter into a “same day sale” commitment with a broker-dealer (including but not limited to a commitment under a 10b5-1 Arrangement) and (C) not to permit you to pay your Withholding Taxes in cash or by withholding from other compensation due to you,</w:t>
      </w:r>
    </w:p>
    <w:p>
      <w:pPr>
        <w:spacing w:after="0" w:line="143" w:lineRule="exact"/>
        <w:rPr>
          <w:rFonts w:ascii="Times New Roman" w:cs="Times New Roman" w:eastAsia="Times New Roman" w:hAnsi="Times New Roman"/>
          <w:sz w:val="17"/>
          <w:szCs w:val="17"/>
          <w:b w:val="1"/>
          <w:bCs w:val="1"/>
          <w:color w:val="auto"/>
        </w:rPr>
      </w:pPr>
    </w:p>
    <w:p>
      <w:pPr>
        <w:jc w:val="both"/>
        <w:ind w:firstLine="5"/>
        <w:spacing w:after="0" w:line="256" w:lineRule="auto"/>
        <w:tabs>
          <w:tab w:leader="none" w:pos="50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then</w:t>
      </w:r>
      <w:r>
        <w:rPr>
          <w:rFonts w:ascii="Times New Roman" w:cs="Times New Roman" w:eastAsia="Times New Roman" w:hAnsi="Times New Roman"/>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the Issuance Deadline. The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xml:space="preserve">” means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7"/>
          <w:szCs w:val="17"/>
          <w:u w:val="single" w:color="auto"/>
          <w:color w:val="auto"/>
        </w:rPr>
        <w:t>if and only if</w:t>
      </w:r>
      <w:r>
        <w:rPr>
          <w:rFonts w:ascii="Times New Roman" w:cs="Times New Roman" w:eastAsia="Times New Roman" w:hAnsi="Times New Roman"/>
          <w:sz w:val="17"/>
          <w:szCs w:val="17"/>
          <w:color w:val="auto"/>
        </w:rPr>
        <w:t xml:space="preserve"> permitted in a manner that complies with Treasury Regulations Section 1.409A-1(b)</w:t>
      </w: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no later than the date that is (i) the 15th day of the third month following the end of the calendar year in which the shares of Common Stock under the RSU Award are no longer subject to a “substantial risk of forfeiture” within the meaning of Treasury Regulations Section 1.409A-1(d) or (ii) the 15th day of the third month following the end of the Company’s fiscal year in which the shares of Common Stock under the RSU Award are no longer subject to a “substantial risk of forfeiture” within the meaning of Treasury Regulations Section 1.409A-1(d).</w:t>
      </w:r>
    </w:p>
    <w:p>
      <w:pPr>
        <w:spacing w:after="0" w:line="136"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RSU Award is a Non-Exempt Award, the provisions of Section 11 of the Plan shall apply.</w:t>
      </w:r>
    </w:p>
    <w:p>
      <w:pPr>
        <w:spacing w:after="0" w:line="144" w:lineRule="exact"/>
        <w:rPr>
          <w:rFonts w:ascii="Times New Roman" w:cs="Times New Roman" w:eastAsia="Times New Roman" w:hAnsi="Times New Roman"/>
          <w:sz w:val="17"/>
          <w:szCs w:val="17"/>
          <w:b w:val="1"/>
          <w:bCs w:val="1"/>
          <w:color w:val="auto"/>
        </w:rPr>
      </w:pPr>
    </w:p>
    <w:p>
      <w:pPr>
        <w:jc w:val="both"/>
        <w:ind w:firstLine="1023"/>
        <w:spacing w:after="0" w:line="214" w:lineRule="auto"/>
        <w:tabs>
          <w:tab w:leader="none" w:pos="1523"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addition and notwithstanding the foregoing, no shares of Common Stock issuable to you under this Section 5 as a result of the vesting of one or more Restricted Stock Units will be delivered to you prior to any filings that may be required pursuant to the Hart-Scott-Rodino (“</w:t>
      </w:r>
      <w:r>
        <w:rPr>
          <w:rFonts w:ascii="Times New Roman" w:cs="Times New Roman" w:eastAsia="Times New Roman" w:hAnsi="Times New Roman"/>
          <w:sz w:val="17"/>
          <w:szCs w:val="17"/>
          <w:b w:val="1"/>
          <w:bCs w:val="1"/>
          <w:i w:val="1"/>
          <w:iCs w:val="1"/>
          <w:color w:val="auto"/>
        </w:rPr>
        <w:t>HSR</w:t>
      </w:r>
      <w:r>
        <w:rPr>
          <w:rFonts w:ascii="Times New Roman" w:cs="Times New Roman" w:eastAsia="Times New Roman" w:hAnsi="Times New Roman"/>
          <w:sz w:val="17"/>
          <w:szCs w:val="17"/>
          <w:color w:val="auto"/>
        </w:rPr>
        <w:t>”) Act in connection with the issuance of such shares have been filed and any required waiting period under the HSR Act has expired or been terminated (any such filings and/or waiting period required pursuant to HSR, the “</w:t>
      </w:r>
      <w:r>
        <w:rPr>
          <w:rFonts w:ascii="Times New Roman" w:cs="Times New Roman" w:eastAsia="Times New Roman" w:hAnsi="Times New Roman"/>
          <w:sz w:val="17"/>
          <w:szCs w:val="17"/>
          <w:b w:val="1"/>
          <w:bCs w:val="1"/>
          <w:i w:val="1"/>
          <w:iCs w:val="1"/>
          <w:color w:val="auto"/>
        </w:rPr>
        <w:t>HSR Requirements</w:t>
      </w:r>
      <w:r>
        <w:rPr>
          <w:rFonts w:ascii="Times New Roman" w:cs="Times New Roman" w:eastAsia="Times New Roman" w:hAnsi="Times New Roman"/>
          <w:sz w:val="17"/>
          <w:szCs w:val="17"/>
          <w:color w:val="auto"/>
        </w:rPr>
        <w:t>”). If the HSR Requirements apply to the issuance of any shares of Common Stock issuable to you under this Section 5 upon vesting of one or more Restricted Stock Units, such shares of Common Stock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 in accordance with the Company’s then-effective policy on trading in Company securities. Notwithstanding the foregoing, the issuance date for any shares of Common Stock delayed under this Section 5(d)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of the Code or other Applicable Law.</w:t>
      </w:r>
    </w:p>
    <w:p>
      <w:pPr>
        <w:spacing w:after="0" w:line="120" w:lineRule="exact"/>
        <w:rPr>
          <w:rFonts w:ascii="Times New Roman" w:cs="Times New Roman" w:eastAsia="Times New Roman" w:hAnsi="Times New Roman"/>
          <w:sz w:val="17"/>
          <w:szCs w:val="17"/>
          <w:b w:val="1"/>
          <w:bCs w:val="1"/>
          <w:color w:val="auto"/>
        </w:rPr>
      </w:pPr>
    </w:p>
    <w:p>
      <w:pPr>
        <w:ind w:left="1540" w:hanging="517"/>
        <w:spacing w:after="0"/>
        <w:tabs>
          <w:tab w:leader="none" w:pos="1540"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form of delivery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 stock certificate or electronic entry evidencing such shares) shall be determined by the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ind w:left="1020" w:hanging="506"/>
        <w:spacing w:after="0"/>
        <w:tabs>
          <w:tab w:leader="none" w:pos="102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Grant. </w:t>
      </w:r>
      <w:r>
        <w:rPr>
          <w:rFonts w:ascii="Times New Roman" w:cs="Times New Roman" w:eastAsia="Times New Roman" w:hAnsi="Times New Roman"/>
          <w:sz w:val="17"/>
          <w:szCs w:val="17"/>
          <w:color w:val="auto"/>
        </w:rPr>
        <w:t>In accepting the RSU Award, you acknowledge, understand and agree that:</w:t>
      </w:r>
    </w:p>
    <w:p>
      <w:pPr>
        <w:spacing w:after="0" w:line="148"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4"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Plan is established voluntarily by the Company, it is discretionary in nature, and may be amended, suspended or terminated by the Company at any time, to the extent permitted by the Plan;</w:t>
      </w:r>
    </w:p>
    <w:p>
      <w:pPr>
        <w:spacing w:after="0" w:line="121"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3"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grant of the RSU Award is exceptional, voluntary and occasional and does not create any contractual or other right to receive future grants of RSUs, other equity awards or benefits in lieu of equity awards, even if equity awards have been granted in the past;</w:t>
      </w:r>
    </w:p>
    <w:p>
      <w:pPr>
        <w:spacing w:after="0" w:line="121" w:lineRule="exact"/>
        <w:rPr>
          <w:rFonts w:ascii="Times New Roman" w:cs="Times New Roman" w:eastAsia="Times New Roman" w:hAnsi="Times New Roman"/>
          <w:sz w:val="17"/>
          <w:szCs w:val="17"/>
          <w:b w:val="1"/>
          <w:bCs w:val="1"/>
          <w:color w:val="auto"/>
        </w:rPr>
      </w:pPr>
    </w:p>
    <w:p>
      <w:pPr>
        <w:ind w:left="1540" w:hanging="517"/>
        <w:spacing w:after="0"/>
        <w:tabs>
          <w:tab w:leader="none" w:pos="1540"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decisions with respect to future RSU Awards or other grants, if any, will be at the sole discretion of the Company;</w:t>
      </w:r>
    </w:p>
    <w:p>
      <w:pPr>
        <w:spacing w:after="0" w:line="144"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3"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RSU Award grant and your participation in the Plan shall not create a right to employment or be interpreted as forming or amending an employment or service contract with the Company, the Employer or any Affiliate;</w:t>
      </w:r>
    </w:p>
    <w:p>
      <w:pPr>
        <w:spacing w:after="0" w:line="121" w:lineRule="exact"/>
        <w:rPr>
          <w:rFonts w:ascii="Times New Roman" w:cs="Times New Roman" w:eastAsia="Times New Roman" w:hAnsi="Times New Roman"/>
          <w:sz w:val="17"/>
          <w:szCs w:val="17"/>
          <w:b w:val="1"/>
          <w:bCs w:val="1"/>
          <w:color w:val="auto"/>
        </w:rPr>
      </w:pPr>
    </w:p>
    <w:p>
      <w:pPr>
        <w:ind w:left="1540" w:hanging="517"/>
        <w:spacing w:after="0"/>
        <w:tabs>
          <w:tab w:leader="none" w:pos="1540"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are voluntarily participating in the Plan;</w:t>
      </w:r>
    </w:p>
    <w:p>
      <w:pPr>
        <w:spacing w:after="0" w:line="144"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8"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RSU Award and any shares of Common Stock acquired under the Plan, and the income from and value of same, are not intended to replace any pension rights or compensation;</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24"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RSU Award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14" w:lineRule="exact"/>
        <w:rPr>
          <w:rFonts w:ascii="Times New Roman" w:cs="Times New Roman" w:eastAsia="Times New Roman" w:hAnsi="Times New Roman"/>
          <w:sz w:val="17"/>
          <w:szCs w:val="17"/>
          <w:b w:val="1"/>
          <w:bCs w:val="1"/>
          <w:color w:val="auto"/>
        </w:rPr>
      </w:pPr>
    </w:p>
    <w:p>
      <w:pPr>
        <w:ind w:left="1520" w:hanging="497"/>
        <w:spacing w:after="0"/>
        <w:tabs>
          <w:tab w:leader="none" w:pos="1520"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future value of the shares of Common Stock underlying the RSU Award is unknown, indeterminable, and cannot be predicted with</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certainty;</w:t>
      </w:r>
    </w:p>
    <w:p>
      <w:pPr>
        <w:spacing w:after="0" w:line="126"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18"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RSU Award vests and you are issued shares of Common Stock, the value of such shares of Common Stock may increase or decrease in value following the date the shares are issued; even below the Fair Market Value on the date the RSU Award is granted to you;</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17" w:lineRule="auto"/>
        <w:tabs>
          <w:tab w:leader="none" w:pos="1528"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the RSU Award,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RSU Award under the Plan, if any, will terminate as of such date and will not be extended by any notice period or any period of “garden leave” or similar period mandated under employment laws in the jurisdiction where you are employed or the terms of your employment agreement, if any); and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023"/>
        <w:spacing w:after="0" w:line="228" w:lineRule="auto"/>
        <w:tabs>
          <w:tab w:leader="none" w:pos="1523"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claim or entitlement to compensation or damages shall arise from forfeiture of the RSU Award resulting from your termination of Continuous Service (for any reason whatsoever, whether or not later found to be invalid or in breach of employment laws in the jurisdiction where you are employed, or the terms of your employment agreement, if any);</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18"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agreed with the Company in writing, the RSU Award and any shares of Common Stock acquired under the Plan, and the income from and value of same, are not granted as consideration for, or in connection with, any service you may provide as a director of the Company or any Affiliate; and</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28"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neither the Company, the Employer or any Affiliate shall be liable for any foreign exchange rate fluctuation between your local currency and the United States Dollar that may affect the value of the RSU Award or the subsequent sale of any shares of Common Stock acquired upon settlement of the RSU Award.</w:t>
      </w:r>
    </w:p>
    <w:p>
      <w:pPr>
        <w:spacing w:after="0" w:line="117"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Transferability. </w:t>
      </w:r>
      <w:r>
        <w:rPr>
          <w:rFonts w:ascii="Times New Roman" w:cs="Times New Roman" w:eastAsia="Times New Roman" w:hAnsi="Times New Roman"/>
          <w:sz w:val="17"/>
          <w:szCs w:val="17"/>
          <w:color w:val="auto"/>
        </w:rPr>
        <w:t>Except as otherwise provided in the Plan, your RSU Award is not transferable, except by will or by the applicable laws of descent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distribution.</w:t>
      </w:r>
    </w:p>
    <w:p>
      <w:pPr>
        <w:spacing w:after="0" w:line="115"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Corporate Transaction. </w:t>
      </w:r>
      <w:r>
        <w:rPr>
          <w:rFonts w:ascii="Times New Roman" w:cs="Times New Roman" w:eastAsia="Times New Roman" w:hAnsi="Times New Roman"/>
          <w:sz w:val="17"/>
          <w:szCs w:val="17"/>
          <w:color w:val="auto"/>
        </w:rPr>
        <w:t>Your RSU Award is subject to the terms of any agreement governing a Corporate Transaction involving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without limitation, a provision for the appointment of a stockholder representative that is authorized to act on your behalf with respect to any escrow, indemnities and any contingent consideration.</w:t>
      </w:r>
    </w:p>
    <w:p>
      <w:pPr>
        <w:spacing w:after="0" w:line="117" w:lineRule="exact"/>
        <w:rPr>
          <w:rFonts w:ascii="Times New Roman" w:cs="Times New Roman" w:eastAsia="Times New Roman" w:hAnsi="Times New Roman"/>
          <w:sz w:val="17"/>
          <w:szCs w:val="17"/>
          <w:b w:val="1"/>
          <w:bCs w:val="1"/>
          <w:color w:val="auto"/>
        </w:rPr>
      </w:pPr>
    </w:p>
    <w:p>
      <w:pPr>
        <w:jc w:val="both"/>
        <w:ind w:firstLine="514"/>
        <w:spacing w:after="0" w:line="224" w:lineRule="auto"/>
        <w:tabs>
          <w:tab w:leader="none" w:pos="1019"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Liability for Taxes</w:t>
      </w:r>
      <w:r>
        <w:rPr>
          <w:rFonts w:ascii="Times New Roman" w:cs="Times New Roman" w:eastAsia="Times New Roman" w:hAnsi="Times New Roman"/>
          <w:sz w:val="17"/>
          <w:szCs w:val="17"/>
          <w:color w:val="auto"/>
        </w:rPr>
        <w:t>. As a condition to accepting the RSU Award, you hereby (a) agree to not make any claim against the Company, or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17" w:lineRule="auto"/>
        <w:tabs>
          <w:tab w:leader="none" w:pos="1019"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Clawback/Recovery. </w:t>
      </w:r>
      <w:r>
        <w:rPr>
          <w:rFonts w:ascii="Times New Roman" w:cs="Times New Roman" w:eastAsia="Times New Roman" w:hAnsi="Times New Roman"/>
          <w:sz w:val="17"/>
          <w:szCs w:val="17"/>
          <w:color w:val="auto"/>
        </w:rPr>
        <w:t>Your RSU Award and any shares issued in settlement of your RSU Award will be subject to recoupment in accordance with: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Company’s Incentive Compensation Recoupment Policy, (ii) the Company’s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(iii) any clawback policy that the Company otherwise adopts, in each case to the extent applicable and permissible under Applicable Law. No recovery of compensation under such a clawback policy will be an event giving rise to your right to voluntary terminate employment upon a “resignation for good reason,” or for a “constructive termination” or any similar term under any plan of or agreement with the Company.</w:t>
      </w:r>
    </w:p>
    <w:p>
      <w:pPr>
        <w:spacing w:after="0" w:line="120" w:lineRule="exact"/>
        <w:rPr>
          <w:rFonts w:ascii="Times New Roman" w:cs="Times New Roman" w:eastAsia="Times New Roman" w:hAnsi="Times New Roman"/>
          <w:sz w:val="17"/>
          <w:szCs w:val="17"/>
          <w:b w:val="1"/>
          <w:bCs w:val="1"/>
          <w:color w:val="auto"/>
        </w:rPr>
      </w:pPr>
    </w:p>
    <w:p>
      <w:pPr>
        <w:jc w:val="both"/>
        <w:ind w:firstLine="514"/>
        <w:spacing w:after="0" w:line="224" w:lineRule="auto"/>
        <w:tabs>
          <w:tab w:leader="none" w:pos="1009"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part of this Agreement or the Plan is declared by any court or governmental authority to be unlawful or invalid, such unlawfulness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18"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Waiver. </w:t>
      </w:r>
      <w:r>
        <w:rPr>
          <w:rFonts w:ascii="Times New Roman" w:cs="Times New Roman" w:eastAsia="Times New Roman" w:hAnsi="Times New Roman"/>
          <w:sz w:val="17"/>
          <w:szCs w:val="17"/>
          <w:color w:val="auto"/>
        </w:rPr>
        <w:t>You acknowledge that a waiver by the Company of a breach of any provision of this Agreement shall not operate or be construed as a waiver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any other provision of this Agreement, or of any subsequent breach of this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both"/>
        <w:ind w:firstLine="514"/>
        <w:spacing w:after="0" w:line="230" w:lineRule="auto"/>
        <w:tabs>
          <w:tab w:leader="none" w:pos="1019"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Advice Regarding Grant. </w:t>
      </w:r>
      <w:r>
        <w:rPr>
          <w:rFonts w:ascii="Times New Roman" w:cs="Times New Roman" w:eastAsia="Times New Roman" w:hAnsi="Times New Roman"/>
          <w:sz w:val="17"/>
          <w:szCs w:val="17"/>
          <w:color w:val="auto"/>
        </w:rPr>
        <w:t>The Company is not providing any tax, legal or financial advice, nor is the Company making any recommendations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117" w:lineRule="exact"/>
        <w:rPr>
          <w:rFonts w:ascii="Times New Roman" w:cs="Times New Roman" w:eastAsia="Times New Roman" w:hAnsi="Times New Roman"/>
          <w:sz w:val="17"/>
          <w:szCs w:val="17"/>
          <w:b w:val="1"/>
          <w:bCs w:val="1"/>
          <w:color w:val="auto"/>
        </w:rPr>
      </w:pPr>
    </w:p>
    <w:p>
      <w:pPr>
        <w:jc w:val="both"/>
        <w:ind w:firstLine="514"/>
        <w:spacing w:after="0" w:line="224" w:lineRule="auto"/>
        <w:tabs>
          <w:tab w:leader="none" w:pos="1019"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DATA PRIVACY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By signing the Grant Notice or otherwise accepting this Agreement in accordance with the Company’s acceptance procedures, you declare that you agree with the data processing practices described herein and consent to the collection, processing and use of your Personal Data (as defined below) by the Company and the transfer of your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24" w:lineRule="auto"/>
        <w:tabs>
          <w:tab w:leader="none" w:pos="1524"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Declaration of Consent</w:t>
      </w:r>
      <w:r>
        <w:rPr>
          <w:rFonts w:ascii="Times New Roman" w:cs="Times New Roman" w:eastAsia="Times New Roman" w:hAnsi="Times New Roman"/>
          <w:sz w:val="17"/>
          <w:szCs w:val="17"/>
          <w:b w:val="1"/>
          <w:bCs w:val="1"/>
          <w:i w:val="1"/>
          <w:iCs w:val="1"/>
          <w:color w:val="auto"/>
        </w:rPr>
        <w:t>. You understand that you need to review the following information about the processing of your personal data by or on behalf of the Company, the Employer and/or any Affiliate, as described herein, and any other RSU Award materials (the “Personal Data”) and declare your consent. With regard to the processing of your Personal Data in connection with the Plan, you understand that the Company is the controller of the Personal Data.</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19" w:lineRule="auto"/>
        <w:tabs>
          <w:tab w:leader="none" w:pos="1523"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Data Processing and Legal Basis</w:t>
      </w:r>
      <w:r>
        <w:rPr>
          <w:rFonts w:ascii="Times New Roman" w:cs="Times New Roman" w:eastAsia="Times New Roman" w:hAnsi="Times New Roman"/>
          <w:sz w:val="17"/>
          <w:szCs w:val="17"/>
          <w:b w:val="1"/>
          <w:bCs w:val="1"/>
          <w:i w:val="1"/>
          <w:iCs w:val="1"/>
          <w:color w:val="auto"/>
        </w:rPr>
        <w:t>. The Company collects, uses and otherwise processes your Personal Data for the purposes of allocating shares of Common Stock and implementing, administering and managing the Plan. You understand that this Personal Data may include, without limitation, your name, home address and telephone number, email address, date of birth, social insurance number, passport number or other identification number (e.g., resident registration number), salary, nationality, job title, any shares of Common Stock or directorships held in the Company or its Subsidiaries, details of all RSU Awards or any other entitlement to shares of Common Stock or equivalent benefits awarded, canceled, exercised, vested, unvested or outstanding in your favor. The legal basis for the processing of your Personal Data will be your consent.</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19" w:lineRule="auto"/>
        <w:tabs>
          <w:tab w:leader="none" w:pos="1525"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Stock Plan Administration Service Providers</w:t>
      </w:r>
      <w:r>
        <w:rPr>
          <w:rFonts w:ascii="Times New Roman" w:cs="Times New Roman" w:eastAsia="Times New Roman" w:hAnsi="Times New Roman"/>
          <w:sz w:val="17"/>
          <w:szCs w:val="17"/>
          <w:b w:val="1"/>
          <w:bCs w:val="1"/>
          <w:i w:val="1"/>
          <w:iCs w:val="1"/>
          <w:color w:val="auto"/>
        </w:rPr>
        <w:t>. You understand that the Company may transfer your Personal Data, or parts thereof, to E*Trade Financial Corporate Services, Inc. (and its affiliated companies), an independent service provider based in the United States which assists the Company with the implementation, administration and management of the Plan. In the future, the Company may select a different service provider and share your Personal Data with such different service provider that serves the Company in a similar manner. You understand and acknowledge that the Company’s service provider may open an account for you to receive and trade shares of Common Stock acquired under the Plan and that you will be asked to agree on separate terms and data processing practices with the service provider, which is a condition of your ability to participate in the Plan.</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19" w:lineRule="auto"/>
        <w:tabs>
          <w:tab w:leader="none" w:pos="1523"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International Data Transfers.</w:t>
      </w:r>
      <w:r>
        <w:rPr>
          <w:rFonts w:ascii="Times New Roman" w:cs="Times New Roman" w:eastAsia="Times New Roman" w:hAnsi="Times New Roman"/>
          <w:sz w:val="17"/>
          <w:szCs w:val="17"/>
          <w:b w:val="1"/>
          <w:bCs w:val="1"/>
          <w:i w:val="1"/>
          <w:iCs w:val="1"/>
          <w:color w:val="auto"/>
        </w:rPr>
        <w:t xml:space="preserve"> You understand that the Company and, as of the date hereof, any third parties assisting in the implementation, administration and management of the Plan, such as the Company’s service providers, are based in the United States. If you are located outside the United States, you understand and acknowledge that your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Standard Contractual Clauses approved by the European Commission or other appropriate safeguards permissible under the Applicable Law. If you are located in the EU or EEA, the Company may receive, process and transfer your Personal Data onward to third-party service providers solely on the basis of appropriate data transfer agreements or other appropriate safeguards permissible under Applicable Law. If applicable, you understand that you can ask for a copy of the appropriate data processing agreements underlying the transfer of your Personal Data by contacting your local human resources representative. The Company’s legal basis for the transfer of your Personal Data is your consent.</w:t>
      </w:r>
    </w:p>
    <w:p>
      <w:pPr>
        <w:spacing w:after="0" w:line="119" w:lineRule="exact"/>
        <w:rPr>
          <w:sz w:val="20"/>
          <w:szCs w:val="20"/>
          <w:color w:val="auto"/>
        </w:rPr>
      </w:pPr>
    </w:p>
    <w:p>
      <w:pPr>
        <w:jc w:val="both"/>
        <w:ind w:firstLine="1023"/>
        <w:spacing w:after="0" w:line="221" w:lineRule="auto"/>
        <w:tabs>
          <w:tab w:leader="none" w:pos="1525"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Data Retention.</w:t>
      </w:r>
      <w:r>
        <w:rPr>
          <w:rFonts w:ascii="Times New Roman" w:cs="Times New Roman" w:eastAsia="Times New Roman" w:hAnsi="Times New Roman"/>
          <w:sz w:val="17"/>
          <w:szCs w:val="17"/>
          <w:b w:val="1"/>
          <w:bCs w:val="1"/>
          <w:i w:val="1"/>
          <w:iCs w:val="1"/>
          <w:color w:val="auto"/>
        </w:rPr>
        <w:t xml:space="preserve"> You understand that the Company will use your Personal Data only as long as is necessary to implement, administer and manage your participation in the Plan, or to comply with legal or regulatory obligations, including under tax and securities laws. In the latter case, you understand and acknowledge that the Company’s legal basis for the processing of your Personal Data would be compliance with Applicable Law or the pursuit by the Company of respective legitimate interests not outweighed by your interests, rights or freedoms. When the Company no longer needs your Personal Data for any of the above purposes, you understand the Company will remove it from its systems.</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21" w:lineRule="auto"/>
        <w:tabs>
          <w:tab w:leader="none" w:pos="1528"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Voluntariness and Consequences of Denial/Withdrawal of Consent</w:t>
      </w:r>
      <w:r>
        <w:rPr>
          <w:rFonts w:ascii="Times New Roman" w:cs="Times New Roman" w:eastAsia="Times New Roman" w:hAnsi="Times New Roman"/>
          <w:sz w:val="17"/>
          <w:szCs w:val="17"/>
          <w:b w:val="1"/>
          <w:bCs w:val="1"/>
          <w:i w:val="1"/>
          <w:iCs w:val="1"/>
          <w:color w:val="auto"/>
        </w:rPr>
        <w:t>. You understand that your participation in the Plan and your grant of consent is purely voluntary. You may deny or later withdraw your consent at any time, with future effect and for any or no reason. If you deny or later withdraw your consent, the Company can no longer offer you participation in the Plan or offer other awards to you or administer or maintain such awards and you would no longer be able to participate in the Plan. You further understand that denial or withdrawal of your consent would not affect your status or salary as an employee or your career and that you would merely forfeit the opportunities associated with the Plan.</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17" w:lineRule="auto"/>
        <w:tabs>
          <w:tab w:leader="none" w:pos="1524"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Data Subject Rights.</w:t>
      </w:r>
      <w:r>
        <w:rPr>
          <w:rFonts w:ascii="Times New Roman" w:cs="Times New Roman" w:eastAsia="Times New Roman" w:hAnsi="Times New Roman"/>
          <w:sz w:val="17"/>
          <w:szCs w:val="17"/>
          <w:b w:val="1"/>
          <w:bCs w:val="1"/>
          <w:i w:val="1"/>
          <w:iCs w:val="1"/>
          <w:color w:val="auto"/>
        </w:rPr>
        <w:t xml:space="preserve"> You understand that data subject rights regarding the processing of personal data vary depending on the Applicable Law and that, depending on where you are based and subject to the conditions set out in the Applicable Law, you may have, without limitation, the rights to (i) inquire whether and what kind of Personal Data the Company holds about you and how it is processed, and to access or request copies of such Personal Data,</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12" w:lineRule="auto"/>
        <w:tabs>
          <w:tab w:leader="none" w:pos="263" w:val="left"/>
        </w:tabs>
        <w:numPr>
          <w:ilvl w:val="0"/>
          <w:numId w:val="5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request the correction or supplementation of Personal Data about you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your objection, do not prove to be compelling, or processed in non-compliance with applicable legal requirements, (iv) request the Company to restrict the processing of your Personal Data in certain situations where you feel its processing is inappropriate, (v) object, in certain circumstances, to the processing of Personal Data for legitimate interests, and to (vi) request portability of your Personal Data that you have actively or passively provided to the Company (which does not include data derived or inferred from the collected data), where the processing of such Personal Data is based on consent or your employment or service agreement and is carried out by automated means. In case of concerns, you understand that you may also have the right to lodge a complaint with the competent local data protection authority. Further, to receive clarification of, or to exercise any of your rights, you should contact your local human resources representative.</w:t>
      </w:r>
    </w:p>
    <w:p>
      <w:pPr>
        <w:spacing w:after="0" w:line="121" w:lineRule="exact"/>
        <w:rPr>
          <w:rFonts w:ascii="Times New Roman" w:cs="Times New Roman" w:eastAsia="Times New Roman" w:hAnsi="Times New Roman"/>
          <w:sz w:val="17"/>
          <w:szCs w:val="17"/>
          <w:b w:val="1"/>
          <w:bCs w:val="1"/>
          <w:i w:val="1"/>
          <w:iCs w:val="1"/>
          <w:color w:val="auto"/>
        </w:rPr>
      </w:pPr>
    </w:p>
    <w:p>
      <w:pPr>
        <w:ind w:firstLine="1023"/>
        <w:spacing w:after="0" w:line="242" w:lineRule="auto"/>
        <w:tabs>
          <w:tab w:leader="none" w:pos="1523" w:val="left"/>
        </w:tabs>
        <w:numPr>
          <w:ilvl w:val="1"/>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Alternate Basis and Additional Consents.</w:t>
      </w:r>
      <w:r>
        <w:rPr>
          <w:rFonts w:ascii="Times New Roman" w:cs="Times New Roman" w:eastAsia="Times New Roman" w:hAnsi="Times New Roman"/>
          <w:sz w:val="17"/>
          <w:szCs w:val="17"/>
          <w:b w:val="1"/>
          <w:bCs w:val="1"/>
          <w:i w:val="1"/>
          <w:iCs w:val="1"/>
          <w:color w:val="auto"/>
        </w:rPr>
        <w:t xml:space="preserve"> Finally, you understand that the Company may rely on a different basis for the processing or transfer of Personal Data 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the future and/or request that you provide another data privacy consent. If applicable, you agree that upon request of the Company or the Employer, you will provide an executed acknowledgement or data privacy consent form (or any other agreements or consents)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19" w:lineRule="exact"/>
        <w:rPr>
          <w:sz w:val="20"/>
          <w:szCs w:val="20"/>
          <w:color w:val="auto"/>
        </w:rPr>
      </w:pPr>
    </w:p>
    <w:p>
      <w:pPr>
        <w:jc w:val="both"/>
        <w:ind w:firstLine="514"/>
        <w:spacing w:after="0" w:line="224" w:lineRule="auto"/>
        <w:tabs>
          <w:tab w:leader="none" w:pos="1019"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Language. </w:t>
      </w:r>
      <w:r>
        <w:rPr>
          <w:rFonts w:ascii="Times New Roman" w:cs="Times New Roman" w:eastAsia="Times New Roman" w:hAnsi="Times New Roman"/>
          <w:sz w:val="17"/>
          <w:szCs w:val="17"/>
          <w:color w:val="auto"/>
        </w:rPr>
        <w:t>You acknowledge that you are sufficiently proficient in the English language, or have consulted with an advisor who is sufficiently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Venue. </w:t>
      </w:r>
      <w:r>
        <w:rPr>
          <w:rFonts w:ascii="Times New Roman" w:cs="Times New Roman" w:eastAsia="Times New Roman" w:hAnsi="Times New Roman"/>
          <w:sz w:val="17"/>
          <w:szCs w:val="17"/>
          <w:color w:val="auto"/>
        </w:rPr>
        <w:t>For purposes of any action, lawsuit or other proceeding brought to enforce this Agreement, relating to it, or arising from it, the parties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17" w:lineRule="exact"/>
        <w:rPr>
          <w:rFonts w:ascii="Times New Roman" w:cs="Times New Roman" w:eastAsia="Times New Roman" w:hAnsi="Times New Roman"/>
          <w:sz w:val="17"/>
          <w:szCs w:val="17"/>
          <w:b w:val="1"/>
          <w:bCs w:val="1"/>
          <w:color w:val="auto"/>
        </w:rPr>
      </w:pPr>
    </w:p>
    <w:p>
      <w:pPr>
        <w:jc w:val="both"/>
        <w:ind w:firstLine="514"/>
        <w:spacing w:after="0" w:line="214" w:lineRule="auto"/>
        <w:tabs>
          <w:tab w:leader="none" w:pos="1019"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Insider Trading Restrictions / Market Abuse Law. </w:t>
      </w:r>
      <w:r>
        <w:rPr>
          <w:rFonts w:ascii="Times New Roman" w:cs="Times New Roman" w:eastAsia="Times New Roman" w:hAnsi="Times New Roman"/>
          <w:sz w:val="17"/>
          <w:szCs w:val="17"/>
          <w:color w:val="auto"/>
        </w:rPr>
        <w:t>You may be subject to insider trading restrictions and/or market abuse laws based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RSU Awards)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24" w:lineRule="exact"/>
        <w:rPr>
          <w:rFonts w:ascii="Times New Roman" w:cs="Times New Roman" w:eastAsia="Times New Roman" w:hAnsi="Times New Roman"/>
          <w:sz w:val="17"/>
          <w:szCs w:val="17"/>
          <w:b w:val="1"/>
          <w:bCs w:val="1"/>
          <w:color w:val="auto"/>
        </w:rPr>
      </w:pPr>
    </w:p>
    <w:p>
      <w:pPr>
        <w:jc w:val="both"/>
        <w:ind w:firstLine="514"/>
        <w:spacing w:after="0" w:line="217" w:lineRule="auto"/>
        <w:tabs>
          <w:tab w:leader="none" w:pos="1019"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Foreign Asset/Account, Exchange Control and Tax Reporting. </w:t>
      </w:r>
      <w:r>
        <w:rPr>
          <w:rFonts w:ascii="Times New Roman" w:cs="Times New Roman" w:eastAsia="Times New Roman" w:hAnsi="Times New Roman"/>
          <w:sz w:val="17"/>
          <w:szCs w:val="17"/>
          <w:color w:val="auto"/>
        </w:rPr>
        <w:t>You may be subject to foreign asset/account, exchange control and/or tax reporting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both"/>
        <w:ind w:firstLine="514"/>
        <w:spacing w:after="0" w:line="221" w:lineRule="auto"/>
        <w:tabs>
          <w:tab w:leader="none" w:pos="1019"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Country-Specific Provisions. </w:t>
      </w:r>
      <w:r>
        <w:rPr>
          <w:rFonts w:ascii="Times New Roman" w:cs="Times New Roman" w:eastAsia="Times New Roman" w:hAnsi="Times New Roman"/>
          <w:sz w:val="17"/>
          <w:szCs w:val="17"/>
          <w:color w:val="auto"/>
        </w:rPr>
        <w:t>Notwithstanding any provisions of this Agreement to the contrary, if you reside or are employed outside of the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States, the RSU Award shall be subject to any terms and conditions for your country of residence (and country of employment, if different) set forth in the appendix attached hereto (the “</w:t>
      </w:r>
      <w:r>
        <w:rPr>
          <w:rFonts w:ascii="Times New Roman" w:cs="Times New Roman" w:eastAsia="Times New Roman" w:hAnsi="Times New Roman"/>
          <w:sz w:val="17"/>
          <w:szCs w:val="17"/>
          <w:b w:val="1"/>
          <w:bCs w:val="1"/>
          <w:i w:val="1"/>
          <w:iCs w:val="1"/>
          <w:color w:val="auto"/>
        </w:rPr>
        <w:t>Appendix</w:t>
      </w:r>
      <w:r>
        <w:rPr>
          <w:rFonts w:ascii="Times New Roman" w:cs="Times New Roman" w:eastAsia="Times New Roman" w:hAnsi="Times New Roman"/>
          <w:sz w:val="17"/>
          <w:szCs w:val="17"/>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Agreement.</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Imposition of Other Requirements. </w:t>
      </w:r>
      <w:r>
        <w:rPr>
          <w:rFonts w:ascii="Times New Roman" w:cs="Times New Roman" w:eastAsia="Times New Roman" w:hAnsi="Times New Roman"/>
          <w:sz w:val="17"/>
          <w:szCs w:val="17"/>
          <w:color w:val="auto"/>
        </w:rPr>
        <w:t>The Company reserves the right to impose other requirements on your participation in the Plan, on the RSU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17"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Documents. </w:t>
      </w:r>
      <w:r>
        <w:rPr>
          <w:rFonts w:ascii="Times New Roman" w:cs="Times New Roman" w:eastAsia="Times New Roman" w:hAnsi="Times New Roman"/>
          <w:sz w:val="17"/>
          <w:szCs w:val="17"/>
          <w:color w:val="auto"/>
        </w:rPr>
        <w:t>You hereby acknowledge receipt of or the right to receive a document providing the information required by Rule 428(b)(1)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promulgated under the Securities Act, which includes the Prospectus. In addition, you acknowledge receipt of the Company’s Trading Policy.</w:t>
      </w:r>
    </w:p>
    <w:p>
      <w:pPr>
        <w:spacing w:after="0" w:line="115"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Questions. </w:t>
      </w:r>
      <w:r>
        <w:rPr>
          <w:rFonts w:ascii="Times New Roman" w:cs="Times New Roman" w:eastAsia="Times New Roman" w:hAnsi="Times New Roman"/>
          <w:sz w:val="17"/>
          <w:szCs w:val="17"/>
          <w:color w:val="auto"/>
        </w:rPr>
        <w:t>If you have questions regarding these or any other terms and conditions applicable to your RSU Award, including a summary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federal income tax consequences please see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APPENDIX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 RSU AWARD AGREEMENT</w:t>
      </w:r>
    </w:p>
    <w:p>
      <w:pPr>
        <w:spacing w:after="0" w:line="158" w:lineRule="exact"/>
        <w:rPr>
          <w:sz w:val="20"/>
          <w:szCs w:val="20"/>
          <w:color w:val="auto"/>
        </w:rPr>
      </w:pPr>
    </w:p>
    <w:p>
      <w:pPr>
        <w:ind w:right="1880"/>
        <w:spacing w:after="0" w:line="455" w:lineRule="auto"/>
        <w:rPr>
          <w:sz w:val="20"/>
          <w:szCs w:val="20"/>
          <w:color w:val="auto"/>
        </w:rPr>
      </w:pPr>
      <w:r>
        <w:rPr>
          <w:rFonts w:ascii="Times New Roman" w:cs="Times New Roman" w:eastAsia="Times New Roman" w:hAnsi="Times New Roman"/>
          <w:sz w:val="17"/>
          <w:szCs w:val="17"/>
          <w:color w:val="auto"/>
        </w:rPr>
        <w:t xml:space="preserve">Capitalized terms used but not defined in this Appendix have the meanings set forth in the Plan and/or the Global RSU Award Agreement. </w:t>
      </w:r>
      <w:r>
        <w:rPr>
          <w:rFonts w:ascii="Times New Roman" w:cs="Times New Roman" w:eastAsia="Times New Roman" w:hAnsi="Times New Roman"/>
          <w:sz w:val="17"/>
          <w:szCs w:val="17"/>
          <w:b w:val="1"/>
          <w:bCs w:val="1"/>
          <w:i w:val="1"/>
          <w:iCs w:val="1"/>
          <w:color w:val="auto"/>
        </w:rPr>
        <w:t>Terms and Conditions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Appendix includes additional terms and conditions that govern the RSU Award granted to you under the Plan if you are an employee that works or resides outside the U.S. and/or in one of the countries listed below.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April 2019.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the RSU or sell any shares of Common Stock acquired upon settlement of the vested RSU.</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u w:val="single" w:color="auto"/>
          <w:color w:val="auto"/>
        </w:rPr>
        <w:t>Tax Conditions</w:t>
      </w:r>
      <w:r>
        <w:rPr>
          <w:rFonts w:ascii="Times New Roman" w:cs="Times New Roman" w:eastAsia="Times New Roman" w:hAnsi="Times New Roman"/>
          <w:sz w:val="17"/>
          <w:szCs w:val="17"/>
          <w:color w:val="auto"/>
        </w:rPr>
        <w:t>. Subdivision 83A-C of the Income Tax Assessment Act 1997 (Cth) applies to the RSU Award granted under the Plan, such that the RSU Award is intended to be subject to deferred taxation.</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Australian Offer Document</w:t>
      </w:r>
      <w:r>
        <w:rPr>
          <w:rFonts w:ascii="Times New Roman" w:cs="Times New Roman" w:eastAsia="Times New Roman" w:hAnsi="Times New Roman"/>
          <w:sz w:val="17"/>
          <w:szCs w:val="17"/>
          <w:color w:val="auto"/>
        </w:rPr>
        <w:t>. The offering of the Plan in Australia is intended to qualify for an exemption from the prospectus requirements under Class Order 14/1000 issued by the Australian Securities and Investments Commission. Additional details are set forth in the Offer Document for the offer of RSU Awards to Australian Resident Employees, which was provided to you with this RSU Award Agreement.</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If you are an Australian resident, exchange control reporting is required for cash transactions exceeding AUD10,000 and international fund transfers. If an Australian bank is assisting with the transaction, the bank will file the report on your behalf. If there is no Australian bank involved with the transfer, you will be required to file the report.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following provision replaces Section 6(j) of the Global RSU Award Agreement in its entirety:</w:t>
      </w:r>
    </w:p>
    <w:p>
      <w:pPr>
        <w:spacing w:after="0" w:line="176" w:lineRule="exact"/>
        <w:rPr>
          <w:sz w:val="20"/>
          <w:szCs w:val="20"/>
          <w:color w:val="auto"/>
        </w:rPr>
      </w:pPr>
    </w:p>
    <w:p>
      <w:pPr>
        <w:jc w:val="both"/>
        <w:ind w:firstLine="181"/>
        <w:spacing w:after="0" w:line="255" w:lineRule="auto"/>
        <w:tabs>
          <w:tab w:leader="none" w:pos="51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termination of your Continuous Service (whether or not later found to be invalid or in breach of employment laws in the jurisdiction where you are employed or the terms of your employment agreement, if any), unless otherwise provided in the RSU Award Agreement or determined by the Company, your right to vest in the RSU Award under the Plan will terminate effective as of the earlier of (i) the date upon which you cease to provide services, or (ii) the date upon which you receive a notice of termination and will not in either case be extended by any contractual notice period in which you do not actively provide services or any period of pay in lieu of such notice (including, but not limited to Canadian statutory law, regulatory law and/or common law) mandated under employment laws in the jurisdiction where you are employed or the terms of your employment agreement, if any;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terms and conditions apply to employees resident in Quebec:</w:t>
      </w:r>
    </w:p>
    <w:p>
      <w:pPr>
        <w:spacing w:after="0" w:line="20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provision supplements Section 14 of the Global RSU Award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You hereby authorize the Company or any Affiliate, including the Employer,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advisors. You further authorize the Company or any Affiliate, including the Employer, and any agents or representatives to record such information and to keep such information in your employee file.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Securities Law Information</w:t>
      </w:r>
      <w:r>
        <w:rPr>
          <w:rFonts w:ascii="Times New Roman" w:cs="Times New Roman" w:eastAsia="Times New Roman" w:hAnsi="Times New Roman"/>
          <w:sz w:val="17"/>
          <w:szCs w:val="17"/>
          <w:color w:val="auto"/>
        </w:rPr>
        <w:t>. You are permitted to sell shares of Common Stock acquired under the Plan through the designated broker appointed under the Plan, if any, provided the resale of shares of Common Stock acquired under the Plan takes place outside Canada through the facilities of the exchange on which the shares of Common Stock are then listed.</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Canadian residents are required to report any foreign specified property held outside Canada (including RSU Awards and shares of Common Stock acquired under the Plan) annually on form T1135 (Foreign Income Verification Statement) if the total cost of the foreign specified property exceeds CAD 100,000 at any time during the year. Thus, if the CAD 100,000 cost threshold is exceeded by other foreign specified property held by the individual, RSU Awards must be reported (generally at a nil cost). For purposes of such reporting, shares of Common Stock acquired under the Plan may be reported at their adjusted cost basis. The adjusted cost basis of a share is generally equal to the fair market value of such share at the time of acquisition; however, if you own other shares of Common Stock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acquired under other circumstances or at another time), the adjusted cost basis may have to be averaged with the adjusted cost bases of the other shares of Common Stock. </w:t>
      </w:r>
      <w:r>
        <w:rPr>
          <w:rFonts w:ascii="Times New Roman" w:cs="Times New Roman" w:eastAsia="Times New Roman" w:hAnsi="Times New Roman"/>
          <w:sz w:val="17"/>
          <w:szCs w:val="17"/>
          <w:i w:val="1"/>
          <w:iCs w:val="1"/>
          <w:color w:val="auto"/>
        </w:rPr>
        <w:t>You should consult with your personal legal advisor to ensure compliance with applicable reporting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The following applies only to Participants who are exclusively citizens of the People’s Republic of China (“</w:t>
      </w:r>
      <w:r>
        <w:rPr>
          <w:rFonts w:ascii="Times New Roman" w:cs="Times New Roman" w:eastAsia="Times New Roman" w:hAnsi="Times New Roman"/>
          <w:sz w:val="17"/>
          <w:szCs w:val="17"/>
          <w:b w:val="1"/>
          <w:bCs w:val="1"/>
          <w:i w:val="1"/>
          <w:iCs w:val="1"/>
          <w:color w:val="auto"/>
        </w:rPr>
        <w:t>PRC</w:t>
      </w:r>
      <w:r>
        <w:rPr>
          <w:rFonts w:ascii="Times New Roman" w:cs="Times New Roman" w:eastAsia="Times New Roman" w:hAnsi="Times New Roman"/>
          <w:sz w:val="17"/>
          <w:szCs w:val="17"/>
          <w:i w:val="1"/>
          <w:iCs w:val="1"/>
          <w:color w:val="auto"/>
        </w:rPr>
        <w:t>”) and who reside in mainland China or Participants who are otherwise subject to the exchange control laws in China, as determined by the Company in its sole discretion.</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Satisfaction of Regulatory Obligations</w:t>
      </w:r>
      <w:r>
        <w:rPr>
          <w:rFonts w:ascii="Times New Roman" w:cs="Times New Roman" w:eastAsia="Times New Roman" w:hAnsi="Times New Roman"/>
          <w:sz w:val="17"/>
          <w:szCs w:val="17"/>
          <w:color w:val="auto"/>
        </w:rPr>
        <w:t>. The settlement of the RSU Award upon vesting is conditioned upon the Company securing and maintaining all necessary approvals from the State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Administration of Foreign Exchange (“</w:t>
      </w:r>
      <w:r>
        <w:rPr>
          <w:rFonts w:ascii="Times New Roman" w:cs="Times New Roman" w:eastAsia="Times New Roman" w:hAnsi="Times New Roman"/>
          <w:sz w:val="17"/>
          <w:szCs w:val="17"/>
          <w:b w:val="1"/>
          <w:bCs w:val="1"/>
          <w:i w:val="1"/>
          <w:iCs w:val="1"/>
          <w:color w:val="auto"/>
        </w:rPr>
        <w:t>SAFE</w:t>
      </w:r>
      <w:r>
        <w:rPr>
          <w:rFonts w:ascii="Times New Roman" w:cs="Times New Roman" w:eastAsia="Times New Roman" w:hAnsi="Times New Roman"/>
          <w:sz w:val="17"/>
          <w:szCs w:val="17"/>
          <w:color w:val="auto"/>
        </w:rPr>
        <w:t>”) and any other applicable government entities in China to permit the operation of the Plan in China, as determined by the Company it its sole discretion. If or to the extent the Company is unable to complete the registration or maintain the registration, no shares of Common Stock shall be issued under the Plan. In this case, the Company retains the discretion to settle any RSU Award in cash paid through local payroll in an amount equal to the Fair Market Value of the shares of Common Stock subject to the RSU Award less any Withholding Taxes.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u w:val="single" w:color="auto"/>
          <w:color w:val="auto"/>
        </w:rPr>
        <w:t>Settlement of RSU Award and Sale of Shares</w:t>
      </w:r>
      <w:r>
        <w:rPr>
          <w:rFonts w:ascii="Times New Roman" w:cs="Times New Roman" w:eastAsia="Times New Roman" w:hAnsi="Times New Roman"/>
          <w:sz w:val="17"/>
          <w:szCs w:val="17"/>
          <w:color w:val="auto"/>
        </w:rPr>
        <w:t>. To facilitate compliance with local regulatory requirements, you agree to the sale of any shares of Common Stock to be issued to you upon vesting and settlement of the RSU Award. The sale will occur (i) immediately upon the issuance of shares in settlement of the RSU Award, (ii) following your termination of Continuous Service from the Company or one of its Affiliates, or (iii) within any other time frame as the Company determines to be necessary to comply with local regulatory requirements. You further agree that the Company is authorized to instruct its designated broker to assist with the mandatory sale of such shares (on your behalf pursuant to this authorization) and you expressly authorize the Company’s designated broker to complete the sale of such shares. You acknowledge that the Company’s designated broker is under no obligation to arrange for the sale of the shares at any particular price. Upon the sale of the shares, the Company agrees to pay you the cash proceeds from the sale, less any brokerage fees or commissions and subject to any obligation to satisfy Withholding Taxes. You agree that the payment of the cash proceeds will be subject to the repatriation requirements described below.</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Designated Broker Account</w:t>
      </w:r>
      <w:r>
        <w:rPr>
          <w:rFonts w:ascii="Times New Roman" w:cs="Times New Roman" w:eastAsia="Times New Roman" w:hAnsi="Times New Roman"/>
          <w:sz w:val="17"/>
          <w:szCs w:val="17"/>
          <w:color w:val="auto"/>
        </w:rPr>
        <w:t>. You agree that any shares of Common Stock issued to you upon vesting/settlement of the RSU Award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of Common Stock issued to you under the Plan, whether or not you remain in Continuous Service with the Company or one of its Affiliates. Upon sale of the shares of Common Stock, the repatriation requirements described below shall apply.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Exchange Control Restrictions</w:t>
      </w:r>
      <w:r>
        <w:rPr>
          <w:rFonts w:ascii="Times New Roman" w:cs="Times New Roman" w:eastAsia="Times New Roman" w:hAnsi="Times New Roman"/>
          <w:sz w:val="17"/>
          <w:szCs w:val="17"/>
          <w:color w:val="auto"/>
        </w:rPr>
        <w:t>. You understand and agree that you will be required to immediately repatriate to China the proceeds from the sale of any shares of Common Stock acquired under the Plan. You further understand that such repatriation of proceeds may need to be effected through a special bank account established by the Company (or an Affiliate), and you hereby consent and agree that any sale proceeds or other cash payments received in connection with the Plan may be transferred to such special account by the Company (or an Affiliate) on your behalf prior to being delivered to you and that no interest shall be paid with respect to funds held in such account.</w:t>
      </w:r>
    </w:p>
    <w:p>
      <w:pPr>
        <w:spacing w:after="0" w:line="1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proceeds may be paid to you in U.S. dollars or local currency at the Company’s discretion. If the proceeds are paid to you in U.S. dollars, you understand that a U.S. dollar bank account in China must be established and maintained so that the proceeds may be deposited into such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account. If the proceeds are paid to you in local currency, you acknowledge that the Company (or its Affiliates) are under no obligation to secure any particular exchange conversion rate and that the Company (or its Affiliates) may face delays in converting the proceeds to local currency or distributing the proceeds due to exchange control restrictions. You agree to bear any currency fluctuation risk between the time the shares of Common Stock are sold and the net proceeds are converted into local currency and distributed to you. You further agree to comply with any other requirements that may be imposed by the Company (or its Affiliates) in the future in order to facilitate compliance with exchange control requirements in China.</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Company (or its Affiliates) shall not be liable for any costs, fees, lost interest or dividends or other losses that you may incur or suffer resulting from the enforcement of the terms of this Appendix or otherwise from the Company’s operation and enforcement of the Plan, the RSU Award Agreement and this RSU Award in accordance with any Applicable Laws, rules, regulations and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FRANCE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Language Consent</w:t>
      </w:r>
      <w:r>
        <w:rPr>
          <w:rFonts w:ascii="Times New Roman" w:cs="Times New Roman" w:eastAsia="Times New Roman" w:hAnsi="Times New Roman"/>
          <w:sz w:val="17"/>
          <w:szCs w:val="17"/>
          <w:color w:val="auto"/>
        </w:rPr>
        <w:t>. By accepting the RSU Award, you confirm having read and understood the documents related to the RSU Award (the Plan and the RSU Award Agreement) which were provided in the English language. You accept the terms of these documents accordingly.</w:t>
      </w:r>
    </w:p>
    <w:p>
      <w:pPr>
        <w:spacing w:after="0" w:line="13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u w:val="single" w:color="auto"/>
          <w:color w:val="auto"/>
        </w:rPr>
        <w:t>Consentement à la Langue Utilisée</w:t>
      </w:r>
      <w:r>
        <w:rPr>
          <w:rFonts w:ascii="Times New Roman" w:cs="Times New Roman" w:eastAsia="Times New Roman" w:hAnsi="Times New Roman"/>
          <w:sz w:val="17"/>
          <w:szCs w:val="17"/>
          <w:i w:val="1"/>
          <w:iCs w:val="1"/>
          <w:color w:val="auto"/>
        </w:rPr>
        <w:t>. En acceptant l’attribution («RSU Award»), vouz confirmez avoir lu et compris les documents relatifs à l’attribution (le Plan et le Contrat d’Attribution) qui ont été remis en anglais. Vous acceptez les termes de ces documents en connaissance de cause.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Tax Information</w:t>
      </w:r>
      <w:r>
        <w:rPr>
          <w:rFonts w:ascii="Times New Roman" w:cs="Times New Roman" w:eastAsia="Times New Roman" w:hAnsi="Times New Roman"/>
          <w:sz w:val="17"/>
          <w:szCs w:val="17"/>
          <w:color w:val="auto"/>
        </w:rPr>
        <w:t>. This RSU Award is not intended to qualify for specific tax and social security treatment applicable to awards granted under Section L. 225-197.1 to L. 225-197.6 of the French Commercial Code, as amended.</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If you hold cash or shares of Common Stock outside of France or maintain a foreign bank or brokerage account (including accounts that were opened and closed during the tax year), you are required to report such assets and accounts to the French tax authorities on an annual basis on a specified form, together with your income tax return. Failure to complete this reporting can trigger significant penalties.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GERMANY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Cross-border payments in excess of EUR 12,500 must be reported monthly to the German Federal Bank (</w:t>
      </w:r>
      <w:r>
        <w:rPr>
          <w:rFonts w:ascii="Times New Roman" w:cs="Times New Roman" w:eastAsia="Times New Roman" w:hAnsi="Times New Roman"/>
          <w:sz w:val="17"/>
          <w:szCs w:val="17"/>
          <w:i w:val="1"/>
          <w:iCs w:val="1"/>
          <w:color w:val="auto"/>
        </w:rPr>
        <w:t>Bundesbank</w:t>
      </w:r>
      <w:r>
        <w:rPr>
          <w:rFonts w:ascii="Times New Roman" w:cs="Times New Roman" w:eastAsia="Times New Roman" w:hAnsi="Times New Roman"/>
          <w:sz w:val="17"/>
          <w:szCs w:val="17"/>
          <w:color w:val="auto"/>
        </w:rPr>
        <w:t>). If you receive a payment in excess of EUR 12,500 in connection with the sale of shares of Common Stock acquired under the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17.</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6"/>
          <w:szCs w:val="16"/>
          <w:color w:val="auto"/>
        </w:rPr>
        <w:t>or the receipt of any cash dividends, the report must be filed electronically by the fifth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German residents holding shares of Common Stock must notify their local tax office of the acquisition of shares of Common Stock when they file their returns for the relevant year if the value of the shares of Common Stock exceeds EUR 150,000 or in the unlikely event that the resident holds shares of Common Stock exceeding 10% of the Company’s share capital.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Indian residents are required to repatriate the proceeds from the sale of shares of Common Stock to India within specified timeframes. You must retain the foreign inward remittance certificate received from the bank where the foreign currency is deposited in the event that the Reserve Bank of India or the Employer requests proof of repatriation. It is your responsibility to comply with these requirements. Neither the Company nor the Employer will be liable for any fines or penalties resulting from your failure to comply with any Applicable Laws.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Indian residents are required to declare any foreign bank accounts and any foreign financial assets (including shares of Common Stock held outside of India) in their annual tax returns. You are responsible for complying with this reporting obligation and should confer with your personal tax advisor to determine your obligations in this regard.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IRELAND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country-specific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Japanese residents acquiring shares of Common Stock valued at more than JPY 100,000,000 in a single transaction must file a Securities Acquisition Report with the Ministry of Finance (“</w:t>
      </w:r>
      <w:r>
        <w:rPr>
          <w:rFonts w:ascii="Times New Roman" w:cs="Times New Roman" w:eastAsia="Times New Roman" w:hAnsi="Times New Roman"/>
          <w:sz w:val="17"/>
          <w:szCs w:val="17"/>
          <w:b w:val="1"/>
          <w:bCs w:val="1"/>
          <w:i w:val="1"/>
          <w:iCs w:val="1"/>
          <w:color w:val="auto"/>
        </w:rPr>
        <w:t>MOF</w:t>
      </w:r>
      <w:r>
        <w:rPr>
          <w:rFonts w:ascii="Times New Roman" w:cs="Times New Roman" w:eastAsia="Times New Roman" w:hAnsi="Times New Roman"/>
          <w:sz w:val="17"/>
          <w:szCs w:val="17"/>
          <w:color w:val="auto"/>
        </w:rPr>
        <w:t>”) through the Bank of Japan within twenty (20) days of the acquisition of the shares.</w:t>
      </w:r>
    </w:p>
    <w:p>
      <w:pPr>
        <w:spacing w:after="0" w:line="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Japanese residents are required to report details of any assets held outside Japan as of December 31st (including shares of Common Stock acquired under the Plan), to the extent such assets have a total net fair market value exceeding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JPY 50,000,000. Such report is due by March 15th each year. </w:t>
      </w:r>
      <w:r>
        <w:rPr>
          <w:rFonts w:ascii="Times New Roman" w:cs="Times New Roman" w:eastAsia="Times New Roman" w:hAnsi="Times New Roman"/>
          <w:sz w:val="17"/>
          <w:szCs w:val="17"/>
          <w:i w:val="1"/>
          <w:iCs w:val="1"/>
          <w:color w:val="auto"/>
        </w:rPr>
        <w:t>You should consult your personal legal advisor to ensure compliance with applicable 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NETHERLANDS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country-specific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SINGAPORE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Restriction on Sale of Shares</w:t>
      </w:r>
      <w:r>
        <w:rPr>
          <w:rFonts w:ascii="Times New Roman" w:cs="Times New Roman" w:eastAsia="Times New Roman" w:hAnsi="Times New Roman"/>
          <w:sz w:val="17"/>
          <w:szCs w:val="17"/>
          <w:color w:val="auto"/>
        </w:rPr>
        <w:t>. Shares of Common Stock acquired under the Plan prior to the six (6) month anniversary of the date of grant may not be sold or otherwise offered for sale in Singapore, unless such sale or offer is made pursuant to the exemptions under Part XIII Division (1) Subdivision (4) (other than section</w:t>
      </w:r>
    </w:p>
    <w:p>
      <w:pPr>
        <w:spacing w:after="0" w:line="1" w:lineRule="exact"/>
        <w:rPr>
          <w:sz w:val="20"/>
          <w:szCs w:val="20"/>
          <w:color w:val="auto"/>
        </w:rPr>
      </w:pPr>
    </w:p>
    <w:p>
      <w:pPr>
        <w:ind w:firstLine="5"/>
        <w:spacing w:after="0" w:line="268" w:lineRule="auto"/>
        <w:tabs>
          <w:tab w:leader="none" w:pos="36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Singapore Securities and Futures Act (Chapter 289, 2006 Ed.) (“</w:t>
      </w:r>
      <w:r>
        <w:rPr>
          <w:rFonts w:ascii="Times New Roman" w:cs="Times New Roman" w:eastAsia="Times New Roman" w:hAnsi="Times New Roman"/>
          <w:sz w:val="17"/>
          <w:szCs w:val="17"/>
          <w:b w:val="1"/>
          <w:bCs w:val="1"/>
          <w:i w:val="1"/>
          <w:iCs w:val="1"/>
          <w:color w:val="auto"/>
        </w:rPr>
        <w:t>SFA</w:t>
      </w:r>
      <w:r>
        <w:rPr>
          <w:rFonts w:ascii="Times New Roman" w:cs="Times New Roman" w:eastAsia="Times New Roman" w:hAnsi="Times New Roman"/>
          <w:sz w:val="17"/>
          <w:szCs w:val="17"/>
          <w:color w:val="auto"/>
        </w:rPr>
        <w:t>”) or pursuant to, and in accordance with the conditions of, any other applicable provision(s) of the SFA.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Securities Law Information</w:t>
      </w:r>
      <w:r>
        <w:rPr>
          <w:rFonts w:ascii="Times New Roman" w:cs="Times New Roman" w:eastAsia="Times New Roman" w:hAnsi="Times New Roman"/>
          <w:sz w:val="17"/>
          <w:szCs w:val="17"/>
          <w:color w:val="auto"/>
        </w:rPr>
        <w:t>. The RSU Award is being granted to you pursuant to the “Qualifying Person” exemption under section 273(1)(f) of the SFA. The Plan has not been, nor will it be, lodged or registered as a prospectus with the Monetary Authority of Singapore.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u w:val="single" w:color="auto"/>
          <w:color w:val="auto"/>
        </w:rPr>
        <w:t>Chief Executive Officer and Director Notification Obligation</w:t>
      </w:r>
      <w:r>
        <w:rPr>
          <w:rFonts w:ascii="Times New Roman" w:cs="Times New Roman" w:eastAsia="Times New Roman" w:hAnsi="Times New Roman"/>
          <w:sz w:val="17"/>
          <w:szCs w:val="17"/>
          <w:color w:val="auto"/>
        </w:rPr>
        <w:t>. You acknowledge that if you are the Chief Executive Officer (“</w:t>
      </w:r>
      <w:r>
        <w:rPr>
          <w:rFonts w:ascii="Times New Roman" w:cs="Times New Roman" w:eastAsia="Times New Roman" w:hAnsi="Times New Roman"/>
          <w:sz w:val="17"/>
          <w:szCs w:val="17"/>
          <w:b w:val="1"/>
          <w:bCs w:val="1"/>
          <w:i w:val="1"/>
          <w:iCs w:val="1"/>
          <w:color w:val="auto"/>
        </w:rPr>
        <w:t>CEO</w:t>
      </w:r>
      <w:r>
        <w:rPr>
          <w:rFonts w:ascii="Times New Roman" w:cs="Times New Roman" w:eastAsia="Times New Roman" w:hAnsi="Times New Roman"/>
          <w:sz w:val="17"/>
          <w:szCs w:val="17"/>
          <w:color w:val="auto"/>
        </w:rPr>
        <w:t>”) a director, associate director or shadow director of a Singapore Subsidiary, you are subject to certain notification requirements under the Singapore Companies Act. Among these requirements is an obligation to notify the Singapore Subsidiary in writing when you receive an interest (e.g., RSU Awards or shares of Common Stock) in the Company or any Subsidiary within two business days of (i) its acquisition or disposal, (ii) any change in previously disclosed interest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when the shares of Common Stock are sold), or (iii) becoming a CEO, director, associate director or shadow director.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This provision supplements Section 4 of the Global RSU Award Agreement:</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Notwithstanding the indemnification provision in this Section 4, if you are a director or executive officer of the Company (within the meaning of Section 13(k) of the Exchange Act), the amount of any income tax due but not collected from or paid by you within ninety (90) days of the end of the U.K. tax year in which an event giving rise to Withholding Taxes occurs may constitute an additional benefit to you on which additional income tax and National Insurance Contributions (“</w:t>
      </w:r>
      <w:r>
        <w:rPr>
          <w:rFonts w:ascii="Times New Roman" w:cs="Times New Roman" w:eastAsia="Times New Roman" w:hAnsi="Times New Roman"/>
          <w:sz w:val="17"/>
          <w:szCs w:val="17"/>
          <w:b w:val="1"/>
          <w:bCs w:val="1"/>
          <w:i w:val="1"/>
          <w:iCs w:val="1"/>
          <w:color w:val="auto"/>
        </w:rPr>
        <w:t>NICs</w:t>
      </w:r>
      <w:r>
        <w:rPr>
          <w:rFonts w:ascii="Times New Roman" w:cs="Times New Roman" w:eastAsia="Times New Roman" w:hAnsi="Times New Roman"/>
          <w:sz w:val="17"/>
          <w:szCs w:val="17"/>
          <w:color w:val="auto"/>
        </w:rPr>
        <w:t>”) may be payable. You will be responsible for reporting and paying any income tax due on this additional benefit directly to Her Majesty’s Revenue and Customs under the self-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assessment regime and for reimbursing the Company and/or the Employer for the value of any employee NICs due on this additional benefit, which the Company and/or the Employer may recover at any time thereafter by any of the means referred to in this 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80"/>
          </w:cols>
          <w:pgMar w:left="300" w:top="129"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Attachment II</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21.</w:t>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60"/>
          </w:cols>
          <w:pgMar w:left="320" w:top="129"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7"/>
          <w:szCs w:val="17"/>
          <w:color w:val="auto"/>
        </w:rPr>
        <w:t>Exhibit 10.9</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Attachment III</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22.</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314714102 v4</w:t>
      </w:r>
    </w:p>
    <w:p>
      <w:pPr>
        <w:sectPr>
          <w:pgSz w:w="11900" w:h="16838" w:orient="portrait"/>
          <w:cols w:equalWidth="0" w:num="1">
            <w:col w:w="11260"/>
          </w:cols>
          <w:pgMar w:left="320" w:top="129"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Zoom Communications, Inc.</w:t>
      </w:r>
    </w:p>
    <w:p>
      <w:pPr>
        <w:spacing w:after="0" w:line="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 xml:space="preserve">Global RSU Award </w:t>
      </w:r>
      <w:r>
        <w:rPr>
          <w:rFonts w:ascii="Times New Roman" w:cs="Times New Roman" w:eastAsia="Times New Roman" w:hAnsi="Times New Roman"/>
          <w:sz w:val="19"/>
          <w:szCs w:val="19"/>
          <w:b w:val="1"/>
          <w:bCs w:val="1"/>
          <w:color w:val="auto"/>
        </w:rPr>
        <w:t>Grant Notice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3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Zoom Communications,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awarded you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xml:space="preserve">”) the number of restricted stock units specified and on the terms set forth below in consideration of your services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Your RSU Award is subject to all of the terms and conditions as set forth herein and in the Company’s 2019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the Global RSU Award Agreement, including any additional terms and conditions for your country included in the appendix attached thereto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-9525</wp:posOffset>
            </wp:positionV>
            <wp:extent cx="1079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-20320</wp:posOffset>
            </wp:positionV>
            <wp:extent cx="1079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-20320</wp:posOffset>
            </wp:positionV>
            <wp:extent cx="1079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-20320</wp:posOffset>
            </wp:positionV>
            <wp:extent cx="1079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346" w:lineRule="exact"/>
        <w:rPr>
          <w:sz w:val="20"/>
          <w:szCs w:val="20"/>
          <w:color w:val="auto"/>
        </w:rPr>
      </w:pPr>
    </w:p>
    <w:p>
      <w:pPr>
        <w:jc w:val="both"/>
        <w:ind w:left="1460" w:hanging="1463"/>
        <w:spacing w:after="0" w:line="289" w:lineRule="auto"/>
        <w:tabs>
          <w:tab w:leader="none" w:pos="1440" w:val="left"/>
        </w:tabs>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Subject to the Participant’s Continuous Service through each applicable vesting date, the restricted stock units subject to the RSU Award will vest as follows:</w:t>
      </w:r>
    </w:p>
    <w:p>
      <w:pPr>
        <w:spacing w:after="0" w:line="112" w:lineRule="exact"/>
        <w:rPr>
          <w:sz w:val="20"/>
          <w:szCs w:val="20"/>
          <w:color w:val="auto"/>
        </w:rPr>
      </w:pPr>
    </w:p>
    <w:p>
      <w:pPr>
        <w:jc w:val="both"/>
        <w:ind w:left="1460"/>
        <w:spacing w:after="0" w:line="236" w:lineRule="auto"/>
        <w:rPr>
          <w:sz w:val="20"/>
          <w:szCs w:val="20"/>
          <w:color w:val="auto"/>
        </w:rPr>
      </w:pPr>
      <w:r>
        <w:rPr>
          <w:rFonts w:ascii="Times New Roman" w:cs="Times New Roman" w:eastAsia="Times New Roman" w:hAnsi="Times New Roman"/>
          <w:sz w:val="17"/>
          <w:szCs w:val="17"/>
          <w:color w:val="auto"/>
        </w:rPr>
        <w:t>[New Hire Grants—1/4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restricted stock units shall vest on the first anniversary of the Vesting Commencement Date. Thereafter 1/16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restricted stock units shall vest every three months following the first anniversary of the Vesting Commencement Date on the day of the calendar month that corresponds with the Vesting Commencement Date such that the RSU Award is fully vested on the fourth anniversary of the Vesting Commencement Date.]</w:t>
      </w:r>
    </w:p>
    <w:p>
      <w:pPr>
        <w:spacing w:after="0" w:line="129" w:lineRule="exact"/>
        <w:rPr>
          <w:sz w:val="20"/>
          <w:szCs w:val="20"/>
          <w:color w:val="auto"/>
        </w:rPr>
      </w:pPr>
    </w:p>
    <w:p>
      <w:pPr>
        <w:jc w:val="both"/>
        <w:ind w:left="1460"/>
        <w:spacing w:after="0" w:line="233" w:lineRule="auto"/>
        <w:rPr>
          <w:sz w:val="20"/>
          <w:szCs w:val="20"/>
          <w:color w:val="auto"/>
        </w:rPr>
      </w:pPr>
      <w:r>
        <w:rPr>
          <w:rFonts w:ascii="Times New Roman" w:cs="Times New Roman" w:eastAsia="Times New Roman" w:hAnsi="Times New Roman"/>
          <w:sz w:val="17"/>
          <w:szCs w:val="17"/>
          <w:color w:val="auto"/>
        </w:rPr>
        <w:t>[Refresher Grants--1/16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restricted stock units shall vest every three months following the Vesting Commencement Date on the day of the calendar month that corresponds with the Vesting Commencement Date such that the RSU Award is fully vested on the fourth anniversary of the Vesting Commencement Date.]</w:t>
      </w:r>
    </w:p>
    <w:p>
      <w:pPr>
        <w:spacing w:after="0" w:line="133" w:lineRule="exact"/>
        <w:rPr>
          <w:sz w:val="20"/>
          <w:szCs w:val="20"/>
          <w:color w:val="auto"/>
        </w:rPr>
      </w:pPr>
    </w:p>
    <w:p>
      <w:pPr>
        <w:jc w:val="both"/>
        <w:ind w:left="1460"/>
        <w:spacing w:after="0" w:line="276" w:lineRule="auto"/>
        <w:rPr>
          <w:sz w:val="20"/>
          <w:szCs w:val="20"/>
          <w:color w:val="auto"/>
        </w:rPr>
      </w:pPr>
      <w:r>
        <w:rPr>
          <w:rFonts w:ascii="Times New Roman" w:cs="Times New Roman" w:eastAsia="Times New Roman" w:hAnsi="Times New Roman"/>
          <w:sz w:val="17"/>
          <w:szCs w:val="17"/>
          <w:color w:val="auto"/>
        </w:rPr>
        <w:t>Notwithstanding the foregoing, the RSU Award will fully vest upon Participant’s death or Disability, subject to the Participant’s Continuous Service through such death or Disability.</w:t>
      </w:r>
    </w:p>
    <w:p>
      <w:pPr>
        <w:spacing w:after="0" w:line="9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Issuance Schedule:</w:t>
      </w:r>
      <w:r>
        <w:rPr>
          <w:sz w:val="20"/>
          <w:szCs w:val="20"/>
          <w:color w:val="auto"/>
        </w:rPr>
        <w:tab/>
      </w:r>
      <w:r>
        <w:rPr>
          <w:rFonts w:ascii="Times New Roman" w:cs="Times New Roman" w:eastAsia="Times New Roman" w:hAnsi="Times New Roman"/>
          <w:sz w:val="16"/>
          <w:szCs w:val="16"/>
          <w:color w:val="auto"/>
        </w:rPr>
        <w:t>One share of Common Stock will be issued for each restricted stock unit which vests at the time set forth in Section 5 of the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Participant Acknowledgements: </w:t>
      </w:r>
      <w:r>
        <w:rPr>
          <w:rFonts w:ascii="Times New Roman" w:cs="Times New Roman" w:eastAsia="Times New Roman" w:hAnsi="Times New Roman"/>
          <w:sz w:val="17"/>
          <w:szCs w:val="17"/>
          <w:color w:val="auto"/>
        </w:rPr>
        <w:t>By your signature below or by electronic acceptance or authentication in a form authorized by the Company, you understand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 that:</w:t>
      </w:r>
    </w:p>
    <w:p>
      <w:pPr>
        <w:spacing w:after="0" w:line="30" w:lineRule="exact"/>
        <w:rPr>
          <w:sz w:val="20"/>
          <w:szCs w:val="20"/>
          <w:color w:val="auto"/>
        </w:rPr>
      </w:pPr>
    </w:p>
    <w:p>
      <w:pPr>
        <w:jc w:val="both"/>
        <w:ind w:left="520" w:hanging="260"/>
        <w:spacing w:after="0" w:line="271" w:lineRule="auto"/>
        <w:tabs>
          <w:tab w:leader="none" w:pos="5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is governed by this Global RSU Award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7"/>
          <w:szCs w:val="17"/>
          <w:b w:val="1"/>
          <w:bCs w:val="1"/>
          <w:i w:val="1"/>
          <w:iCs w:val="1"/>
          <w:color w:val="auto"/>
        </w:rPr>
        <w:t>RSU Award Agreement</w:t>
      </w:r>
      <w:r>
        <w:rPr>
          <w:rFonts w:ascii="Times New Roman" w:cs="Times New Roman" w:eastAsia="Times New Roman" w:hAnsi="Times New Roman"/>
          <w:sz w:val="17"/>
          <w:szCs w:val="17"/>
          <w:color w:val="auto"/>
        </w:rPr>
        <w:t>”) may not be modified, amended or revised except in a writing signed by you and a duly authorized officer of the Company.</w:t>
      </w:r>
    </w:p>
    <w:p>
      <w:pPr>
        <w:spacing w:after="0" w:line="42" w:lineRule="exact"/>
        <w:rPr>
          <w:rFonts w:ascii="Times New Roman" w:cs="Times New Roman" w:eastAsia="Times New Roman" w:hAnsi="Times New Roman"/>
          <w:sz w:val="17"/>
          <w:szCs w:val="17"/>
          <w:color w:val="auto"/>
        </w:rPr>
      </w:pPr>
    </w:p>
    <w:p>
      <w:pPr>
        <w:ind w:left="520" w:hanging="260"/>
        <w:spacing w:after="0" w:line="276" w:lineRule="auto"/>
        <w:tabs>
          <w:tab w:leader="none" w:pos="5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8" w:lineRule="exact"/>
        <w:rPr>
          <w:rFonts w:ascii="Times New Roman" w:cs="Times New Roman" w:eastAsia="Times New Roman" w:hAnsi="Times New Roman"/>
          <w:sz w:val="17"/>
          <w:szCs w:val="17"/>
          <w:color w:val="auto"/>
        </w:rPr>
      </w:pPr>
    </w:p>
    <w:p>
      <w:pPr>
        <w:jc w:val="both"/>
        <w:ind w:left="520" w:hanging="260"/>
        <w:spacing w:after="0" w:line="258" w:lineRule="auto"/>
        <w:tabs>
          <w:tab w:leader="none" w:pos="5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including any prior Global RSU Award Grant Notice and Global RSU Award Agreement provided to you evidencing the restricted stock units covered by this RSU Award,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c>
          <w:tcPr>
            <w:tcW w:w="3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332"/>
        </w:trPr>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2"/>
        </w:trPr>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10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Signature</w:t>
            </w:r>
          </w:p>
        </w:tc>
        <w:tc>
          <w:tcPr>
            <w:tcW w:w="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7"/>
                <w:szCs w:val="17"/>
                <w:color w:val="auto"/>
                <w:w w:val="98"/>
              </w:rPr>
              <w:t>Signature</w:t>
            </w:r>
          </w:p>
        </w:tc>
      </w:tr>
      <w:tr>
        <w:trPr>
          <w:trHeight w:val="247"/>
        </w:trPr>
        <w:tc>
          <w:tcPr>
            <w:tcW w:w="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c>
          <w:tcPr>
            <w:tcW w:w="120" w:type="dxa"/>
            <w:vAlign w:val="bottom"/>
            <w:tcBorders>
              <w:bottom w:val="single" w:sz="8" w:color="auto"/>
            </w:tcBorders>
          </w:tcPr>
          <w:p>
            <w:pPr>
              <w:spacing w:after="0"/>
              <w:rPr>
                <w:sz w:val="21"/>
                <w:szCs w:val="21"/>
                <w:color w:val="auto"/>
              </w:rPr>
            </w:pPr>
          </w:p>
        </w:tc>
        <w:tc>
          <w:tcPr>
            <w:tcW w:w="510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Date:</w:t>
            </w:r>
          </w:p>
        </w:tc>
        <w:tc>
          <w:tcPr>
            <w:tcW w:w="16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266"/>
        </w:trPr>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Date:</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Attachments</w:t>
      </w:r>
      <w:r>
        <w:rPr>
          <w:rFonts w:ascii="Times New Roman" w:cs="Times New Roman" w:eastAsia="Times New Roman" w:hAnsi="Times New Roman"/>
          <w:sz w:val="17"/>
          <w:szCs w:val="17"/>
          <w:color w:val="auto"/>
        </w:rPr>
        <w:t>: Global RSU Award Agreement, 2019 Equity Incentive Plan,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Attachment I</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 RSU Award Agreement</w:t>
      </w:r>
    </w:p>
    <w:p>
      <w:pPr>
        <w:spacing w:after="0" w:line="35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7"/>
          <w:szCs w:val="17"/>
          <w:color w:val="auto"/>
        </w:rPr>
        <w:t>As reflected by your Global RSU Award Grant Notice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Zoom Communications,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you a RSU Award under its 2019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for the number of restricted stock units as indicated in your Grant Notice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The terms of your RSU Award as specified in the Global RSU Award Agreement, including any additional terms and conditions for your country included in the appendix attached hereto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and the Grant Notice constitute your “</w:t>
      </w:r>
      <w:r>
        <w:rPr>
          <w:rFonts w:ascii="Times New Roman" w:cs="Times New Roman" w:eastAsia="Times New Roman" w:hAnsi="Times New Roman"/>
          <w:sz w:val="17"/>
          <w:szCs w:val="17"/>
          <w:b w:val="1"/>
          <w:bCs w:val="1"/>
          <w:i w:val="1"/>
          <w:iCs w:val="1"/>
          <w:color w:val="auto"/>
        </w:rPr>
        <w:t>RSU Award Agreement</w:t>
      </w:r>
      <w:r>
        <w:rPr>
          <w:rFonts w:ascii="Times New Roman" w:cs="Times New Roman" w:eastAsia="Times New Roman" w:hAnsi="Times New Roman"/>
          <w:sz w:val="17"/>
          <w:szCs w:val="17"/>
          <w:color w:val="auto"/>
        </w:rPr>
        <w:t>”. Defined terms not explicitly defined in this Agreement but defined in the Grant Notice or the Plan shall have the same definitions as in the Grant Notice or Plan, as applicable.</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terms applicable to your RSU Award are as follows:</w:t>
      </w:r>
    </w:p>
    <w:p>
      <w:pPr>
        <w:spacing w:after="0" w:line="151" w:lineRule="exact"/>
        <w:rPr>
          <w:sz w:val="20"/>
          <w:szCs w:val="20"/>
          <w:color w:val="auto"/>
        </w:rPr>
      </w:pPr>
    </w:p>
    <w:p>
      <w:pPr>
        <w:ind w:left="1020" w:hanging="506"/>
        <w:spacing w:after="0"/>
        <w:tabs>
          <w:tab w:leader="none" w:pos="10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Plan Document. </w:t>
      </w:r>
      <w:r>
        <w:rPr>
          <w:rFonts w:ascii="Times New Roman" w:cs="Times New Roman" w:eastAsia="Times New Roman" w:hAnsi="Times New Roman"/>
          <w:sz w:val="17"/>
          <w:szCs w:val="17"/>
          <w:color w:val="auto"/>
        </w:rPr>
        <w:t>Your RSU Award is subject to all the provisions of the Plan, including but not limited to the provisions in:</w:t>
      </w:r>
    </w:p>
    <w:p>
      <w:pPr>
        <w:spacing w:after="0" w:line="140" w:lineRule="exact"/>
        <w:rPr>
          <w:rFonts w:ascii="Times New Roman" w:cs="Times New Roman" w:eastAsia="Times New Roman" w:hAnsi="Times New Roman"/>
          <w:sz w:val="17"/>
          <w:szCs w:val="17"/>
          <w:b w:val="1"/>
          <w:bCs w:val="1"/>
          <w:color w:val="auto"/>
        </w:rPr>
      </w:pPr>
    </w:p>
    <w:p>
      <w:pPr>
        <w:ind w:left="1520" w:hanging="497"/>
        <w:spacing w:after="0"/>
        <w:tabs>
          <w:tab w:leader="none" w:pos="1520" w:val="left"/>
        </w:tabs>
        <w:numPr>
          <w:ilvl w:val="1"/>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6 of the Plan regarding the impact of a Capitalization Adjustment, dissolution, liquidation, or Corporate Transaction on your RSU</w:t>
      </w:r>
    </w:p>
    <w:p>
      <w:pPr>
        <w:spacing w:after="0"/>
        <w:rPr>
          <w:sz w:val="20"/>
          <w:szCs w:val="20"/>
          <w:color w:val="auto"/>
        </w:rPr>
      </w:pPr>
      <w:r>
        <w:rPr>
          <w:rFonts w:ascii="Times New Roman" w:cs="Times New Roman" w:eastAsia="Times New Roman" w:hAnsi="Times New Roman"/>
          <w:sz w:val="17"/>
          <w:szCs w:val="17"/>
          <w:color w:val="auto"/>
        </w:rPr>
        <w:t>Award,</w:t>
      </w:r>
    </w:p>
    <w:p>
      <w:pPr>
        <w:spacing w:after="0" w:line="126" w:lineRule="exact"/>
        <w:rPr>
          <w:sz w:val="20"/>
          <w:szCs w:val="20"/>
          <w:color w:val="auto"/>
        </w:rPr>
      </w:pPr>
    </w:p>
    <w:p>
      <w:pPr>
        <w:ind w:left="1520" w:hanging="497"/>
        <w:spacing w:after="0"/>
        <w:tabs>
          <w:tab w:leader="none" w:pos="1520" w:val="left"/>
        </w:tabs>
        <w:numPr>
          <w:ilvl w:val="2"/>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Section 9(e) regarding the Company’s or your employer’s retained rights to terminate your Continuous Service notwithstanding the grant of the</w:t>
      </w:r>
    </w:p>
    <w:p>
      <w:pPr>
        <w:spacing w:after="0" w:line="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RSU Award, and</w:t>
      </w:r>
    </w:p>
    <w:p>
      <w:pPr>
        <w:spacing w:after="0" w:line="126" w:lineRule="exact"/>
        <w:rPr>
          <w:rFonts w:ascii="Times New Roman" w:cs="Times New Roman" w:eastAsia="Times New Roman" w:hAnsi="Times New Roman"/>
          <w:sz w:val="16"/>
          <w:szCs w:val="16"/>
          <w:b w:val="1"/>
          <w:bCs w:val="1"/>
          <w:color w:val="auto"/>
        </w:rPr>
      </w:pPr>
    </w:p>
    <w:p>
      <w:pPr>
        <w:ind w:left="1540" w:hanging="517"/>
        <w:spacing w:after="0"/>
        <w:tabs>
          <w:tab w:leader="none" w:pos="1540" w:val="left"/>
        </w:tabs>
        <w:numPr>
          <w:ilvl w:val="2"/>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8(c) regarding the tax consequences of your RSU Award.</w:t>
      </w:r>
    </w:p>
    <w:p>
      <w:pPr>
        <w:spacing w:after="0" w:line="165" w:lineRule="exact"/>
        <w:rPr>
          <w:rFonts w:ascii="Times New Roman" w:cs="Times New Roman" w:eastAsia="Times New Roman" w:hAnsi="Times New Roman"/>
          <w:sz w:val="17"/>
          <w:szCs w:val="17"/>
          <w:b w:val="1"/>
          <w:bCs w:val="1"/>
          <w:color w:val="auto"/>
        </w:rPr>
      </w:pPr>
    </w:p>
    <w:p>
      <w:pPr>
        <w:ind w:firstLine="5"/>
        <w:spacing w:after="0" w:line="276" w:lineRule="auto"/>
        <w:tabs>
          <w:tab w:leader="none" w:pos="50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98" w:lineRule="exact"/>
        <w:rPr>
          <w:rFonts w:ascii="Times New Roman" w:cs="Times New Roman" w:eastAsia="Times New Roman" w:hAnsi="Times New Roman"/>
          <w:sz w:val="17"/>
          <w:szCs w:val="17"/>
          <w:color w:val="auto"/>
        </w:rPr>
      </w:pPr>
    </w:p>
    <w:p>
      <w:pPr>
        <w:jc w:val="both"/>
        <w:ind w:firstLine="514"/>
        <w:spacing w:after="0" w:line="217" w:lineRule="auto"/>
        <w:tabs>
          <w:tab w:leader="none" w:pos="1019" w:val="left"/>
        </w:tabs>
        <w:numPr>
          <w:ilvl w:val="1"/>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Grant of the RSU Award. </w:t>
      </w:r>
      <w:r>
        <w:rPr>
          <w:rFonts w:ascii="Times New Roman" w:cs="Times New Roman" w:eastAsia="Times New Roman" w:hAnsi="Times New Roman"/>
          <w:sz w:val="17"/>
          <w:szCs w:val="17"/>
          <w:color w:val="auto"/>
        </w:rPr>
        <w:t>This RSU Award represents your right to be issued on a future date the number of shares of the Company’s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Your Restricted Stock Units will vest, if at all, in accordance with the vesting schedule provided in the Grant Notice, subject to the provisions contained herein and the terms of the Plan. Vesting will cease upon the termination of your Continuous Service.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3.</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399" w:lineRule="exact"/>
        <w:rPr>
          <w:sz w:val="20"/>
          <w:szCs w:val="20"/>
          <w:color w:val="auto"/>
        </w:rPr>
      </w:pPr>
    </w:p>
    <w:p>
      <w:pPr>
        <w:jc w:val="both"/>
        <w:ind w:firstLine="514"/>
        <w:spacing w:after="0" w:line="217" w:lineRule="auto"/>
        <w:tabs>
          <w:tab w:leader="none" w:pos="1019"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w:t>
      </w:r>
      <w:r>
        <w:rPr>
          <w:rFonts w:ascii="Times New Roman" w:cs="Times New Roman" w:eastAsia="Times New Roman" w:hAnsi="Times New Roman"/>
          <w:sz w:val="17"/>
          <w:szCs w:val="17"/>
          <w:color w:val="auto"/>
        </w:rPr>
        <w:t>You may become entitled to receive payments equal to any cash dividends and other distributions paid with respect to a corresponding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 w:cs="Times New Roman" w:eastAsia="Times New Roman" w:hAnsi="Times New Roman"/>
          <w:sz w:val="17"/>
          <w:szCs w:val="17"/>
          <w:b w:val="1"/>
          <w:bCs w:val="1"/>
          <w:i w:val="1"/>
          <w:iCs w:val="1"/>
          <w:color w:val="auto"/>
        </w:rPr>
        <w:t>Dividend Units</w:t>
      </w:r>
      <w:r>
        <w:rPr>
          <w:rFonts w:ascii="Times New Roman" w:cs="Times New Roman" w:eastAsia="Times New Roman" w:hAnsi="Times New Roman"/>
          <w:sz w:val="17"/>
          <w:szCs w:val="17"/>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20"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Withholding Obligations.</w:t>
      </w:r>
    </w:p>
    <w:p>
      <w:pPr>
        <w:spacing w:after="0" w:line="148" w:lineRule="exact"/>
        <w:rPr>
          <w:rFonts w:ascii="Times New Roman" w:cs="Times New Roman" w:eastAsia="Times New Roman" w:hAnsi="Times New Roman"/>
          <w:sz w:val="17"/>
          <w:szCs w:val="17"/>
          <w:b w:val="1"/>
          <w:bCs w:val="1"/>
          <w:color w:val="auto"/>
        </w:rPr>
      </w:pPr>
    </w:p>
    <w:p>
      <w:pPr>
        <w:jc w:val="both"/>
        <w:ind w:firstLine="1023"/>
        <w:spacing w:after="0" w:line="215" w:lineRule="auto"/>
        <w:tabs>
          <w:tab w:leader="none" w:pos="1524" w:val="left"/>
        </w:tabs>
        <w:numPr>
          <w:ilvl w:val="2"/>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acknowledge that, regardless of any action taken by the Company, or if different, the Affiliate employing or engaging you (the “</w:t>
      </w:r>
      <w:r>
        <w:rPr>
          <w:rFonts w:ascii="Times New Roman" w:cs="Times New Roman" w:eastAsia="Times New Roman" w:hAnsi="Times New Roman"/>
          <w:sz w:val="17"/>
          <w:szCs w:val="17"/>
          <w:b w:val="1"/>
          <w:bCs w:val="1"/>
          <w:i w:val="1"/>
          <w:iCs w:val="1"/>
          <w:color w:val="auto"/>
        </w:rPr>
        <w:t>Employer</w:t>
      </w:r>
      <w:r>
        <w:rPr>
          <w:rFonts w:ascii="Times New Roman" w:cs="Times New Roman" w:eastAsia="Times New Roman" w:hAnsi="Times New Roman"/>
          <w:sz w:val="17"/>
          <w:szCs w:val="17"/>
          <w:color w:val="auto"/>
        </w:rPr>
        <w:t>”), the ultimate liability for any sums required to satisfy the federal, state, local and/or foreign tax or social insurance withholding obligations, if any, which arise in connection with your RSU Award (the “</w:t>
      </w:r>
      <w:r>
        <w:rPr>
          <w:rFonts w:ascii="Times New Roman" w:cs="Times New Roman" w:eastAsia="Times New Roman" w:hAnsi="Times New Roman"/>
          <w:sz w:val="17"/>
          <w:szCs w:val="17"/>
          <w:b w:val="1"/>
          <w:bCs w:val="1"/>
          <w:i w:val="1"/>
          <w:iCs w:val="1"/>
          <w:color w:val="auto"/>
        </w:rPr>
        <w:t>Withholding Taxes</w:t>
      </w:r>
      <w:r>
        <w:rPr>
          <w:rFonts w:ascii="Times New Roman" w:cs="Times New Roman" w:eastAsia="Times New Roman" w:hAnsi="Times New Roman"/>
          <w:sz w:val="17"/>
          <w:szCs w:val="17"/>
          <w:color w:val="auto"/>
        </w:rPr>
        <w:t>”) is and remains your responsibility and may exceed the amount, if any, actually withheld by the Company or the Employer. You further acknowledge that the Company and/or the Employer (i) make no representations or undertakings regarding the treatment of any Withholding Taxes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Units; and (ii) do not commit to and are under no obligation to reduce or eliminate your liability for Withholding Taxes. Further, if you become subject to taxation in more than one country, you acknowledge that the Company and/or the Employer (or former employer, as applicable) may be required to withhold or account for Withholding Taxes more than one country.</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12" w:lineRule="auto"/>
        <w:tabs>
          <w:tab w:leader="none" w:pos="1523" w:val="left"/>
        </w:tabs>
        <w:numPr>
          <w:ilvl w:val="2"/>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further provided in Section 8 of the Plan, you hereby authorize withholding from payroll and any other amounts payable to you, and otherwise agree to make adequate provision for, Withholding Taxes if any, which arise in connection with your RSU Award in accordance with the withholding procedures established by the Company or if different, the Employer. Additionally, the Company and/or your Employer may, in its sole discretion, satisfy all or any portion of the Withholding Taxes by any of the following means or by a combination of such means: (i) causing you to tender a cash payment (which may be in the form of a check, electronic wire transfer or other method permitted by the Company); (ii) withholding from your wages or any amounts otherwise payable to you;</w:t>
      </w:r>
    </w:p>
    <w:p>
      <w:pPr>
        <w:spacing w:after="0" w:line="3" w:lineRule="exact"/>
        <w:rPr>
          <w:rFonts w:ascii="Times New Roman" w:cs="Times New Roman" w:eastAsia="Times New Roman" w:hAnsi="Times New Roman"/>
          <w:sz w:val="17"/>
          <w:szCs w:val="17"/>
          <w:b w:val="1"/>
          <w:bCs w:val="1"/>
          <w:color w:val="auto"/>
        </w:rPr>
      </w:pPr>
    </w:p>
    <w:p>
      <w:pPr>
        <w:jc w:val="both"/>
        <w:ind w:firstLine="5"/>
        <w:spacing w:after="0" w:line="213" w:lineRule="auto"/>
        <w:tabs>
          <w:tab w:leader="none" w:pos="29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17"/>
          <w:szCs w:val="17"/>
          <w:b w:val="1"/>
          <w:bCs w:val="1"/>
          <w:i w:val="1"/>
          <w:iCs w:val="1"/>
          <w:color w:val="auto"/>
        </w:rPr>
        <w:t>FINRA Dealer</w:t>
      </w:r>
      <w:r>
        <w:rPr>
          <w:rFonts w:ascii="Times New Roman" w:cs="Times New Roman" w:eastAsia="Times New Roman" w:hAnsi="Times New Roman"/>
          <w:sz w:val="17"/>
          <w:szCs w:val="17"/>
          <w:color w:val="auto"/>
        </w:rPr>
        <w:t>”) whereby you irrevocably elect to sell a portion of the shares to be issued in connection with your RSU Award to satisfy the Withholding Taxes and all applicable fees and commissions due to or required to be collected by the FINRA Dealer and whereby the FINRA Dealer irrevocably commits to forward the proceeds necessary to satisfy the Withholding Taxes directly to the Company and/or its Affiliates, including a commitment pursuant to a mandatory policy of the Company and/or your Employer or previously established Company-approved 10b5-1 plan (a “</w:t>
      </w:r>
      <w:r>
        <w:rPr>
          <w:rFonts w:ascii="Times New Roman" w:cs="Times New Roman" w:eastAsia="Times New Roman" w:hAnsi="Times New Roman"/>
          <w:sz w:val="17"/>
          <w:szCs w:val="17"/>
          <w:b w:val="1"/>
          <w:bCs w:val="1"/>
          <w:i w:val="1"/>
          <w:iCs w:val="1"/>
          <w:color w:val="auto"/>
        </w:rPr>
        <w:t>Sell to Cover</w:t>
      </w:r>
      <w:r>
        <w:rPr>
          <w:rFonts w:ascii="Times New Roman" w:cs="Times New Roman" w:eastAsia="Times New Roman" w:hAnsi="Times New Roman"/>
          <w:sz w:val="17"/>
          <w:szCs w:val="17"/>
          <w:color w:val="auto"/>
        </w:rPr>
        <w:t>” arrangement); or (iv) withholding shares of Common Stock from the shares of Common Stock issued or otherwise issuable to you upon settlement of the RSU Award with a value equal to the amount of such Withholding Taxes or such other amount as may be permitted while still avoiding classification of the RSU Award as a liability for financial accounting purposes, and to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extent necessary to qualify for an exemption from application of Section 16(b) of the Exchange Act, if applicable, such share withholding procedure will be subject to the express prior approval of the Company’s Board or Compensation Committee; and/or (v) any other method of withholding determined by the Company, provided such method is compliant with applicable law and the Plan.</w:t>
      </w:r>
    </w:p>
    <w:p>
      <w:pPr>
        <w:spacing w:after="0" w:line="122" w:lineRule="exact"/>
        <w:rPr>
          <w:sz w:val="20"/>
          <w:szCs w:val="20"/>
          <w:color w:val="auto"/>
        </w:rPr>
      </w:pPr>
    </w:p>
    <w:p>
      <w:pPr>
        <w:jc w:val="both"/>
        <w:ind w:firstLine="1023"/>
        <w:spacing w:after="0" w:line="215" w:lineRule="auto"/>
        <w:tabs>
          <w:tab w:leader="none" w:pos="1525" w:val="left"/>
        </w:tabs>
        <w:numPr>
          <w:ilvl w:val="1"/>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withhold or account for Withholding Taxes by considering statutory or other withholding rates, including maximum rates applicable in your jurisdiction(s). Maximum tax rates are based on the applicable rates in your jurisdiction, including your share of payroll or similar taxes, as provided in tax law, regulations, or the tax authority’s administrative practices, not to exceed the highest rate in that jurisdiction, even if that rate exceeds the highest rate that may be applicable to you. If any Withholding Taxes are satisfied by withholding a number of shares of Common Stock, for tax purposes, you will be deemed to have been issued the full number of shares of Common Stock subject to the vested Restricted Stock Units, notwithstanding that a number of the shares of Common Stock is held back solely for the purpose of paying the Withholding Taxes. If the maximum rate is used, any over-withheld amount may be refunded to you in cash by the Company or Employer (with no entitlement to the equivalent in shares of Common Stock), or if not refunded, you may seek a refund from the local tax authorities. You must pay to the Company and/or the Employer any amount of Withholding Taxes that the Company and/or the Employer may be required to withhold or account for as a result of your participation in the Plan that cannot be satisfied by the means previously described.</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3" w:lineRule="auto"/>
        <w:tabs>
          <w:tab w:leader="none" w:pos="1523" w:val="left"/>
        </w:tabs>
        <w:numPr>
          <w:ilvl w:val="1"/>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the Withholding Taxes are satisfied, the Company will have no obligation to issue to you any shares of Common Stock in respect of your RSU Award. In the event the Withholding Taxes arise prior to the issuance to you of any shares of Common Stock or it is determined after the delivery of Common Stock that the amount of the Withholding Taxes was greater than the amount withheld by the Company (or your Employer), you agree to indemnify and hold the Company (and your Employer) harmless from any failure by the Company or your Employer to withhold the proper amount.</w:t>
      </w:r>
    </w:p>
    <w:p>
      <w:pPr>
        <w:spacing w:after="0" w:line="118"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Date of Issuance.</w:t>
      </w:r>
    </w:p>
    <w:p>
      <w:pPr>
        <w:spacing w:after="0" w:line="148" w:lineRule="exact"/>
        <w:rPr>
          <w:rFonts w:ascii="Times New Roman" w:cs="Times New Roman" w:eastAsia="Times New Roman" w:hAnsi="Times New Roman"/>
          <w:sz w:val="17"/>
          <w:szCs w:val="17"/>
          <w:b w:val="1"/>
          <w:bCs w:val="1"/>
          <w:color w:val="auto"/>
        </w:rPr>
      </w:pPr>
    </w:p>
    <w:p>
      <w:pPr>
        <w:jc w:val="both"/>
        <w:ind w:firstLine="1023"/>
        <w:spacing w:after="0" w:line="223" w:lineRule="auto"/>
        <w:tabs>
          <w:tab w:leader="none" w:pos="1524" w:val="left"/>
        </w:tabs>
        <w:numPr>
          <w:ilvl w:val="1"/>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issuance of shares in respect of the Restricted Stock Units is intended to comply with Treasury Regulations Section 1.409A-1(b)(4) and will be construed and administered in such a manner. Subject to the satisfaction of the Withholding Taxes, if any, in the event one or more Restricted Stock Units vests, the Company shall issue to you one (1) share of Common Stock for each Restricted Stock Unit that vests on the applicable vesting date(s). Each issuance date determined by this paragraph is referred to as an “</w:t>
      </w:r>
      <w:r>
        <w:rPr>
          <w:rFonts w:ascii="Times New Roman" w:cs="Times New Roman" w:eastAsia="Times New Roman" w:hAnsi="Times New Roman"/>
          <w:sz w:val="17"/>
          <w:szCs w:val="17"/>
          <w:b w:val="1"/>
          <w:bCs w:val="1"/>
          <w:i w:val="1"/>
          <w:iCs w:val="1"/>
          <w:color w:val="auto"/>
        </w:rPr>
        <w:t>Original Issuance Date</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3" w:val="left"/>
        </w:tabs>
        <w:numPr>
          <w:ilvl w:val="1"/>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or to the extent not administratively feasible, as soon as practicable thereafter but in no event later than the Issuance Deadline (defined below). In addition, if:</w:t>
      </w:r>
    </w:p>
    <w:p>
      <w:pPr>
        <w:spacing w:after="0" w:line="121" w:lineRule="exact"/>
        <w:rPr>
          <w:rFonts w:ascii="Times New Roman" w:cs="Times New Roman" w:eastAsia="Times New Roman" w:hAnsi="Times New Roman"/>
          <w:sz w:val="17"/>
          <w:szCs w:val="17"/>
          <w:b w:val="1"/>
          <w:bCs w:val="1"/>
          <w:color w:val="auto"/>
        </w:rPr>
      </w:pPr>
    </w:p>
    <w:p>
      <w:pPr>
        <w:jc w:val="both"/>
        <w:ind w:firstLine="1533"/>
        <w:spacing w:after="0" w:line="223" w:lineRule="auto"/>
        <w:tabs>
          <w:tab w:leader="none" w:pos="2028" w:val="left"/>
        </w:tabs>
        <w:numPr>
          <w:ilvl w:val="2"/>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xml:space="preserve">) or under such other policy expressly approved by the Company), </w:t>
      </w:r>
      <w:r>
        <w:rPr>
          <w:rFonts w:ascii="Times New Roman" w:cs="Times New Roman" w:eastAsia="Times New Roman" w:hAnsi="Times New Roman"/>
          <w:sz w:val="17"/>
          <w:szCs w:val="17"/>
          <w:i w:val="1"/>
          <w:iCs w:val="1"/>
          <w:color w:val="auto"/>
        </w:rPr>
        <w:t>and</w:t>
      </w:r>
    </w:p>
    <w:p>
      <w:pPr>
        <w:spacing w:after="0" w:line="148" w:lineRule="exact"/>
        <w:rPr>
          <w:sz w:val="20"/>
          <w:szCs w:val="20"/>
          <w:color w:val="auto"/>
        </w:rPr>
      </w:pPr>
    </w:p>
    <w:p>
      <w:pPr>
        <w:jc w:val="both"/>
        <w:ind w:firstLine="1533"/>
        <w:spacing w:after="0" w:line="223" w:lineRule="auto"/>
        <w:tabs>
          <w:tab w:leader="none" w:pos="2032" w:val="left"/>
        </w:tabs>
        <w:numPr>
          <w:ilvl w:val="3"/>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Withholding Tax applies and the Company decides, prior to the Original Issuance Date, (A) not to satisfy the Withholding Taxes by withholding shares of Common Stock from the shares otherwise due, on the Original Issuance Date, to you under this RSU Award, and (B) not to permit you to enter into a “same day sale” commitment with a broker-dealer (including but not limited to a commitment under a 10b5-1 Arrangement) and (C) not to permit you to pay your Withholding Taxes in cash or by withholding from other compensation due to you,</w:t>
      </w:r>
    </w:p>
    <w:p>
      <w:pPr>
        <w:spacing w:after="0" w:line="143" w:lineRule="exact"/>
        <w:rPr>
          <w:rFonts w:ascii="Times New Roman" w:cs="Times New Roman" w:eastAsia="Times New Roman" w:hAnsi="Times New Roman"/>
          <w:sz w:val="17"/>
          <w:szCs w:val="17"/>
          <w:b w:val="1"/>
          <w:bCs w:val="1"/>
          <w:color w:val="auto"/>
        </w:rPr>
      </w:pPr>
    </w:p>
    <w:p>
      <w:pPr>
        <w:jc w:val="both"/>
        <w:ind w:firstLine="5"/>
        <w:spacing w:after="0" w:line="256" w:lineRule="auto"/>
        <w:tabs>
          <w:tab w:leader="none" w:pos="50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then</w:t>
      </w:r>
      <w:r>
        <w:rPr>
          <w:rFonts w:ascii="Times New Roman" w:cs="Times New Roman" w:eastAsia="Times New Roman" w:hAnsi="Times New Roman"/>
          <w:sz w:val="17"/>
          <w:szCs w:val="17"/>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the Issuance Deadline. The “</w:t>
      </w:r>
      <w:r>
        <w:rPr>
          <w:rFonts w:ascii="Times New Roman" w:cs="Times New Roman" w:eastAsia="Times New Roman" w:hAnsi="Times New Roman"/>
          <w:sz w:val="17"/>
          <w:szCs w:val="17"/>
          <w:b w:val="1"/>
          <w:bCs w:val="1"/>
          <w:i w:val="1"/>
          <w:iCs w:val="1"/>
          <w:color w:val="auto"/>
        </w:rPr>
        <w:t>Issuance Deadline</w:t>
      </w:r>
      <w:r>
        <w:rPr>
          <w:rFonts w:ascii="Times New Roman" w:cs="Times New Roman" w:eastAsia="Times New Roman" w:hAnsi="Times New Roman"/>
          <w:sz w:val="17"/>
          <w:szCs w:val="17"/>
          <w:color w:val="auto"/>
        </w:rPr>
        <w:t xml:space="preserve">” means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7"/>
          <w:szCs w:val="17"/>
          <w:u w:val="single" w:color="auto"/>
          <w:color w:val="auto"/>
        </w:rPr>
        <w:t>if and only if</w:t>
      </w:r>
      <w:r>
        <w:rPr>
          <w:rFonts w:ascii="Times New Roman" w:cs="Times New Roman" w:eastAsia="Times New Roman" w:hAnsi="Times New Roman"/>
          <w:sz w:val="17"/>
          <w:szCs w:val="17"/>
          <w:color w:val="auto"/>
        </w:rPr>
        <w:t xml:space="preserve"> permitted in a manner that complies with Treasury Regulations Section 1.409A-1(b)</w:t>
      </w: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no later than the date that is (i) the 15th day of the third month following the end of the calendar year in which the shares of Common Stock under the RSU Award are no longer subject to a “substantial risk of forfeiture” within the meaning of Treasury Regulations Section 1.409A-1(d) or (ii) the 15th day of the third month following the end of the Company’s fiscal year in which the shares of Common Stock under the RSU Award are no longer subject to a “substantial risk of forfeiture” within the meaning of Treasury Regulations Section 1.409A-1(d).</w:t>
      </w:r>
    </w:p>
    <w:p>
      <w:pPr>
        <w:spacing w:after="0" w:line="136"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2"/>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RSU Award is a Non-Exempt Award, the provisions of Section 11 of the Plan shall apply.</w:t>
      </w:r>
    </w:p>
    <w:p>
      <w:pPr>
        <w:spacing w:after="0" w:line="140" w:lineRule="exact"/>
        <w:rPr>
          <w:rFonts w:ascii="Times New Roman" w:cs="Times New Roman" w:eastAsia="Times New Roman" w:hAnsi="Times New Roman"/>
          <w:sz w:val="17"/>
          <w:szCs w:val="17"/>
          <w:b w:val="1"/>
          <w:bCs w:val="1"/>
          <w:color w:val="auto"/>
        </w:rPr>
      </w:pPr>
    </w:p>
    <w:p>
      <w:pPr>
        <w:ind w:left="1520" w:hanging="497"/>
        <w:spacing w:after="0"/>
        <w:tabs>
          <w:tab w:leader="none" w:pos="1520" w:val="left"/>
        </w:tabs>
        <w:numPr>
          <w:ilvl w:val="2"/>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form of delivery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 stock certificate or electronic entry evidencing such shares) shall be determined by the Company.</w:t>
      </w:r>
    </w:p>
    <w:p>
      <w:pPr>
        <w:spacing w:after="0" w:line="144"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1"/>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Grant. </w:t>
      </w:r>
      <w:r>
        <w:rPr>
          <w:rFonts w:ascii="Times New Roman" w:cs="Times New Roman" w:eastAsia="Times New Roman" w:hAnsi="Times New Roman"/>
          <w:sz w:val="17"/>
          <w:szCs w:val="17"/>
          <w:color w:val="auto"/>
        </w:rPr>
        <w:t>In accepting the RSU Award, you acknowledge, understand and agree that:</w:t>
      </w:r>
    </w:p>
    <w:p>
      <w:pPr>
        <w:spacing w:after="0" w:line="148"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4" w:val="left"/>
        </w:tabs>
        <w:numPr>
          <w:ilvl w:val="2"/>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Plan is established voluntarily by the Company, it is discretionary in nature, and may be amended, suspended or terminated by the Company at any time, to the extent permitted by the Plan;</w:t>
      </w:r>
    </w:p>
    <w:p>
      <w:pPr>
        <w:spacing w:after="0" w:line="121"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3" w:val="left"/>
        </w:tabs>
        <w:numPr>
          <w:ilvl w:val="2"/>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grant of the RSU Award is exceptional, voluntary and occasional and does not create any contractual or other right to receive future grants of RSUs, other equity awards or benefits in lieu of equity awards, even if equity awards have been granted in the past;</w:t>
      </w:r>
    </w:p>
    <w:p>
      <w:pPr>
        <w:spacing w:after="0" w:line="121" w:lineRule="exact"/>
        <w:rPr>
          <w:rFonts w:ascii="Times New Roman" w:cs="Times New Roman" w:eastAsia="Times New Roman" w:hAnsi="Times New Roman"/>
          <w:sz w:val="17"/>
          <w:szCs w:val="17"/>
          <w:b w:val="1"/>
          <w:bCs w:val="1"/>
          <w:color w:val="auto"/>
        </w:rPr>
      </w:pPr>
    </w:p>
    <w:p>
      <w:pPr>
        <w:ind w:left="1540" w:hanging="517"/>
        <w:spacing w:after="0"/>
        <w:tabs>
          <w:tab w:leader="none" w:pos="1540" w:val="left"/>
        </w:tabs>
        <w:numPr>
          <w:ilvl w:val="2"/>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decisions with respect to future RSU Awards or other grants, if any, will be at the sole discretion of the Company;</w:t>
      </w:r>
    </w:p>
    <w:p>
      <w:pPr>
        <w:spacing w:after="0" w:line="144"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23" w:val="left"/>
        </w:tabs>
        <w:numPr>
          <w:ilvl w:val="2"/>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RSU Award grant and your participation in the Plan shall not create a right to employment or be interpreted as forming or amending an employment or service contract with the Company, the Employer or any Affiliate;</w:t>
      </w:r>
    </w:p>
    <w:p>
      <w:pPr>
        <w:spacing w:after="0" w:line="121" w:lineRule="exact"/>
        <w:rPr>
          <w:rFonts w:ascii="Times New Roman" w:cs="Times New Roman" w:eastAsia="Times New Roman" w:hAnsi="Times New Roman"/>
          <w:sz w:val="17"/>
          <w:szCs w:val="17"/>
          <w:b w:val="1"/>
          <w:bCs w:val="1"/>
          <w:color w:val="auto"/>
        </w:rPr>
      </w:pPr>
    </w:p>
    <w:p>
      <w:pPr>
        <w:ind w:left="1540" w:hanging="517"/>
        <w:spacing w:after="0"/>
        <w:tabs>
          <w:tab w:leader="none" w:pos="1540" w:val="left"/>
        </w:tabs>
        <w:numPr>
          <w:ilvl w:val="2"/>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are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1023"/>
        <w:spacing w:after="0" w:line="238" w:lineRule="auto"/>
        <w:tabs>
          <w:tab w:leader="none" w:pos="1528"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RSU Award and any shares of Common Stock acquired under the Plan, and the income from and value of same, are not intended to replace any pension rights or compensation;</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24"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RSU Award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14" w:lineRule="exact"/>
        <w:rPr>
          <w:rFonts w:ascii="Times New Roman" w:cs="Times New Roman" w:eastAsia="Times New Roman" w:hAnsi="Times New Roman"/>
          <w:sz w:val="17"/>
          <w:szCs w:val="17"/>
          <w:b w:val="1"/>
          <w:bCs w:val="1"/>
          <w:color w:val="auto"/>
        </w:rPr>
      </w:pPr>
    </w:p>
    <w:p>
      <w:pPr>
        <w:ind w:left="1520" w:hanging="497"/>
        <w:spacing w:after="0"/>
        <w:tabs>
          <w:tab w:leader="none" w:pos="1520"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future value of the shares of Common Stock underlying the RSU Award is unknown, indeterminable, and cannot be predicted with</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certainty;</w:t>
      </w:r>
    </w:p>
    <w:p>
      <w:pPr>
        <w:spacing w:after="0" w:line="126" w:lineRule="exact"/>
        <w:rPr>
          <w:rFonts w:ascii="Times New Roman" w:cs="Times New Roman" w:eastAsia="Times New Roman" w:hAnsi="Times New Roman"/>
          <w:sz w:val="17"/>
          <w:szCs w:val="17"/>
          <w:b w:val="1"/>
          <w:bCs w:val="1"/>
          <w:color w:val="auto"/>
        </w:rPr>
      </w:pPr>
    </w:p>
    <w:p>
      <w:pPr>
        <w:ind w:firstLine="1023"/>
        <w:spacing w:after="0" w:line="238" w:lineRule="auto"/>
        <w:tabs>
          <w:tab w:leader="none" w:pos="1518"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RSU Award vests and you are issued shares of Common Stock, the value of such shares of Common Stock may increase or decrease in value following the date the shares are issued; even below the Fair Market Value on the date the RSU Award is granted to you;</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17" w:lineRule="auto"/>
        <w:tabs>
          <w:tab w:leader="none" w:pos="1528"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the RSU Award,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RSU Award under the Plan, if any, will terminate as of such date and will not be extended by any notice period or any period of “garden leave” or similar period mandated under employment laws in the jurisdiction where you are employed or the terms of your employment agreement, if any); and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120"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23"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claim or entitlement to compensation or damages shall arise from forfeiture of the RSU Award resulting from your termination of Continuous Service (for any reason whatsoever, whether or not later found to be invalid or in breach of employment laws in the jurisdiction where you are employed, or the terms of your employment agreement, if any);</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18"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otherwise agreed with the Company in writing, the RSU Award and any shares of Common Stock acquired under the Plan, and the income from and value of same, are not granted as consideration for, or in connection with, any service you may provide as a director of the Company or any Affiliate; and</w:t>
      </w:r>
    </w:p>
    <w:p>
      <w:pPr>
        <w:spacing w:after="0" w:line="121" w:lineRule="exact"/>
        <w:rPr>
          <w:rFonts w:ascii="Times New Roman" w:cs="Times New Roman" w:eastAsia="Times New Roman" w:hAnsi="Times New Roman"/>
          <w:sz w:val="17"/>
          <w:szCs w:val="17"/>
          <w:b w:val="1"/>
          <w:bCs w:val="1"/>
          <w:color w:val="auto"/>
        </w:rPr>
      </w:pPr>
    </w:p>
    <w:p>
      <w:pPr>
        <w:jc w:val="both"/>
        <w:ind w:firstLine="1023"/>
        <w:spacing w:after="0" w:line="228" w:lineRule="auto"/>
        <w:tabs>
          <w:tab w:leader="none" w:pos="1528" w:val="left"/>
        </w:tabs>
        <w:numPr>
          <w:ilvl w:val="1"/>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neither the Company, the Employer or any Affiliate shall be liable for any foreign exchange rate fluctuation between your local currency and the United States Dollar that may affect the value of the RSU Award or the subsequent sale of any shares of Common Stock acquired upon settlement of the RSU Award.</w:t>
      </w:r>
    </w:p>
    <w:p>
      <w:pPr>
        <w:spacing w:after="0" w:line="117"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Transferability. </w:t>
      </w:r>
      <w:r>
        <w:rPr>
          <w:rFonts w:ascii="Times New Roman" w:cs="Times New Roman" w:eastAsia="Times New Roman" w:hAnsi="Times New Roman"/>
          <w:sz w:val="17"/>
          <w:szCs w:val="17"/>
          <w:color w:val="auto"/>
        </w:rPr>
        <w:t>Except as otherwise provided in the Plan, your RSU Award is not transferable, except by will or by the applicable laws of descent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distribution.</w:t>
      </w:r>
    </w:p>
    <w:p>
      <w:pPr>
        <w:spacing w:after="0" w:line="115"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Corporate Transaction. </w:t>
      </w:r>
      <w:r>
        <w:rPr>
          <w:rFonts w:ascii="Times New Roman" w:cs="Times New Roman" w:eastAsia="Times New Roman" w:hAnsi="Times New Roman"/>
          <w:sz w:val="17"/>
          <w:szCs w:val="17"/>
          <w:color w:val="auto"/>
        </w:rPr>
        <w:t>Your RSU Award is subject to the terms of any agreement governing a Corporate Transaction involving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without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limitation, a provision for the appointment of a stockholder representative that is authorized to act on your behalf with respect to any escrow, indemnities and any contingent consideration.</w:t>
      </w:r>
    </w:p>
    <w:p>
      <w:pPr>
        <w:spacing w:after="0" w:line="118" w:lineRule="exact"/>
        <w:rPr>
          <w:sz w:val="20"/>
          <w:szCs w:val="20"/>
          <w:color w:val="auto"/>
        </w:rPr>
      </w:pPr>
    </w:p>
    <w:p>
      <w:pPr>
        <w:jc w:val="both"/>
        <w:ind w:firstLine="514"/>
        <w:spacing w:after="0" w:line="224" w:lineRule="auto"/>
        <w:tabs>
          <w:tab w:leader="none" w:pos="101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Liability for Taxes</w:t>
      </w:r>
      <w:r>
        <w:rPr>
          <w:rFonts w:ascii="Times New Roman" w:cs="Times New Roman" w:eastAsia="Times New Roman" w:hAnsi="Times New Roman"/>
          <w:sz w:val="17"/>
          <w:szCs w:val="17"/>
          <w:color w:val="auto"/>
        </w:rPr>
        <w:t>. As a condition to accepting the RSU Award, you hereby (a) agree to not make any claim against the Company, or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24" w:lineRule="auto"/>
        <w:tabs>
          <w:tab w:leader="none" w:pos="101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part of this Agreement or the Plan is declared by any court or governmental authority to be unlawful or invalid, such unlawfulness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18"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0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Waiver. </w:t>
      </w:r>
      <w:r>
        <w:rPr>
          <w:rFonts w:ascii="Times New Roman" w:cs="Times New Roman" w:eastAsia="Times New Roman" w:hAnsi="Times New Roman"/>
          <w:sz w:val="17"/>
          <w:szCs w:val="17"/>
          <w:color w:val="auto"/>
        </w:rPr>
        <w:t>You acknowledge that a waiver by the Company of a breach of any provision of this Agreement shall not operate or be construed as a waiver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any other provision of this Agreement, or of any subsequent breach of this Agreement.</w:t>
      </w:r>
    </w:p>
    <w:p>
      <w:pPr>
        <w:spacing w:after="0" w:line="115"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Advice Regarding Grant. </w:t>
      </w:r>
      <w:r>
        <w:rPr>
          <w:rFonts w:ascii="Times New Roman" w:cs="Times New Roman" w:eastAsia="Times New Roman" w:hAnsi="Times New Roman"/>
          <w:sz w:val="17"/>
          <w:szCs w:val="17"/>
          <w:color w:val="auto"/>
        </w:rPr>
        <w:t>The Company is not providing any tax, legal or financial advice, nor is the Company making any recommendations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117" w:lineRule="exact"/>
        <w:rPr>
          <w:rFonts w:ascii="Times New Roman" w:cs="Times New Roman" w:eastAsia="Times New Roman" w:hAnsi="Times New Roman"/>
          <w:sz w:val="17"/>
          <w:szCs w:val="17"/>
          <w:b w:val="1"/>
          <w:bCs w:val="1"/>
          <w:color w:val="auto"/>
        </w:rPr>
      </w:pPr>
    </w:p>
    <w:p>
      <w:pPr>
        <w:jc w:val="both"/>
        <w:ind w:firstLine="514"/>
        <w:spacing w:after="0" w:line="224" w:lineRule="auto"/>
        <w:tabs>
          <w:tab w:leader="none" w:pos="101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DATA PRIVACY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By signing the Grant Notice or otherwise accepting this Agreement in accordance with the Company’s acceptance procedures, you declare that you agree with the data processing practices described herein and consent to the collection, processing and use of your Personal Data (as defined below) by the Company and the transfer of your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24" w:lineRule="auto"/>
        <w:tabs>
          <w:tab w:leader="none" w:pos="1524" w:val="left"/>
        </w:tabs>
        <w:numPr>
          <w:ilvl w:val="1"/>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Declaration of Consent</w:t>
      </w:r>
      <w:r>
        <w:rPr>
          <w:rFonts w:ascii="Times New Roman" w:cs="Times New Roman" w:eastAsia="Times New Roman" w:hAnsi="Times New Roman"/>
          <w:sz w:val="17"/>
          <w:szCs w:val="17"/>
          <w:b w:val="1"/>
          <w:bCs w:val="1"/>
          <w:i w:val="1"/>
          <w:iCs w:val="1"/>
          <w:color w:val="auto"/>
        </w:rPr>
        <w:t>. You understand that you need to review the following information about the processing of your personal data by or on behalf of the Company, the Employer and/or any Affiliate, as described herein, and any other RSU Award materials (the “Personal Data”) and declare your consent. With regard to the processing of your Personal Data in connection with the Plan, you understand that the Company is the controller of the Personal Data.</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19" w:lineRule="auto"/>
        <w:tabs>
          <w:tab w:leader="none" w:pos="1523" w:val="left"/>
        </w:tabs>
        <w:numPr>
          <w:ilvl w:val="1"/>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Data Processing and Legal Basis</w:t>
      </w:r>
      <w:r>
        <w:rPr>
          <w:rFonts w:ascii="Times New Roman" w:cs="Times New Roman" w:eastAsia="Times New Roman" w:hAnsi="Times New Roman"/>
          <w:sz w:val="17"/>
          <w:szCs w:val="17"/>
          <w:b w:val="1"/>
          <w:bCs w:val="1"/>
          <w:i w:val="1"/>
          <w:iCs w:val="1"/>
          <w:color w:val="auto"/>
        </w:rPr>
        <w:t>. The Company collects, uses and otherwise processes your Personal Data for the purposes of allocating shares of Common Stock and implementing, administering and managing the Plan. You understand that this Personal Data may include, without limitation, your name, home address and telephone number, email address, date of birth, social insurance number, passport number or other identification number (e.g., resident registration number), salary, nationality, job title, any shares of Common Stock or directorships held in the Company or its Subsidiaries, details of all RSU Awards or any other entitlement to shares of Common Stock or equivalent benefits awarded, canceled, exercised, vested, unvested or outstanding in your favor. The legal basis for the processing of your Personal Data will be your consent.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8.</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399" w:lineRule="exact"/>
        <w:rPr>
          <w:sz w:val="20"/>
          <w:szCs w:val="20"/>
          <w:color w:val="auto"/>
        </w:rPr>
      </w:pPr>
    </w:p>
    <w:p>
      <w:pPr>
        <w:jc w:val="both"/>
        <w:ind w:firstLine="1023"/>
        <w:spacing w:after="0" w:line="219" w:lineRule="auto"/>
        <w:tabs>
          <w:tab w:leader="none" w:pos="1525"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Stock Plan Administration Service Providers</w:t>
      </w:r>
      <w:r>
        <w:rPr>
          <w:rFonts w:ascii="Times New Roman" w:cs="Times New Roman" w:eastAsia="Times New Roman" w:hAnsi="Times New Roman"/>
          <w:sz w:val="17"/>
          <w:szCs w:val="17"/>
          <w:b w:val="1"/>
          <w:bCs w:val="1"/>
          <w:i w:val="1"/>
          <w:iCs w:val="1"/>
          <w:color w:val="auto"/>
        </w:rPr>
        <w:t>. You understand that the Company may transfer your Personal Data, or parts thereof, to E*Trade Financial Corporate Services, Inc. (and its affiliated companies), an independent service provider based in the United States which assists the Company with the implementation, administration and management of the Plan. In the future, the Company may select a different service provider and share your Personal Data with such different service provider that serves the Company in a similar manner. You understand and acknowledge that the Company’s service provider may open an account for you to receive and trade shares of Common Stock acquired under the Plan and that you will be asked to agree on separate terms and data processing practices with the service provider, which is a condition of your ability to participate in the Plan.</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14" w:lineRule="auto"/>
        <w:tabs>
          <w:tab w:leader="none" w:pos="1523"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International Data Transfers.</w:t>
      </w:r>
      <w:r>
        <w:rPr>
          <w:rFonts w:ascii="Times New Roman" w:cs="Times New Roman" w:eastAsia="Times New Roman" w:hAnsi="Times New Roman"/>
          <w:sz w:val="17"/>
          <w:szCs w:val="17"/>
          <w:b w:val="1"/>
          <w:bCs w:val="1"/>
          <w:i w:val="1"/>
          <w:iCs w:val="1"/>
          <w:color w:val="auto"/>
        </w:rPr>
        <w:t xml:space="preserve"> You understand that the Company and, as of the date hereof, any third parties assisting in the implementation, administration and management of the Plan, such as the Company’s service providers, are based in the United States. If you are located outside the United States, you understand and acknowledge that your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you are located in the EU or EEA, the Company may receive, process and transfer your Personal Data onward to third-party service providers solely on the basis of appropriate data transfer agreements or other appropriate safeguards permissible under Applicable Law. If applicable, you understand that you can ask for a copy of the appropriate data processing agreements underlying the transfer of your Personal Data by contacting your local human resources representative. The Company’s legal basis for the transfer of your Personal Data is your consent.</w:t>
      </w:r>
    </w:p>
    <w:p>
      <w:pPr>
        <w:spacing w:after="0" w:line="124" w:lineRule="exact"/>
        <w:rPr>
          <w:rFonts w:ascii="Times New Roman" w:cs="Times New Roman" w:eastAsia="Times New Roman" w:hAnsi="Times New Roman"/>
          <w:sz w:val="17"/>
          <w:szCs w:val="17"/>
          <w:b w:val="1"/>
          <w:bCs w:val="1"/>
          <w:color w:val="auto"/>
        </w:rPr>
      </w:pPr>
    </w:p>
    <w:p>
      <w:pPr>
        <w:jc w:val="both"/>
        <w:ind w:firstLine="1023"/>
        <w:spacing w:after="0" w:line="221" w:lineRule="auto"/>
        <w:tabs>
          <w:tab w:leader="none" w:pos="1525"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Data Retention.</w:t>
      </w:r>
      <w:r>
        <w:rPr>
          <w:rFonts w:ascii="Times New Roman" w:cs="Times New Roman" w:eastAsia="Times New Roman" w:hAnsi="Times New Roman"/>
          <w:sz w:val="17"/>
          <w:szCs w:val="17"/>
          <w:b w:val="1"/>
          <w:bCs w:val="1"/>
          <w:i w:val="1"/>
          <w:iCs w:val="1"/>
          <w:color w:val="auto"/>
        </w:rPr>
        <w:t xml:space="preserve"> You understand that the Company will use your Personal Data only as long as is necessary to implement, administer and manage your participation in the Plan, or to comply with legal or regulatory obligations, including under tax and securities laws. In the latter case, you understand and acknowledge that the Company’s legal basis for the processing of your Personal Data would be compliance with Applicable Law or the pursuit by the Company of respective legitimate interests not outweighed by your interests, rights or freedoms. When the Company no longer needs your Personal Data for any of the above purposes, you understand the Company will remove it from its systems.</w:t>
      </w:r>
    </w:p>
    <w:p>
      <w:pPr>
        <w:spacing w:after="0" w:line="118" w:lineRule="exact"/>
        <w:rPr>
          <w:rFonts w:ascii="Times New Roman" w:cs="Times New Roman" w:eastAsia="Times New Roman" w:hAnsi="Times New Roman"/>
          <w:sz w:val="17"/>
          <w:szCs w:val="17"/>
          <w:b w:val="1"/>
          <w:bCs w:val="1"/>
          <w:color w:val="auto"/>
        </w:rPr>
      </w:pPr>
    </w:p>
    <w:p>
      <w:pPr>
        <w:jc w:val="both"/>
        <w:ind w:firstLine="1023"/>
        <w:spacing w:after="0" w:line="221" w:lineRule="auto"/>
        <w:tabs>
          <w:tab w:leader="none" w:pos="1528"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Voluntariness and Consequences of Denial/Withdrawal of Consent</w:t>
      </w:r>
      <w:r>
        <w:rPr>
          <w:rFonts w:ascii="Times New Roman" w:cs="Times New Roman" w:eastAsia="Times New Roman" w:hAnsi="Times New Roman"/>
          <w:sz w:val="17"/>
          <w:szCs w:val="17"/>
          <w:b w:val="1"/>
          <w:bCs w:val="1"/>
          <w:i w:val="1"/>
          <w:iCs w:val="1"/>
          <w:color w:val="auto"/>
        </w:rPr>
        <w:t>. You understand that your participation in the Plan and your grant of consent is purely voluntary. You may deny or later withdraw your consent at any time, with future effect and for any or no reason. If you deny or later withdraw your consent, the Company can no longer offer you participation in the Plan or offer other awards to you or administer or maintain such awards and you would no longer be able to participate in the Plan. You further understand that denial or withdrawal of your consent would not affect your status or salary as an employee or your career and that you would merely forfeit the opportunities associated with the Plan.</w:t>
      </w:r>
    </w:p>
    <w:p>
      <w:pPr>
        <w:spacing w:after="0" w:line="118" w:lineRule="exact"/>
        <w:rPr>
          <w:rFonts w:ascii="Times New Roman" w:cs="Times New Roman" w:eastAsia="Times New Roman" w:hAnsi="Times New Roman"/>
          <w:sz w:val="17"/>
          <w:szCs w:val="17"/>
          <w:b w:val="1"/>
          <w:bCs w:val="1"/>
          <w:color w:val="auto"/>
        </w:rPr>
      </w:pPr>
    </w:p>
    <w:p>
      <w:pPr>
        <w:ind w:firstLine="1023"/>
        <w:spacing w:after="0" w:line="242" w:lineRule="auto"/>
        <w:tabs>
          <w:tab w:leader="none" w:pos="1524"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Data Subject Rights.</w:t>
      </w:r>
      <w:r>
        <w:rPr>
          <w:rFonts w:ascii="Times New Roman" w:cs="Times New Roman" w:eastAsia="Times New Roman" w:hAnsi="Times New Roman"/>
          <w:sz w:val="17"/>
          <w:szCs w:val="17"/>
          <w:b w:val="1"/>
          <w:bCs w:val="1"/>
          <w:i w:val="1"/>
          <w:iCs w:val="1"/>
          <w:color w:val="auto"/>
        </w:rPr>
        <w:t xml:space="preserve"> You understand that data subject rights regarding the processing of personal data vary depending on the Applicable Law and that, depending on where you are based and subject to the conditions set out in the Applicable Law, you may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39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b w:val="1"/>
          <w:bCs w:val="1"/>
          <w:i w:val="1"/>
          <w:iCs w:val="1"/>
          <w:color w:val="auto"/>
        </w:rPr>
        <w:t>have, without limitation, the rights to (i) inquire whether and what kind of Personal Data the Company holds about you and how it is processed, and to access or request copies of such Personal Data, (ii) request the correction or supplementation of Personal Data about you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your objection, do not prove to be compelling, or processed in non-compliance with applicable legal requirements, (iv) request the Company to restrict the processing of your Personal Data in certain situations where you feel its processing is inappropriate, (v) object, in certain circumstances, to the processing of Personal Data for legitimate interests, and to (vi) request portability of your Personal Data that you have actively or passively provided to the Company (which does not include data derived or inferred from the collected data), where the processing of such Personal Data is based on consent or your employment or service agreement and is carried out by automated means. In case of concerns, you understand that you may also have the right to lodge a complaint with the competent local data protection authority. Further, to receive clarification of, or to exercise any of your rights, you should contact your local human resources representative.</w:t>
      </w:r>
    </w:p>
    <w:p>
      <w:pPr>
        <w:spacing w:after="0" w:line="124" w:lineRule="exact"/>
        <w:rPr>
          <w:sz w:val="20"/>
          <w:szCs w:val="20"/>
          <w:color w:val="auto"/>
        </w:rPr>
      </w:pPr>
    </w:p>
    <w:p>
      <w:pPr>
        <w:jc w:val="both"/>
        <w:ind w:firstLine="1023"/>
        <w:spacing w:after="0" w:line="219" w:lineRule="auto"/>
        <w:tabs>
          <w:tab w:leader="none" w:pos="1523" w:val="left"/>
        </w:tabs>
        <w:numPr>
          <w:ilvl w:val="1"/>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u w:val="single" w:color="auto"/>
          <w:color w:val="auto"/>
        </w:rPr>
        <w:t>Alternate Basis and Additional Consents.</w:t>
      </w:r>
      <w:r>
        <w:rPr>
          <w:rFonts w:ascii="Times New Roman" w:cs="Times New Roman" w:eastAsia="Times New Roman" w:hAnsi="Times New Roman"/>
          <w:sz w:val="17"/>
          <w:szCs w:val="17"/>
          <w:b w:val="1"/>
          <w:bCs w:val="1"/>
          <w:i w:val="1"/>
          <w:iCs w:val="1"/>
          <w:color w:val="auto"/>
        </w:rPr>
        <w:t xml:space="preserve"> Finally, you understand that the Company may rely on a different basis for the processing or transfer of Personal Data in the future and/or request that you provide another data privacy consent. If applicable, you agree that upon request of the Company or the Employer, you will provide an executed acknowledgement or data privacy consent form (or any other agreements or consents)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24" w:lineRule="auto"/>
        <w:tabs>
          <w:tab w:leader="none" w:pos="1019"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Language. </w:t>
      </w:r>
      <w:r>
        <w:rPr>
          <w:rFonts w:ascii="Times New Roman" w:cs="Times New Roman" w:eastAsia="Times New Roman" w:hAnsi="Times New Roman"/>
          <w:sz w:val="17"/>
          <w:szCs w:val="17"/>
          <w:color w:val="auto"/>
        </w:rPr>
        <w:t>You acknowledge that you are sufficiently proficient in the English language, or have consulted with an advisor who is sufficiently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Venue. </w:t>
      </w:r>
      <w:r>
        <w:rPr>
          <w:rFonts w:ascii="Times New Roman" w:cs="Times New Roman" w:eastAsia="Times New Roman" w:hAnsi="Times New Roman"/>
          <w:sz w:val="17"/>
          <w:szCs w:val="17"/>
          <w:color w:val="auto"/>
        </w:rPr>
        <w:t>For purposes of any action, lawsuit or other proceeding brought to enforce this Agreement, relating to it, or arising from it, the parties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17" w:lineRule="exact"/>
        <w:rPr>
          <w:rFonts w:ascii="Times New Roman" w:cs="Times New Roman" w:eastAsia="Times New Roman" w:hAnsi="Times New Roman"/>
          <w:sz w:val="17"/>
          <w:szCs w:val="17"/>
          <w:b w:val="1"/>
          <w:bCs w:val="1"/>
          <w:color w:val="auto"/>
        </w:rPr>
      </w:pPr>
    </w:p>
    <w:p>
      <w:pPr>
        <w:jc w:val="both"/>
        <w:ind w:firstLine="514"/>
        <w:spacing w:after="0" w:line="219" w:lineRule="auto"/>
        <w:tabs>
          <w:tab w:leader="none" w:pos="1019"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Insider Trading Restrictions / Market Abuse Law. </w:t>
      </w:r>
      <w:r>
        <w:rPr>
          <w:rFonts w:ascii="Times New Roman" w:cs="Times New Roman" w:eastAsia="Times New Roman" w:hAnsi="Times New Roman"/>
          <w:sz w:val="17"/>
          <w:szCs w:val="17"/>
          <w:color w:val="auto"/>
        </w:rPr>
        <w:t>You may be subject to insider trading restrictions and/or market abuse laws based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RSU Awards)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18" w:lineRule="exact"/>
        <w:rPr>
          <w:sz w:val="20"/>
          <w:szCs w:val="20"/>
          <w:color w:val="auto"/>
        </w:rPr>
      </w:pPr>
    </w:p>
    <w:p>
      <w:pPr>
        <w:jc w:val="both"/>
        <w:ind w:firstLine="514"/>
        <w:spacing w:after="0" w:line="217" w:lineRule="auto"/>
        <w:tabs>
          <w:tab w:leader="none" w:pos="1019"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Foreign Asset/Account, Exchange Control and Tax Reporting. </w:t>
      </w:r>
      <w:r>
        <w:rPr>
          <w:rFonts w:ascii="Times New Roman" w:cs="Times New Roman" w:eastAsia="Times New Roman" w:hAnsi="Times New Roman"/>
          <w:sz w:val="17"/>
          <w:szCs w:val="17"/>
          <w:color w:val="auto"/>
        </w:rPr>
        <w:t>You may be subject to foreign asset/account, exchange control and/or tax reporting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20" w:lineRule="exact"/>
        <w:rPr>
          <w:rFonts w:ascii="Times New Roman" w:cs="Times New Roman" w:eastAsia="Times New Roman" w:hAnsi="Times New Roman"/>
          <w:sz w:val="17"/>
          <w:szCs w:val="17"/>
          <w:b w:val="1"/>
          <w:bCs w:val="1"/>
          <w:color w:val="auto"/>
        </w:rPr>
      </w:pPr>
    </w:p>
    <w:p>
      <w:pPr>
        <w:jc w:val="both"/>
        <w:ind w:firstLine="514"/>
        <w:spacing w:after="0" w:line="221" w:lineRule="auto"/>
        <w:tabs>
          <w:tab w:leader="none" w:pos="1019"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Country-Specific Provisions. </w:t>
      </w:r>
      <w:r>
        <w:rPr>
          <w:rFonts w:ascii="Times New Roman" w:cs="Times New Roman" w:eastAsia="Times New Roman" w:hAnsi="Times New Roman"/>
          <w:sz w:val="17"/>
          <w:szCs w:val="17"/>
          <w:color w:val="auto"/>
        </w:rPr>
        <w:t>Notwithstanding any provisions of this Agreement to the contrary, if you reside or are employed outside of the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States, the RSU Award shall be subject to any terms and conditions for your country of residence (and country of employment, if different) set forth in the appendix attached hereto (the “</w:t>
      </w:r>
      <w:r>
        <w:rPr>
          <w:rFonts w:ascii="Times New Roman" w:cs="Times New Roman" w:eastAsia="Times New Roman" w:hAnsi="Times New Roman"/>
          <w:sz w:val="17"/>
          <w:szCs w:val="17"/>
          <w:b w:val="1"/>
          <w:bCs w:val="1"/>
          <w:i w:val="1"/>
          <w:iCs w:val="1"/>
          <w:color w:val="auto"/>
        </w:rPr>
        <w:t>Appendix</w:t>
      </w:r>
      <w:r>
        <w:rPr>
          <w:rFonts w:ascii="Times New Roman" w:cs="Times New Roman" w:eastAsia="Times New Roman" w:hAnsi="Times New Roman"/>
          <w:sz w:val="17"/>
          <w:szCs w:val="17"/>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Agreement.</w:t>
      </w:r>
    </w:p>
    <w:p>
      <w:pPr>
        <w:spacing w:after="0" w:line="118" w:lineRule="exact"/>
        <w:rPr>
          <w:rFonts w:ascii="Times New Roman" w:cs="Times New Roman" w:eastAsia="Times New Roman" w:hAnsi="Times New Roman"/>
          <w:sz w:val="17"/>
          <w:szCs w:val="17"/>
          <w:b w:val="1"/>
          <w:bCs w:val="1"/>
          <w:color w:val="auto"/>
        </w:rPr>
      </w:pPr>
    </w:p>
    <w:p>
      <w:pPr>
        <w:jc w:val="both"/>
        <w:ind w:firstLine="514"/>
        <w:spacing w:after="0" w:line="230" w:lineRule="auto"/>
        <w:tabs>
          <w:tab w:leader="none" w:pos="1019"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Imposition of Other Requirements. </w:t>
      </w:r>
      <w:r>
        <w:rPr>
          <w:rFonts w:ascii="Times New Roman" w:cs="Times New Roman" w:eastAsia="Times New Roman" w:hAnsi="Times New Roman"/>
          <w:sz w:val="17"/>
          <w:szCs w:val="17"/>
          <w:color w:val="auto"/>
        </w:rPr>
        <w:t>The Company reserves the right to impose other requirements on your participation in the Plan, on the RSU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17"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Documents. </w:t>
      </w:r>
      <w:r>
        <w:rPr>
          <w:rFonts w:ascii="Times New Roman" w:cs="Times New Roman" w:eastAsia="Times New Roman" w:hAnsi="Times New Roman"/>
          <w:sz w:val="17"/>
          <w:szCs w:val="17"/>
          <w:color w:val="auto"/>
        </w:rPr>
        <w:t>You hereby acknowledge receipt of or the right to receive a document providing the information required by Rule 428(b)(1)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promulgated under the Securities Act, which includes the Prospectus. In addition, you acknowledge receipt of the Company’s Trading Policy.</w:t>
      </w:r>
    </w:p>
    <w:p>
      <w:pPr>
        <w:spacing w:after="0" w:line="115" w:lineRule="exact"/>
        <w:rPr>
          <w:rFonts w:ascii="Times New Roman" w:cs="Times New Roman" w:eastAsia="Times New Roman" w:hAnsi="Times New Roman"/>
          <w:sz w:val="17"/>
          <w:szCs w:val="17"/>
          <w:b w:val="1"/>
          <w:bCs w:val="1"/>
          <w:color w:val="auto"/>
        </w:rPr>
      </w:pPr>
    </w:p>
    <w:p>
      <w:pPr>
        <w:ind w:firstLine="514"/>
        <w:spacing w:after="0" w:line="242" w:lineRule="auto"/>
        <w:tabs>
          <w:tab w:leader="none" w:pos="1019"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Questions. </w:t>
      </w:r>
      <w:r>
        <w:rPr>
          <w:rFonts w:ascii="Times New Roman" w:cs="Times New Roman" w:eastAsia="Times New Roman" w:hAnsi="Times New Roman"/>
          <w:sz w:val="17"/>
          <w:szCs w:val="17"/>
          <w:color w:val="auto"/>
        </w:rPr>
        <w:t>If you have questions regarding these or any other terms and conditions applicable to your RSU Award, including a summary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federal income tax consequences please see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11.</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APPENDIX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GLOBAL RSU AWARD AGREEMENT</w:t>
      </w:r>
    </w:p>
    <w:p>
      <w:pPr>
        <w:spacing w:after="0" w:line="158" w:lineRule="exact"/>
        <w:rPr>
          <w:sz w:val="20"/>
          <w:szCs w:val="20"/>
          <w:color w:val="auto"/>
        </w:rPr>
      </w:pPr>
    </w:p>
    <w:p>
      <w:pPr>
        <w:ind w:right="1880"/>
        <w:spacing w:after="0" w:line="455" w:lineRule="auto"/>
        <w:rPr>
          <w:sz w:val="20"/>
          <w:szCs w:val="20"/>
          <w:color w:val="auto"/>
        </w:rPr>
      </w:pPr>
      <w:r>
        <w:rPr>
          <w:rFonts w:ascii="Times New Roman" w:cs="Times New Roman" w:eastAsia="Times New Roman" w:hAnsi="Times New Roman"/>
          <w:sz w:val="17"/>
          <w:szCs w:val="17"/>
          <w:color w:val="auto"/>
        </w:rPr>
        <w:t xml:space="preserve">Capitalized terms used but not defined in this Appendix have the meanings set forth in the Plan and/or the Global RSU Award Agreement. </w:t>
      </w:r>
      <w:r>
        <w:rPr>
          <w:rFonts w:ascii="Times New Roman" w:cs="Times New Roman" w:eastAsia="Times New Roman" w:hAnsi="Times New Roman"/>
          <w:sz w:val="17"/>
          <w:szCs w:val="17"/>
          <w:b w:val="1"/>
          <w:bCs w:val="1"/>
          <w:i w:val="1"/>
          <w:iCs w:val="1"/>
          <w:color w:val="auto"/>
        </w:rPr>
        <w:t>Terms and Conditions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Appendix includes additional terms and conditions that govern the RSU Award granted to you under the Plan if you are an employee that works or resides outside the U.S. and/or in one of the countries listed below.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April 2019.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the RSU or sell any shares of Common Stock acquired upon settlement of the vested RSU.</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u w:val="single" w:color="auto"/>
          <w:color w:val="auto"/>
        </w:rPr>
        <w:t>Tax Conditions</w:t>
      </w:r>
      <w:r>
        <w:rPr>
          <w:rFonts w:ascii="Times New Roman" w:cs="Times New Roman" w:eastAsia="Times New Roman" w:hAnsi="Times New Roman"/>
          <w:sz w:val="17"/>
          <w:szCs w:val="17"/>
          <w:color w:val="auto"/>
        </w:rPr>
        <w:t>. Subdivision 83A-C of the Income Tax Assessment Act 1997 (Cth) applies to the RSU Award granted under the Plan, such that the RSU Award is intended to be subject to deferred taxation.</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Australian Offer Document</w:t>
      </w:r>
      <w:r>
        <w:rPr>
          <w:rFonts w:ascii="Times New Roman" w:cs="Times New Roman" w:eastAsia="Times New Roman" w:hAnsi="Times New Roman"/>
          <w:sz w:val="17"/>
          <w:szCs w:val="17"/>
          <w:color w:val="auto"/>
        </w:rPr>
        <w:t>. The offering of the Plan in Australia is intended to qualify for an exemption from the prospectus requirements under Class Order 14/1000 issued by the Australian Securities and Investments Commission. Additional details are set forth in the Offer Document for the offer of RSU Awards to Australian Resident Employees, which was provided to you with this RSU Award Agreement.</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If you are an Australian resident, exchange control reporting is required for cash transactions exceeding AUD10,000 and international fund transfers. If an Australian bank is assisting with the transaction, the bank will file the report on your behalf. If there is no Australian bank involved with the transfer, you will be required to file the report.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following provision replaces Section 6(j) of the Global RSU Award Agreement in its entirety:</w:t>
      </w:r>
    </w:p>
    <w:p>
      <w:pPr>
        <w:spacing w:after="0" w:line="176" w:lineRule="exact"/>
        <w:rPr>
          <w:sz w:val="20"/>
          <w:szCs w:val="20"/>
          <w:color w:val="auto"/>
        </w:rPr>
      </w:pPr>
    </w:p>
    <w:p>
      <w:pPr>
        <w:jc w:val="both"/>
        <w:ind w:firstLine="181"/>
        <w:spacing w:after="0" w:line="255" w:lineRule="auto"/>
        <w:tabs>
          <w:tab w:leader="none" w:pos="512"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termination of your Continuous Service (whether or not later found to be invalid or in breach of employment laws in the jurisdiction where you are employed or the terms of your employment agreement, if any), unless otherwise provided in the RSU Award Agreement or determined by the Company, your right to vest in the RSU Award under the Plan will terminate effective as of the earlier of (i) the date upon which you cease to provide services, or (ii) the date upon which you receive a notice of termination and will not in either case be extended by any contractual notice period in which you do not actively provide services or any period of pay in lieu of such notice (including, but not limited to Canadian statutory law, regulatory law and/or common law) mandated under employment laws in the jurisdiction where you are employed or the terms of your employment agreement, if any;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terms and conditions apply to employees resident in Quebec:</w:t>
      </w:r>
    </w:p>
    <w:p>
      <w:pPr>
        <w:spacing w:after="0" w:line="20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13.</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provision supplements Section 13 of the Global RSU Award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You hereby authorize the Company or any Affiliate, including the Employer,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advisors. You further authorize the Company or any Affiliate, including the Employer, and any agents or representatives to record such information and to keep such information in your employee file.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Securities Law Information</w:t>
      </w:r>
      <w:r>
        <w:rPr>
          <w:rFonts w:ascii="Times New Roman" w:cs="Times New Roman" w:eastAsia="Times New Roman" w:hAnsi="Times New Roman"/>
          <w:sz w:val="17"/>
          <w:szCs w:val="17"/>
          <w:color w:val="auto"/>
        </w:rPr>
        <w:t>. You are permitted to sell shares of Common Stock acquired under the Plan through the designated broker appointed under the Plan, if any, provided the resale of shares of Common Stock acquired under the Plan takes place outside Canada through the facilities of the exchange on which the shares of Common Stock are then listed.</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Canadian residents are required to report any foreign specified property held outside Canada (including RSU Awards and shares of Common Stock acquired under the Plan) annually on form T1135 (Foreign Income Verification Statement) if the total cost of the foreign specified property exceeds CAD 100,000 at any time during the year. Thus, if the CAD 100,000 cost threshold is exceeded by other foreign specified property held by the individual, RSU Awards must be reported (generally at a nil cost). For purposes of such reporting, shares of Common Stock acquired under the Plan may be reported at their adjusted cost basis. The adjusted cost basis of a share is generally equal to the fair market value of such share at the time of acquisition; however, if you own other shares of Common Stock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acquired under other circumstances or at another time), the adjusted cost basis may have to be averaged with the adjusted cost bases of the other shares of Common Stock. </w:t>
      </w:r>
      <w:r>
        <w:rPr>
          <w:rFonts w:ascii="Times New Roman" w:cs="Times New Roman" w:eastAsia="Times New Roman" w:hAnsi="Times New Roman"/>
          <w:sz w:val="17"/>
          <w:szCs w:val="17"/>
          <w:i w:val="1"/>
          <w:iCs w:val="1"/>
          <w:color w:val="auto"/>
        </w:rPr>
        <w:t>You should consult with your personal legal advisor to ensure compliance with applicable reporting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color w:val="auto"/>
        </w:rPr>
        <w:t>The following applies only to Participants who are exclusively citizens of the People’s Republic of China (“</w:t>
      </w:r>
      <w:r>
        <w:rPr>
          <w:rFonts w:ascii="Times New Roman" w:cs="Times New Roman" w:eastAsia="Times New Roman" w:hAnsi="Times New Roman"/>
          <w:sz w:val="17"/>
          <w:szCs w:val="17"/>
          <w:b w:val="1"/>
          <w:bCs w:val="1"/>
          <w:i w:val="1"/>
          <w:iCs w:val="1"/>
          <w:color w:val="auto"/>
        </w:rPr>
        <w:t>PRC</w:t>
      </w:r>
      <w:r>
        <w:rPr>
          <w:rFonts w:ascii="Times New Roman" w:cs="Times New Roman" w:eastAsia="Times New Roman" w:hAnsi="Times New Roman"/>
          <w:sz w:val="17"/>
          <w:szCs w:val="17"/>
          <w:i w:val="1"/>
          <w:iCs w:val="1"/>
          <w:color w:val="auto"/>
        </w:rPr>
        <w:t>”) and who reside in mainland China or Participants who are otherwise subject to the exchange control laws in China, as determined by the Company in its sole discretion.</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Satisfaction of Regulatory Obligations</w:t>
      </w:r>
      <w:r>
        <w:rPr>
          <w:rFonts w:ascii="Times New Roman" w:cs="Times New Roman" w:eastAsia="Times New Roman" w:hAnsi="Times New Roman"/>
          <w:sz w:val="17"/>
          <w:szCs w:val="17"/>
          <w:color w:val="auto"/>
        </w:rPr>
        <w:t>. The settlement of the RSU Award upon vesting is conditioned upon the Company securing and maintaining all necessary approvals from the State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14.</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Administration of Foreign Exchange (“</w:t>
      </w:r>
      <w:r>
        <w:rPr>
          <w:rFonts w:ascii="Times New Roman" w:cs="Times New Roman" w:eastAsia="Times New Roman" w:hAnsi="Times New Roman"/>
          <w:sz w:val="17"/>
          <w:szCs w:val="17"/>
          <w:b w:val="1"/>
          <w:bCs w:val="1"/>
          <w:i w:val="1"/>
          <w:iCs w:val="1"/>
          <w:color w:val="auto"/>
        </w:rPr>
        <w:t>SAFE</w:t>
      </w:r>
      <w:r>
        <w:rPr>
          <w:rFonts w:ascii="Times New Roman" w:cs="Times New Roman" w:eastAsia="Times New Roman" w:hAnsi="Times New Roman"/>
          <w:sz w:val="17"/>
          <w:szCs w:val="17"/>
          <w:color w:val="auto"/>
        </w:rPr>
        <w:t>”) and any other applicable government entities in China to permit the operation of the Plan in China, as determined by the Company it its sole discretion. If or to the extent the Company is unable to complete the registration or maintain the registration, no shares of Common Stock shall be issued under the Plan. In this case, the Company retains the discretion to settle any RSU Award in cash paid through local payroll in an amount equal to the Fair Market Value of the shares of Common Stock subject to the RSU Award less any Withholding Taxes.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u w:val="single" w:color="auto"/>
          <w:color w:val="auto"/>
        </w:rPr>
        <w:t>Settlement of RSU Award and Sale of Shares</w:t>
      </w:r>
      <w:r>
        <w:rPr>
          <w:rFonts w:ascii="Times New Roman" w:cs="Times New Roman" w:eastAsia="Times New Roman" w:hAnsi="Times New Roman"/>
          <w:sz w:val="17"/>
          <w:szCs w:val="17"/>
          <w:color w:val="auto"/>
        </w:rPr>
        <w:t>. To facilitate compliance with local regulatory requirements, you agree to the sale of any shares of Common Stock to be issued to you upon vesting and settlement of the RSU Award. The sale will occur (i) immediately upon the issuance of shares in settlement of the RSU Award, (ii) following your termination of Continuous Service from the Company or one of its Affiliates, or (iii) within any other time frame as the Company determines to be necessary to comply with local regulatory requirements. You further agree that the Company is authorized to instruct its designated broker to assist with the mandatory sale of such shares (on your behalf pursuant to this authorization) and you expressly authorize the Company’s designated broker to complete the sale of such shares. You acknowledge that the Company’s designated broker is under no obligation to arrange for the sale of the shares at any particular price. Upon the sale of the shares, the Company agrees to pay you the cash proceeds from the sale, less any brokerage fees or commissions and subject to any obligation to satisfy Withholding Taxes. You agree that the payment of the cash proceeds will be subject to the repatriation requirements described below.</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Designated Broker Account</w:t>
      </w:r>
      <w:r>
        <w:rPr>
          <w:rFonts w:ascii="Times New Roman" w:cs="Times New Roman" w:eastAsia="Times New Roman" w:hAnsi="Times New Roman"/>
          <w:sz w:val="17"/>
          <w:szCs w:val="17"/>
          <w:color w:val="auto"/>
        </w:rPr>
        <w:t>. You agree that any shares of Common Stock issued to you upon vesting/settlement of the RSU Award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of Common Stock issued to you under the Plan, whether or not you remain in Continuous Service with the Company or one of its Affiliates. Upon sale of the shares of Common Stock, the repatriation requirements described below shall apply.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Exchange Control Restrictions</w:t>
      </w:r>
      <w:r>
        <w:rPr>
          <w:rFonts w:ascii="Times New Roman" w:cs="Times New Roman" w:eastAsia="Times New Roman" w:hAnsi="Times New Roman"/>
          <w:sz w:val="17"/>
          <w:szCs w:val="17"/>
          <w:color w:val="auto"/>
        </w:rPr>
        <w:t>. You understand and agree that you will be required to immediately repatriate to China the proceeds from the sale of any shares of Common Stock acquired under the Plan. You further understand that such repatriation of proceeds may need to be effected through a special bank account established by the Company (or an Affiliate), and you hereby consent and agree that any sale proceeds or other cash payments received in connection with the Plan may be transferred to such special account by the Company (or an Affiliate) on your behalf prior to being delivered to you and that no interest shall be paid with respect to funds held in such account.</w:t>
      </w:r>
    </w:p>
    <w:p>
      <w:pPr>
        <w:spacing w:after="0" w:line="1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proceeds may be paid to you in U.S. dollars or local currency at the Company’s discretion. If the proceeds are paid to you in U.S. dollars, you understand that a U.S. dollar bank account in China must be established and maintained so that the proceeds may be deposited into such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account. If the proceeds are paid to you in local currency, you acknowledge that the Company (or its Affiliates) are under no obligation to secure any particular exchange conversion rate and that the Company (or its Affiliates) may face delays in converting the proceeds to local currency or distributing the proceeds due to exchange control restrictions. You agree to bear any currency fluctuation risk between the time the shares of Common Stock are sold and the net proceeds are converted into local currency and distributed to you. You further agree to comply with any other requirements that may be imposed by the Company (or its Affiliates) in the future in order to facilitate compliance with exchange control requirements in China.</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Company (or its Affiliates) shall not be liable for any costs, fees, lost interest or dividends or other losses that you may incur or suffer resulting from the enforcement of the terms of this Appendix or otherwise from the Company’s operation and enforcement of the Plan, the RSU Award Agreement and this RSU Award in accordance with any Applicable Laws, rules, regulations and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FRANCE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Terms and Conditions</w:t>
      </w:r>
    </w:p>
    <w:p>
      <w:pPr>
        <w:spacing w:after="0" w:line="1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Language Consent</w:t>
      </w:r>
      <w:r>
        <w:rPr>
          <w:rFonts w:ascii="Times New Roman" w:cs="Times New Roman" w:eastAsia="Times New Roman" w:hAnsi="Times New Roman"/>
          <w:sz w:val="17"/>
          <w:szCs w:val="17"/>
          <w:color w:val="auto"/>
        </w:rPr>
        <w:t>. By accepting the RSU Award, you confirm having read and understood the documents related to the RSU Award (the Plan and the RSU Award Agreement) which were provided in the English language. You accept the terms of these documents accordingly.</w:t>
      </w:r>
    </w:p>
    <w:p>
      <w:pPr>
        <w:spacing w:after="0" w:line="13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i w:val="1"/>
          <w:iCs w:val="1"/>
          <w:u w:val="single" w:color="auto"/>
          <w:color w:val="auto"/>
        </w:rPr>
        <w:t>Consentement à la Langue Utilisée</w:t>
      </w:r>
      <w:r>
        <w:rPr>
          <w:rFonts w:ascii="Times New Roman" w:cs="Times New Roman" w:eastAsia="Times New Roman" w:hAnsi="Times New Roman"/>
          <w:sz w:val="17"/>
          <w:szCs w:val="17"/>
          <w:i w:val="1"/>
          <w:iCs w:val="1"/>
          <w:color w:val="auto"/>
        </w:rPr>
        <w:t>. En acceptant l’attribution («RSU Award»), vouz confirmez avoir lu et compris les documents relatifs à l’attribution (le Plan et le Contrat d’Attribution) qui ont été remis en anglais. Vous acceptez les termes de ces documents en connaissance de cause.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Tax Information</w:t>
      </w:r>
      <w:r>
        <w:rPr>
          <w:rFonts w:ascii="Times New Roman" w:cs="Times New Roman" w:eastAsia="Times New Roman" w:hAnsi="Times New Roman"/>
          <w:sz w:val="17"/>
          <w:szCs w:val="17"/>
          <w:color w:val="auto"/>
        </w:rPr>
        <w:t>. This RSU Award is not intended to qualify for specific tax and social security treatment applicable to awards granted under Section L. 225-197.1 to L. 225-197.6 of the French Commercial Code, as amended.</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If you hold cash or shares of Common Stock outside of France or maintain a foreign bank or brokerage account (including accounts that were opened and closed during the tax year), you are required to report such assets and accounts to the French tax authorities on an annual basis on a specified form, together with your income tax return. Failure to complete this reporting can trigger significant penalties.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GERMANY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Cross-border payments in excess of EUR 12,500 must be reported monthly to the German Federal Bank (</w:t>
      </w:r>
      <w:r>
        <w:rPr>
          <w:rFonts w:ascii="Times New Roman" w:cs="Times New Roman" w:eastAsia="Times New Roman" w:hAnsi="Times New Roman"/>
          <w:sz w:val="17"/>
          <w:szCs w:val="17"/>
          <w:i w:val="1"/>
          <w:iCs w:val="1"/>
          <w:color w:val="auto"/>
        </w:rPr>
        <w:t>Bundesbank</w:t>
      </w:r>
      <w:r>
        <w:rPr>
          <w:rFonts w:ascii="Times New Roman" w:cs="Times New Roman" w:eastAsia="Times New Roman" w:hAnsi="Times New Roman"/>
          <w:sz w:val="17"/>
          <w:szCs w:val="17"/>
          <w:color w:val="auto"/>
        </w:rPr>
        <w:t>). If you receive a payment in excess of EUR 12,500 in connection with the sale of shares of Common Stock acquired under the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16.</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6"/>
          <w:szCs w:val="16"/>
          <w:color w:val="auto"/>
        </w:rPr>
        <w:t>or the receipt of any cash dividends, the report must be filed electronically by the fifth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Allgemeines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German residents holding shares of Common Stock must notify their local tax office of the acquisition of shares of Common Stock when they file their returns for the relevant year if the value of the shares of Common Stock exceeds EUR 150,000 or in the unlikely event that the resident holds shares of Common Stock exceeding 10% of the Company’s share capital.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Indian residents are required to repatriate the proceeds from the sale of shares of Common Stock to India within specified timeframes. You must retain the foreign inward remittance certificate received from the bank where the foreign currency is deposited in the event that the Reserve Bank of India or the Employer requests proof of repatriation. It is your responsibility to comply with these requirements. Neither the Company nor the Employer will be liable for any fines or penalties resulting from your failure to comply with any Applicable Laws.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Indian residents are required to declare any foreign bank accounts and any foreign financial assets (including shares of Common Stock held outside of India) in their annual tax returns. You are responsible for complying with this reporting obligation and should confer with your personal tax advisor to determine your obligations in this regard.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IRELAND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country-specific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u w:val="single" w:color="auto"/>
          <w:color w:val="auto"/>
        </w:rPr>
        <w:t>Exchange Control Information</w:t>
      </w:r>
      <w:r>
        <w:rPr>
          <w:rFonts w:ascii="Times New Roman" w:cs="Times New Roman" w:eastAsia="Times New Roman" w:hAnsi="Times New Roman"/>
          <w:sz w:val="17"/>
          <w:szCs w:val="17"/>
          <w:color w:val="auto"/>
        </w:rPr>
        <w:t>. Japanese residents acquiring shares of Common Stock valued at more than JPY 100,000,000 in a single transaction must file a Securities Acquisition Report with the Ministry of Finance (“</w:t>
      </w:r>
      <w:r>
        <w:rPr>
          <w:rFonts w:ascii="Times New Roman" w:cs="Times New Roman" w:eastAsia="Times New Roman" w:hAnsi="Times New Roman"/>
          <w:sz w:val="17"/>
          <w:szCs w:val="17"/>
          <w:b w:val="1"/>
          <w:bCs w:val="1"/>
          <w:i w:val="1"/>
          <w:iCs w:val="1"/>
          <w:color w:val="auto"/>
        </w:rPr>
        <w:t>MOF</w:t>
      </w:r>
      <w:r>
        <w:rPr>
          <w:rFonts w:ascii="Times New Roman" w:cs="Times New Roman" w:eastAsia="Times New Roman" w:hAnsi="Times New Roman"/>
          <w:sz w:val="17"/>
          <w:szCs w:val="17"/>
          <w:color w:val="auto"/>
        </w:rPr>
        <w:t>”) through the Bank of Japan within twenty (20) days of the acquisition of the shares.</w:t>
      </w:r>
    </w:p>
    <w:p>
      <w:pPr>
        <w:spacing w:after="0" w:line="2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Foreign Asset/Account Reporting Information</w:t>
      </w:r>
      <w:r>
        <w:rPr>
          <w:rFonts w:ascii="Times New Roman" w:cs="Times New Roman" w:eastAsia="Times New Roman" w:hAnsi="Times New Roman"/>
          <w:sz w:val="17"/>
          <w:szCs w:val="17"/>
          <w:color w:val="auto"/>
        </w:rPr>
        <w:t>. Japanese residents are required to report details of any assets held outside Japan as of December 31st (including shares of Common Stock acquired under the Plan), to the extent such assets have a total net fair market value exceeding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17.</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JPY 50,000,000. Such report is due by March 15th each year. </w:t>
      </w:r>
      <w:r>
        <w:rPr>
          <w:rFonts w:ascii="Times New Roman" w:cs="Times New Roman" w:eastAsia="Times New Roman" w:hAnsi="Times New Roman"/>
          <w:sz w:val="17"/>
          <w:szCs w:val="17"/>
          <w:i w:val="1"/>
          <w:iCs w:val="1"/>
          <w:color w:val="auto"/>
        </w:rPr>
        <w:t>You should consult your personal legal advisor to ensure compliance with applicable 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NETHERLANDS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country-specific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SINGAPORE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Restriction on Sale of Shares</w:t>
      </w:r>
      <w:r>
        <w:rPr>
          <w:rFonts w:ascii="Times New Roman" w:cs="Times New Roman" w:eastAsia="Times New Roman" w:hAnsi="Times New Roman"/>
          <w:sz w:val="17"/>
          <w:szCs w:val="17"/>
          <w:color w:val="auto"/>
        </w:rPr>
        <w:t>. Shares of Common Stock acquired under the Plan prior to the six (6) month anniversary of the date of grant may not be sold or otherwise offered for sale in Singapore, unless such sale or offer is made pursuant to the exemptions under Part XIII Division (1) Subdivision (4) (other than section</w:t>
      </w:r>
    </w:p>
    <w:p>
      <w:pPr>
        <w:spacing w:after="0" w:line="1" w:lineRule="exact"/>
        <w:rPr>
          <w:sz w:val="20"/>
          <w:szCs w:val="20"/>
          <w:color w:val="auto"/>
        </w:rPr>
      </w:pPr>
    </w:p>
    <w:p>
      <w:pPr>
        <w:ind w:firstLine="5"/>
        <w:spacing w:after="0" w:line="268" w:lineRule="auto"/>
        <w:tabs>
          <w:tab w:leader="none" w:pos="36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Singapore Securities and Futures Act (Chapter 289, 2006 Ed.) (“</w:t>
      </w:r>
      <w:r>
        <w:rPr>
          <w:rFonts w:ascii="Times New Roman" w:cs="Times New Roman" w:eastAsia="Times New Roman" w:hAnsi="Times New Roman"/>
          <w:sz w:val="17"/>
          <w:szCs w:val="17"/>
          <w:b w:val="1"/>
          <w:bCs w:val="1"/>
          <w:i w:val="1"/>
          <w:iCs w:val="1"/>
          <w:color w:val="auto"/>
        </w:rPr>
        <w:t>SFA</w:t>
      </w:r>
      <w:r>
        <w:rPr>
          <w:rFonts w:ascii="Times New Roman" w:cs="Times New Roman" w:eastAsia="Times New Roman" w:hAnsi="Times New Roman"/>
          <w:sz w:val="17"/>
          <w:szCs w:val="17"/>
          <w:color w:val="auto"/>
        </w:rPr>
        <w:t>”) or pursuant to, and in accordance with the conditions of, any other applicable provision(s) of the SFA.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u w:val="single" w:color="auto"/>
          <w:color w:val="auto"/>
        </w:rPr>
        <w:t>Securities Law Information</w:t>
      </w:r>
      <w:r>
        <w:rPr>
          <w:rFonts w:ascii="Times New Roman" w:cs="Times New Roman" w:eastAsia="Times New Roman" w:hAnsi="Times New Roman"/>
          <w:sz w:val="17"/>
          <w:szCs w:val="17"/>
          <w:color w:val="auto"/>
        </w:rPr>
        <w:t>. The RSU Award is being granted to you pursuant to the “Qualifying Person” exemption under section 273(1)(f) of the SFA. The Plan has not been, nor will it be, lodged or registered as a prospectus with the Monetary Authority of Singapore.</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u w:val="single" w:color="auto"/>
          <w:color w:val="auto"/>
        </w:rPr>
        <w:t>Chief Executive Officer and Director Notification Obligation</w:t>
      </w:r>
      <w:r>
        <w:rPr>
          <w:rFonts w:ascii="Times New Roman" w:cs="Times New Roman" w:eastAsia="Times New Roman" w:hAnsi="Times New Roman"/>
          <w:sz w:val="17"/>
          <w:szCs w:val="17"/>
          <w:color w:val="auto"/>
        </w:rPr>
        <w:t>. You acknowledge that if you are the Chief Executive Officer (“</w:t>
      </w:r>
      <w:r>
        <w:rPr>
          <w:rFonts w:ascii="Times New Roman" w:cs="Times New Roman" w:eastAsia="Times New Roman" w:hAnsi="Times New Roman"/>
          <w:sz w:val="17"/>
          <w:szCs w:val="17"/>
          <w:b w:val="1"/>
          <w:bCs w:val="1"/>
          <w:i w:val="1"/>
          <w:iCs w:val="1"/>
          <w:color w:val="auto"/>
        </w:rPr>
        <w:t>CEO</w:t>
      </w:r>
      <w:r>
        <w:rPr>
          <w:rFonts w:ascii="Times New Roman" w:cs="Times New Roman" w:eastAsia="Times New Roman" w:hAnsi="Times New Roman"/>
          <w:sz w:val="17"/>
          <w:szCs w:val="17"/>
          <w:color w:val="auto"/>
        </w:rPr>
        <w:t>”) a director, associate director or shadow director of a Singapore Subsidiary, you are subject to certain notification requirements under the Singapore Companies Act. Among these requirements is an obligation to notify the Singapore Subsidiary in writing when you receive an interest (e.g., RSU Awards or shares of Common Stock) in the Company or any Subsidiary within two business days of (i) its acquisition or disposal, (ii) any change in previously disclosed interest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when the shares of Common Stock are sold), or (iii) becoming a CEO, director, associate director or shadow director.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This provision supplements Section 4 of the Global RSU Award Agreement:</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Notwithstanding the indemnification provision in this Section 4, if you are a director or executive officer of the Company (within the meaning of Section 13(k) of the Exchange Act), the amount of any income tax due but not collected from or paid by you within ninety (90) days of the end of the U.K. tax year in which an event giving rise to Withholding Taxes occurs may constitute an additional benefit to you on which additional income tax and National Insurance Contributions (“</w:t>
      </w:r>
      <w:r>
        <w:rPr>
          <w:rFonts w:ascii="Times New Roman" w:cs="Times New Roman" w:eastAsia="Times New Roman" w:hAnsi="Times New Roman"/>
          <w:sz w:val="17"/>
          <w:szCs w:val="17"/>
          <w:b w:val="1"/>
          <w:bCs w:val="1"/>
          <w:i w:val="1"/>
          <w:iCs w:val="1"/>
          <w:color w:val="auto"/>
        </w:rPr>
        <w:t>NICs</w:t>
      </w:r>
      <w:r>
        <w:rPr>
          <w:rFonts w:ascii="Times New Roman" w:cs="Times New Roman" w:eastAsia="Times New Roman" w:hAnsi="Times New Roman"/>
          <w:sz w:val="17"/>
          <w:szCs w:val="17"/>
          <w:color w:val="auto"/>
        </w:rPr>
        <w:t>”) may be payable. You will be responsible for reporting and paying any income tax due on this additional benefit directly to Her Majesty’s Revenue and Customs under the self-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18.</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assessment regime and for reimbursing the Company and/or the Employer for the value of any employee NICs due on this additional benefit, which the Company and/or the Employer may recover at any time thereafter by any of the means referred to in this 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19.</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80"/>
          </w:cols>
          <w:pgMar w:left="300" w:top="129" w:right="3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Attachment II</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20.</w:t>
      </w:r>
    </w:p>
    <w:p>
      <w:pPr>
        <w:spacing w:after="0" w:line="53" w:lineRule="exact"/>
        <w:rPr>
          <w:sz w:val="20"/>
          <w:szCs w:val="20"/>
          <w:color w:val="auto"/>
        </w:rPr>
      </w:pPr>
    </w:p>
    <w:p>
      <w:pPr>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60"/>
          </w:cols>
          <w:pgMar w:left="320" w:top="129" w:right="31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[Non-Executives]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Attachment III</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21.</w:t>
      </w:r>
    </w:p>
    <w:p>
      <w:pPr>
        <w:spacing w:after="0" w:line="43" w:lineRule="exact"/>
        <w:rPr>
          <w:sz w:val="20"/>
          <w:szCs w:val="20"/>
          <w:color w:val="auto"/>
        </w:rPr>
      </w:pPr>
    </w:p>
    <w:p>
      <w:pPr>
        <w:spacing w:after="0"/>
        <w:rPr>
          <w:sz w:val="20"/>
          <w:szCs w:val="20"/>
          <w:color w:val="auto"/>
        </w:rPr>
      </w:pPr>
      <w:r>
        <w:rPr>
          <w:rFonts w:ascii="Arial" w:cs="Arial" w:eastAsia="Arial" w:hAnsi="Arial"/>
          <w:sz w:val="10"/>
          <w:szCs w:val="10"/>
          <w:color w:val="auto"/>
        </w:rPr>
        <w:t>314921836 v2</w:t>
      </w:r>
    </w:p>
    <w:p>
      <w:pPr>
        <w:sectPr>
          <w:pgSz w:w="11900" w:h="16838" w:orient="portrait"/>
          <w:cols w:equalWidth="0" w:num="1">
            <w:col w:w="11260"/>
          </w:cols>
          <w:pgMar w:left="320" w:top="129" w:right="319" w:bottom="1440"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4" w:name="page225"/>
    <w:bookmarkEnd w:id="224"/>
    <w:p>
      <w:pPr>
        <w:ind w:left="10480"/>
        <w:spacing w:after="0"/>
        <w:rPr>
          <w:sz w:val="20"/>
          <w:szCs w:val="20"/>
          <w:color w:val="auto"/>
        </w:rPr>
      </w:pPr>
      <w:r>
        <w:rPr>
          <w:rFonts w:ascii="Calibri" w:cs="Calibri" w:eastAsia="Calibri" w:hAnsi="Calibri"/>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Calibri" w:cs="Calibri" w:eastAsia="Calibri" w:hAnsi="Calibri"/>
                <w:sz w:val="17"/>
                <w:szCs w:val="17"/>
                <w:b w:val="1"/>
                <w:bCs w:val="1"/>
                <w:color w:val="auto"/>
              </w:rPr>
              <w:t>List of subsidiaries of the Registrant</w:t>
            </w:r>
          </w:p>
        </w:tc>
      </w:tr>
      <w:tr>
        <w:trPr>
          <w:trHeight w:val="233"/>
        </w:trPr>
        <w:tc>
          <w:tcPr>
            <w:tcW w:w="4020" w:type="dxa"/>
            <w:vAlign w:val="bottom"/>
          </w:tcPr>
          <w:p>
            <w:pPr>
              <w:ind w:left="2320"/>
              <w:spacing w:after="0"/>
              <w:rPr>
                <w:sz w:val="20"/>
                <w:szCs w:val="20"/>
                <w:color w:val="auto"/>
              </w:rPr>
            </w:pPr>
            <w:r>
              <w:rPr>
                <w:rFonts w:ascii="Calibri" w:cs="Calibri" w:eastAsia="Calibri" w:hAnsi="Calibri"/>
                <w:sz w:val="17"/>
                <w:szCs w:val="17"/>
                <w:color w:val="auto"/>
              </w:rPr>
              <w:t>Name of Subsidiary</w:t>
            </w:r>
          </w:p>
        </w:tc>
        <w:tc>
          <w:tcPr>
            <w:tcW w:w="7260" w:type="dxa"/>
            <w:vAlign w:val="bottom"/>
          </w:tcPr>
          <w:p>
            <w:pPr>
              <w:ind w:left="4100"/>
              <w:spacing w:after="0"/>
              <w:rPr>
                <w:sz w:val="20"/>
                <w:szCs w:val="20"/>
                <w:color w:val="auto"/>
              </w:rPr>
            </w:pPr>
            <w:r>
              <w:rPr>
                <w:rFonts w:ascii="Calibri" w:cs="Calibri" w:eastAsia="Calibri" w:hAnsi="Calibri"/>
                <w:sz w:val="17"/>
                <w:szCs w:val="17"/>
                <w:color w:val="auto"/>
              </w:rPr>
              <w:t>Jurisdicton of Organizaton</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r>
      <w:tr>
        <w:trPr>
          <w:trHeight w:val="190"/>
        </w:trPr>
        <w:tc>
          <w:tcPr>
            <w:tcW w:w="4020" w:type="dxa"/>
            <w:vAlign w:val="bottom"/>
          </w:tcPr>
          <w:p>
            <w:pPr>
              <w:ind w:left="20"/>
              <w:spacing w:after="0" w:line="190" w:lineRule="exact"/>
              <w:rPr>
                <w:sz w:val="20"/>
                <w:szCs w:val="20"/>
                <w:color w:val="auto"/>
              </w:rPr>
            </w:pPr>
            <w:r>
              <w:rPr>
                <w:rFonts w:ascii="Calibri" w:cs="Calibri" w:eastAsia="Calibri" w:hAnsi="Calibri"/>
                <w:sz w:val="17"/>
                <w:szCs w:val="17"/>
                <w:color w:val="auto"/>
              </w:rPr>
              <w:t>Zoom Voice Communicatons, Inc.</w:t>
            </w:r>
          </w:p>
        </w:tc>
        <w:tc>
          <w:tcPr>
            <w:tcW w:w="7260" w:type="dxa"/>
            <w:vAlign w:val="bottom"/>
          </w:tcPr>
          <w:p>
            <w:pPr>
              <w:ind w:left="2840"/>
              <w:spacing w:after="0" w:line="190" w:lineRule="exact"/>
              <w:rPr>
                <w:sz w:val="20"/>
                <w:szCs w:val="20"/>
                <w:color w:val="auto"/>
              </w:rPr>
            </w:pPr>
            <w:r>
              <w:rPr>
                <w:rFonts w:ascii="Calibri" w:cs="Calibri" w:eastAsia="Calibri" w:hAnsi="Calibri"/>
                <w:sz w:val="17"/>
                <w:szCs w:val="17"/>
                <w:color w:val="auto"/>
              </w:rPr>
              <w:t>United States of America</w:t>
            </w:r>
          </w:p>
        </w:tc>
      </w:tr>
      <w:tr>
        <w:trPr>
          <w:trHeight w:val="203"/>
        </w:trPr>
        <w:tc>
          <w:tcPr>
            <w:tcW w:w="4020" w:type="dxa"/>
            <w:vAlign w:val="bottom"/>
          </w:tcPr>
          <w:p>
            <w:pPr>
              <w:ind w:left="20"/>
              <w:spacing w:after="0" w:line="204" w:lineRule="exact"/>
              <w:rPr>
                <w:sz w:val="20"/>
                <w:szCs w:val="20"/>
                <w:color w:val="auto"/>
              </w:rPr>
            </w:pPr>
            <w:r>
              <w:rPr>
                <w:rFonts w:ascii="Calibri" w:cs="Calibri" w:eastAsia="Calibri" w:hAnsi="Calibri"/>
                <w:sz w:val="17"/>
                <w:szCs w:val="17"/>
                <w:color w:val="auto"/>
              </w:rPr>
              <w:t>ZVC UK LTD</w:t>
            </w:r>
          </w:p>
        </w:tc>
        <w:tc>
          <w:tcPr>
            <w:tcW w:w="7260" w:type="dxa"/>
            <w:vAlign w:val="bottom"/>
          </w:tcPr>
          <w:p>
            <w:pPr>
              <w:ind w:left="2840"/>
              <w:spacing w:after="0" w:line="204" w:lineRule="exact"/>
              <w:rPr>
                <w:sz w:val="20"/>
                <w:szCs w:val="20"/>
                <w:color w:val="auto"/>
              </w:rPr>
            </w:pPr>
            <w:r>
              <w:rPr>
                <w:rFonts w:ascii="Calibri" w:cs="Calibri" w:eastAsia="Calibri" w:hAnsi="Calibri"/>
                <w:sz w:val="17"/>
                <w:szCs w:val="17"/>
                <w:color w:val="auto"/>
              </w:rPr>
              <w:t>United Kingdom</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Australia PTY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Australia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Netherlands B.V.</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Netherlands</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Japan KK</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Japan</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(Suzhou) Inc.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Saasbee Inc. (Hefei)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SaasBee Sofware (Hangzhou) Co.,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France SAS</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France</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India PVT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India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Canada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Canada</w:t>
            </w:r>
          </w:p>
        </w:tc>
      </w:tr>
      <w:tr>
        <w:trPr>
          <w:trHeight w:val="221"/>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(Hong Kong)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Hong Kong</w:t>
            </w:r>
          </w:p>
        </w:tc>
      </w:tr>
      <w:tr>
        <w:trPr>
          <w:trHeight w:val="203"/>
        </w:trPr>
        <w:tc>
          <w:tcPr>
            <w:tcW w:w="4020" w:type="dxa"/>
            <w:vAlign w:val="bottom"/>
          </w:tcPr>
          <w:p>
            <w:pPr>
              <w:ind w:left="20"/>
              <w:spacing w:after="0" w:line="204" w:lineRule="exact"/>
              <w:rPr>
                <w:sz w:val="20"/>
                <w:szCs w:val="20"/>
                <w:color w:val="auto"/>
              </w:rPr>
            </w:pPr>
            <w:r>
              <w:rPr>
                <w:rFonts w:ascii="Calibri" w:cs="Calibri" w:eastAsia="Calibri" w:hAnsi="Calibri"/>
                <w:sz w:val="17"/>
                <w:szCs w:val="17"/>
                <w:color w:val="auto"/>
              </w:rPr>
              <w:t>Zoom Video Communicatons (Shanghai) Co., Ltd.</w:t>
            </w:r>
          </w:p>
        </w:tc>
        <w:tc>
          <w:tcPr>
            <w:tcW w:w="7260" w:type="dxa"/>
            <w:vAlign w:val="bottom"/>
          </w:tcPr>
          <w:p>
            <w:pPr>
              <w:ind w:left="2840"/>
              <w:spacing w:after="0" w:line="204" w:lineRule="exact"/>
              <w:rPr>
                <w:sz w:val="20"/>
                <w:szCs w:val="20"/>
                <w:color w:val="auto"/>
              </w:rPr>
            </w:pPr>
            <w:r>
              <w:rPr>
                <w:rFonts w:ascii="Calibri" w:cs="Calibri" w:eastAsia="Calibri" w:hAnsi="Calibri"/>
                <w:sz w:val="17"/>
                <w:szCs w:val="17"/>
                <w:color w:val="auto"/>
              </w:rPr>
              <w:t>China</w:t>
            </w:r>
          </w:p>
        </w:tc>
      </w:tr>
      <w:tr>
        <w:trPr>
          <w:trHeight w:val="233"/>
        </w:trPr>
        <w:tc>
          <w:tcPr>
            <w:tcW w:w="4020" w:type="dxa"/>
            <w:vAlign w:val="bottom"/>
          </w:tcPr>
          <w:p>
            <w:pPr>
              <w:ind w:left="20"/>
              <w:spacing w:after="0"/>
              <w:rPr>
                <w:sz w:val="20"/>
                <w:szCs w:val="20"/>
                <w:color w:val="auto"/>
              </w:rPr>
            </w:pPr>
            <w:r>
              <w:rPr>
                <w:rFonts w:ascii="Calibri" w:cs="Calibri" w:eastAsia="Calibri" w:hAnsi="Calibri"/>
                <w:sz w:val="17"/>
                <w:szCs w:val="17"/>
                <w:color w:val="auto"/>
              </w:rPr>
              <w:t>ZVC Singapore Pte.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Singapore</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Germany GmbH</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Germany</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Keybase LLC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United States of America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(Shanghai) Co.,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Solvvy LLC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United States of America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Sofware (Hangzhou) Co.,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Korea, LLC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Korea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Arabia Communicatons Company</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Kingdom of Saudi Arabia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Workvivo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Ireland</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ZM Services India Private Limited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India</w:t>
            </w:r>
          </w:p>
        </w:tc>
      </w:tr>
    </w:tbl>
    <w:p>
      <w:pPr>
        <w:sectPr>
          <w:pgSz w:w="11900" w:h="16838" w:orient="portrait"/>
          <w:cols w:equalWidth="0" w:num="1">
            <w:col w:w="11280"/>
          </w:cols>
          <w:pgMar w:left="300" w:top="498"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consent to the incorporation by reference in the registration statements (Nos. 333-277614, 333-270264, 333-263354, 333-254444, 333-237348, 333-230997) on Form S-8 and registration statement (No.333-252035) on Form S-3 of our report dated February 28, 2025, with respect to the consolidated financial statements of Zoom Communications, Inc. and the effectiveness of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February 28, 2025</w:t>
      </w:r>
    </w:p>
    <w:p>
      <w:pPr>
        <w:sectPr>
          <w:pgSz w:w="11900" w:h="16838" w:orient="portrait"/>
          <w:cols w:equalWidth="0" w:num="1">
            <w:col w:w="11280"/>
          </w:cols>
          <w:pgMar w:left="300" w:top="696"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S. Yuan, certify that:</w:t>
      </w:r>
    </w:p>
    <w:p>
      <w:pPr>
        <w:spacing w:after="0" w:line="147" w:lineRule="exact"/>
        <w:rPr>
          <w:sz w:val="20"/>
          <w:szCs w:val="20"/>
          <w:color w:val="auto"/>
        </w:rPr>
      </w:pPr>
    </w:p>
    <w:p>
      <w:pPr>
        <w:ind w:left="1020" w:hanging="506"/>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Zoom Communications, Inc.;</w:t>
      </w:r>
    </w:p>
    <w:p>
      <w:pPr>
        <w:spacing w:after="0" w:line="146"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1020" w:right="300" w:hanging="506"/>
        <w:spacing w:after="0" w:line="287" w:lineRule="auto"/>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4"/>
          <w:szCs w:val="14"/>
          <w:color w:val="auto"/>
        </w:rPr>
      </w:pPr>
    </w:p>
    <w:p>
      <w:pPr>
        <w:ind w:left="1540" w:hanging="517"/>
        <w:spacing w:after="0" w:line="270" w:lineRule="auto"/>
        <w:tabs>
          <w:tab w:leader="none" w:pos="1532"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4"/>
          <w:szCs w:val="14"/>
          <w:color w:val="auto"/>
        </w:rPr>
      </w:pPr>
    </w:p>
    <w:p>
      <w:pPr>
        <w:jc w:val="both"/>
        <w:ind w:left="1540" w:right="60" w:hanging="517"/>
        <w:spacing w:after="0" w:line="270" w:lineRule="auto"/>
        <w:tabs>
          <w:tab w:leader="none" w:pos="15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540" w:right="400" w:hanging="517"/>
        <w:spacing w:after="0" w:line="287" w:lineRule="auto"/>
        <w:tabs>
          <w:tab w:leader="none" w:pos="1532"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540" w:right="20" w:hanging="517"/>
        <w:spacing w:after="0" w:line="270" w:lineRule="auto"/>
        <w:tabs>
          <w:tab w:leader="none" w:pos="15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540" w:right="20" w:hanging="517"/>
        <w:spacing w:after="0" w:line="287" w:lineRule="auto"/>
        <w:tabs>
          <w:tab w:leader="none" w:pos="1532"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ZOOM COMMUNICATIONS, INC.</w:t>
      </w:r>
    </w:p>
    <w:p>
      <w:pPr>
        <w:spacing w:after="0" w:line="25" w:lineRule="exact"/>
        <w:rPr>
          <w:sz w:val="20"/>
          <w:szCs w:val="20"/>
          <w:color w:val="auto"/>
        </w:rPr>
      </w:pPr>
    </w:p>
    <w:tbl>
      <w:tblPr>
        <w:tblLayout w:type="fixed"/>
        <w:tblInd w:w="780" w:type="dxa"/>
        <w:tblCellMar>
          <w:top w:w="0" w:type="dxa"/>
          <w:left w:w="0" w:type="dxa"/>
          <w:bottom w:w="0" w:type="dxa"/>
          <w:right w:w="0" w:type="dxa"/>
        </w:tblCellMar>
      </w:tblPr>
      <w:tr>
        <w:trPr>
          <w:trHeight w:val="181"/>
        </w:trPr>
        <w:tc>
          <w:tcPr>
            <w:tcW w:w="5620" w:type="dxa"/>
            <w:vAlign w:val="bottom"/>
          </w:tcPr>
          <w:p>
            <w:pPr>
              <w:ind w:left="498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167"/>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562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56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728" w:right="31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Michelle Chang, certify that:</w:t>
      </w:r>
    </w:p>
    <w:p>
      <w:pPr>
        <w:spacing w:after="0" w:line="147" w:lineRule="exact"/>
        <w:rPr>
          <w:sz w:val="20"/>
          <w:szCs w:val="20"/>
          <w:color w:val="auto"/>
        </w:rPr>
      </w:pPr>
    </w:p>
    <w:p>
      <w:pPr>
        <w:ind w:left="1020" w:hanging="506"/>
        <w:spacing w:after="0"/>
        <w:tabs>
          <w:tab w:leader="none" w:pos="10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Zoom Communications, Inc.;</w:t>
      </w:r>
    </w:p>
    <w:p>
      <w:pPr>
        <w:spacing w:after="0" w:line="157"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1020" w:right="300" w:hanging="506"/>
        <w:spacing w:after="0" w:line="287" w:lineRule="auto"/>
        <w:tabs>
          <w:tab w:leader="none" w:pos="10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4"/>
          <w:szCs w:val="14"/>
          <w:color w:val="auto"/>
        </w:rPr>
      </w:pPr>
    </w:p>
    <w:p>
      <w:pPr>
        <w:ind w:left="1540" w:hanging="517"/>
        <w:spacing w:after="0" w:line="270" w:lineRule="auto"/>
        <w:tabs>
          <w:tab w:leader="none" w:pos="153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540" w:right="60" w:hanging="517"/>
        <w:spacing w:after="0" w:line="270" w:lineRule="auto"/>
        <w:tabs>
          <w:tab w:leader="none" w:pos="154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540" w:right="400" w:hanging="517"/>
        <w:spacing w:after="0" w:line="287" w:lineRule="auto"/>
        <w:tabs>
          <w:tab w:leader="none" w:pos="153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4"/>
          <w:szCs w:val="14"/>
          <w:color w:val="auto"/>
        </w:rPr>
      </w:pPr>
    </w:p>
    <w:p>
      <w:pPr>
        <w:ind w:left="1540" w:right="20" w:hanging="517"/>
        <w:spacing w:after="0" w:line="270" w:lineRule="auto"/>
        <w:tabs>
          <w:tab w:leader="none" w:pos="154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540" w:right="20" w:hanging="517"/>
        <w:spacing w:after="0" w:line="287" w:lineRule="auto"/>
        <w:tabs>
          <w:tab w:leader="none" w:pos="1532"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6" w:lineRule="exact"/>
        <w:rPr>
          <w:rFonts w:ascii="Times New Roman" w:cs="Times New Roman" w:eastAsia="Times New Roman" w:hAnsi="Times New Roman"/>
          <w:sz w:val="14"/>
          <w:szCs w:val="14"/>
          <w:color w:val="auto"/>
        </w:rPr>
      </w:pPr>
    </w:p>
    <w:p>
      <w:pPr>
        <w:ind w:left="5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ZOOM COMMUNICATIONS, INC.</w:t>
      </w:r>
    </w:p>
    <w:p>
      <w:pPr>
        <w:spacing w:after="0" w:line="23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5480" w:type="dxa"/>
            <w:vAlign w:val="bottom"/>
          </w:tcPr>
          <w:p>
            <w:pPr>
              <w:ind w:left="498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Michelle Chang</w:t>
            </w:r>
          </w:p>
        </w:tc>
      </w:tr>
      <w:tr>
        <w:trPr>
          <w:trHeight w:val="167"/>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Michelle Chang</w:t>
            </w:r>
          </w:p>
        </w:tc>
      </w:tr>
      <w:tr>
        <w:trPr>
          <w:trHeight w:val="178"/>
        </w:trPr>
        <w:tc>
          <w:tcPr>
            <w:tcW w:w="548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548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ectPr>
          <w:pgSz w:w="11900" w:h="16838" w:orient="portrait"/>
          <w:cols w:equalWidth="0" w:num="1">
            <w:col w:w="11280"/>
          </w:cols>
          <w:pgMar w:left="300" w:top="865" w:right="31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4"/>
          <w:szCs w:val="14"/>
          <w:color w:val="auto"/>
        </w:rPr>
        <w:t>I, Eric S. Yuan, certify, pursuant to 18 U.S.C. Section 1350, as adopted pursuant to Section 906 of the Sarbanes-Oxley Act of 2002, that the Annual Report on Form 10-K of Zoom Communications, Inc. for the fiscal year ended January 31, 2025 fully complies with the requirements of Section 13(a) or 15(d) of the Securities Exchange Act of 1934 and that information contained in such Annual Report on Form 10-K fairly presents, in all material respects, the financial condition and results of operations of Zoom Communications, Inc.</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706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ZOOM COMMUNICATIONS, INC.</w:t>
            </w:r>
          </w:p>
        </w:tc>
      </w:tr>
      <w:tr>
        <w:trPr>
          <w:trHeight w:val="36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7060" w:type="dxa"/>
            <w:vAlign w:val="bottom"/>
            <w:gridSpan w:val="2"/>
          </w:tcPr>
          <w:p>
            <w:pPr>
              <w:ind w:left="2680"/>
              <w:spacing w:after="0"/>
              <w:rPr>
                <w:sz w:val="20"/>
                <w:szCs w:val="20"/>
                <w:color w:val="auto"/>
              </w:rPr>
            </w:pPr>
            <w:r>
              <w:rPr>
                <w:rFonts w:ascii="Times New Roman" w:cs="Times New Roman" w:eastAsia="Times New Roman" w:hAnsi="Times New Roman"/>
                <w:sz w:val="14"/>
                <w:szCs w:val="14"/>
                <w:color w:val="auto"/>
              </w:rPr>
              <w:t>By:    /s/ Eric S. Yuan</w:t>
            </w:r>
          </w:p>
        </w:tc>
      </w:tr>
      <w:tr>
        <w:trPr>
          <w:trHeight w:val="167"/>
        </w:trPr>
        <w:tc>
          <w:tcPr>
            <w:tcW w:w="4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40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40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I, Michelle Chang, certify, pursuant to 18 U.S.C. Section 1350, as adopted pursuant to Section 906 of the Sarbanes-Oxley Act of 2002, that the Annual Report on Form 10-K of Zoom Communications, Inc. for the fiscal year ended January 31, 2025 fully complies with the requirements of Section 13(a) or 15(d) of the Securities Exchange Act of 1934 and that information contained in such Annual Report on Form 10-K fairly presents, in all material respects, the financial condition and results of operations of Zoom Communications, Inc.</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706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ZOOM COMMUNICATIONS, INC.</w:t>
            </w:r>
          </w:p>
        </w:tc>
      </w:tr>
      <w:tr>
        <w:trPr>
          <w:trHeight w:val="36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28, 2025</w:t>
            </w:r>
          </w:p>
        </w:tc>
        <w:tc>
          <w:tcPr>
            <w:tcW w:w="7060" w:type="dxa"/>
            <w:vAlign w:val="bottom"/>
            <w:gridSpan w:val="2"/>
          </w:tcPr>
          <w:p>
            <w:pPr>
              <w:ind w:left="2680"/>
              <w:spacing w:after="0"/>
              <w:rPr>
                <w:sz w:val="20"/>
                <w:szCs w:val="20"/>
                <w:color w:val="auto"/>
              </w:rPr>
            </w:pPr>
            <w:r>
              <w:rPr>
                <w:rFonts w:ascii="Times New Roman" w:cs="Times New Roman" w:eastAsia="Times New Roman" w:hAnsi="Times New Roman"/>
                <w:sz w:val="14"/>
                <w:szCs w:val="14"/>
                <w:color w:val="auto"/>
              </w:rPr>
              <w:t>By:    /s/ Michelle Chang</w:t>
            </w:r>
          </w:p>
        </w:tc>
      </w:tr>
      <w:tr>
        <w:trPr>
          <w:trHeight w:val="167"/>
        </w:trPr>
        <w:tc>
          <w:tcPr>
            <w:tcW w:w="4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Michelle Chang</w:t>
            </w:r>
          </w:p>
        </w:tc>
      </w:tr>
      <w:tr>
        <w:trPr>
          <w:trHeight w:val="178"/>
        </w:trPr>
        <w:tc>
          <w:tcPr>
            <w:tcW w:w="40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40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Zoom Communications,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2"/>
    </w:lvl>
  </w:abstractNum>
  <w:abstractNum w:abstractNumId="26">
    <w:nsid w:val="70C6A529"/>
    <w:multiLevelType w:val="hybridMultilevel"/>
    <w:lvl w:ilvl="0">
      <w:lvlJc w:val="left"/>
      <w:lvlText w:val="%1."/>
      <w:numFmt w:val="decimal"/>
      <w:start w:val="3"/>
    </w:lvl>
  </w:abstractNum>
  <w:abstractNum w:abstractNumId="27">
    <w:nsid w:val="520EEDD1"/>
    <w:multiLevelType w:val="hybridMultilevel"/>
    <w:lvl w:ilvl="0">
      <w:lvlJc w:val="left"/>
      <w:lvlText w:val="%1."/>
      <w:numFmt w:val="decimal"/>
      <w:start w:val="4"/>
    </w:lvl>
  </w:abstractNum>
  <w:abstractNum w:abstractNumId="28">
    <w:nsid w:val="374A3FE6"/>
    <w:multiLevelType w:val="hybridMultilevel"/>
    <w:lvl w:ilvl="0">
      <w:lvlJc w:val="left"/>
      <w:lvlText w:val="%1."/>
      <w:numFmt w:val="decimal"/>
      <w:start w:val="5"/>
    </w:lvl>
  </w:abstractNum>
  <w:abstractNum w:abstractNumId="29">
    <w:nsid w:val="4F4EF005"/>
    <w:multiLevelType w:val="hybridMultilevel"/>
    <w:lvl w:ilvl="0">
      <w:lvlJc w:val="left"/>
      <w:lvlText w:val="%1."/>
      <w:numFmt w:val="decimal"/>
      <w:start w:val="3"/>
    </w:lvl>
  </w:abstractNum>
  <w:abstractNum w:abstractNumId="30">
    <w:nsid w:val="23F9C13C"/>
    <w:multiLevelType w:val="hybridMultilevel"/>
    <w:lvl w:ilvl="0">
      <w:lvlJc w:val="left"/>
      <w:lvlText w:val="%1."/>
      <w:numFmt w:val="decimal"/>
      <w:start w:val="5"/>
    </w:lvl>
  </w:abstractNum>
  <w:abstractNum w:abstractNumId="31">
    <w:nsid w:val="649BB77C"/>
    <w:multiLevelType w:val="hybridMultilevel"/>
    <w:lvl w:ilvl="0">
      <w:lvlJc w:val="left"/>
      <w:lvlText w:val="(%1)"/>
      <w:numFmt w:val="lowerRoman"/>
      <w:start w:val="2"/>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
      <w:numFmt w:val="bullet"/>
      <w:start w:val="1"/>
    </w:lvl>
    <w:lvl w:ilvl="1">
      <w:lvlJc w:val="left"/>
      <w:lvlText w:val="%2"/>
      <w:numFmt w:val="decimal"/>
      <w:start w:val="104"/>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decimal"/>
      <w:start w:val="1"/>
    </w:lvl>
    <w:lvl w:ilvl="1">
      <w:lvlJc w:val="left"/>
      <w:lvlText w:val="(%2)"/>
      <w:numFmt w:val="lowerLetter"/>
      <w:start w:val="1"/>
    </w:lvl>
  </w:abstractNum>
  <w:abstractNum w:abstractNumId="39">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0">
    <w:nsid w:val="741226BB"/>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abstractNum>
  <w:abstractNum w:abstractNumId="41">
    <w:nsid w:val="D34B6A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2">
    <w:nsid w:val="10233C9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3">
    <w:nsid w:val="3F6AB60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4">
    <w:nsid w:val="6157409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5">
    <w:nsid w:val="7E0C57B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6">
    <w:nsid w:val="77AE35EB"/>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47">
    <w:nsid w:val="579BE4F1"/>
    <w:multiLevelType w:val="hybridMultilevel"/>
    <w:lvl w:ilvl="0">
      <w:lvlJc w:val="left"/>
      <w:lvlText w:val="%1."/>
      <w:numFmt w:val="decimal"/>
      <w:start w:val="6"/>
    </w:lvl>
    <w:lvl w:ilvl="1">
      <w:lvlJc w:val="left"/>
      <w:lvlText w:val="(%2)"/>
      <w:numFmt w:val="lowerLetter"/>
      <w:start w:val="1"/>
    </w:lvl>
  </w:abstractNum>
  <w:abstractNum w:abstractNumId="48">
    <w:nsid w:val="310C50B3"/>
    <w:multiLevelType w:val="hybridMultilevel"/>
    <w:lvl w:ilvl="0">
      <w:lvlJc w:val="left"/>
      <w:lvlText w:val="%1"/>
      <w:numFmt w:val="decimal"/>
      <w:start w:val="1"/>
    </w:lvl>
    <w:lvl w:ilvl="1">
      <w:lvlJc w:val="left"/>
      <w:lvlText w:val="(%2)"/>
      <w:numFmt w:val="lowerLetter"/>
      <w:start w:val="11"/>
    </w:lvl>
  </w:abstractNum>
  <w:abstractNum w:abstractNumId="49">
    <w:nsid w:val="5FF87E05"/>
    <w:multiLevelType w:val="hybridMultilevel"/>
    <w:lvl w:ilvl="0">
      <w:lvlJc w:val="left"/>
      <w:lvlText w:val="%1."/>
      <w:numFmt w:val="decimal"/>
      <w:start w:val="7"/>
    </w:lvl>
    <w:lvl w:ilvl="1">
      <w:lvlJc w:val="left"/>
      <w:lvlText w:val="%2"/>
      <w:numFmt w:val="lowerLetter"/>
      <w:start w:val="1"/>
    </w:lvl>
  </w:abstractNum>
  <w:abstractNum w:abstractNumId="50">
    <w:nsid w:val="2F305DEF"/>
    <w:multiLevelType w:val="hybridMultilevel"/>
    <w:lvl w:ilvl="0">
      <w:lvlJc w:val="left"/>
      <w:lvlText w:val="%1."/>
      <w:numFmt w:val="decimal"/>
      <w:start w:val="13"/>
    </w:lvl>
    <w:lvl w:ilvl="1">
      <w:lvlJc w:val="left"/>
      <w:lvlText w:val="(%2)"/>
      <w:numFmt w:val="lowerLetter"/>
      <w:start w:val="1"/>
    </w:lvl>
  </w:abstractNum>
  <w:abstractNum w:abstractNumId="51">
    <w:nsid w:val="25A70BF7"/>
    <w:multiLevelType w:val="hybridMultilevel"/>
    <w:lvl w:ilvl="0">
      <w:lvlJc w:val="left"/>
      <w:lvlText w:val="%1"/>
      <w:numFmt w:val="lowerLetter"/>
      <w:start w:val="1"/>
    </w:lvl>
    <w:lvl w:ilvl="1">
      <w:lvlJc w:val="left"/>
      <w:lvlText w:val="(%2)"/>
      <w:numFmt w:val="lowerLetter"/>
      <w:start w:val="5"/>
    </w:lvl>
  </w:abstractNum>
  <w:abstractNum w:abstractNumId="52">
    <w:nsid w:val="1DBABF00"/>
    <w:multiLevelType w:val="hybridMultilevel"/>
    <w:lvl w:ilvl="0">
      <w:lvlJc w:val="left"/>
      <w:lvlText w:val="(%1)"/>
      <w:numFmt w:val="lowerLetter"/>
      <w:start w:val="35"/>
    </w:lvl>
    <w:lvl w:ilvl="1">
      <w:lvlJc w:val="left"/>
      <w:lvlText w:val="(%2)"/>
      <w:numFmt w:val="lowerLetter"/>
      <w:start w:val="8"/>
    </w:lvl>
  </w:abstractNum>
  <w:abstractNum w:abstractNumId="53">
    <w:nsid w:val="4AD084E9"/>
    <w:multiLevelType w:val="hybridMultilevel"/>
    <w:lvl w:ilvl="0">
      <w:lvlJc w:val="left"/>
      <w:lvlText w:val="%1."/>
      <w:numFmt w:val="decimal"/>
      <w:start w:val="15"/>
    </w:lvl>
  </w:abstractNum>
  <w:abstractNum w:abstractNumId="54">
    <w:nsid w:val="1F48EAA1"/>
    <w:multiLevelType w:val="hybridMultilevel"/>
    <w:lvl w:ilvl="0">
      <w:lvlJc w:val="left"/>
      <w:lvlText w:val="%1."/>
      <w:numFmt w:val="decimal"/>
      <w:start w:val="19"/>
    </w:lvl>
  </w:abstractNum>
  <w:abstractNum w:abstractNumId="55">
    <w:nsid w:val="1381823A"/>
    <w:multiLevelType w:val="hybridMultilevel"/>
    <w:lvl w:ilvl="0">
      <w:lvlJc w:val="left"/>
      <w:lvlText w:val="(%1)"/>
      <w:numFmt w:val="lowerLetter"/>
      <w:start w:val="10"/>
    </w:lvl>
  </w:abstractNum>
  <w:abstractNum w:abstractNumId="56">
    <w:nsid w:val="5DB70AE5"/>
    <w:multiLevelType w:val="hybridMultilevel"/>
    <w:lvl w:ilvl="0">
      <w:lvlJc w:val="left"/>
      <w:lvlText w:val="%1)"/>
      <w:numFmt w:val="decimal"/>
      <w:start w:val="280"/>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decimal"/>
      <w:start w:val="1"/>
    </w:lvl>
    <w:lvl w:ilvl="1">
      <w:lvlJc w:val="left"/>
      <w:lvlText w:val="(%2)"/>
      <w:numFmt w:val="lowerLetter"/>
      <w:start w:val="1"/>
    </w:lvl>
  </w:abstractNum>
  <w:abstractNum w:abstractNumId="59">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0">
    <w:nsid w:val="5F5E7FD0"/>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abstractNum>
  <w:abstractNum w:abstractNumId="61">
    <w:nsid w:val="98A314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62">
    <w:nsid w:val="799D024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63">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4">
    <w:nsid w:val="42C296B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65">
    <w:nsid w:val="168E121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66">
    <w:nsid w:val="1EBA5D23"/>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3"/>
    </w:lvl>
    <w:lvl w:ilvl="3">
      <w:lvlJc w:val="left"/>
      <w:lvlText w:val="%4"/>
      <w:numFmt w:val="lowerRoman"/>
      <w:start w:val="1"/>
    </w:lvl>
  </w:abstractNum>
  <w:abstractNum w:abstractNumId="67">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8">
    <w:nsid w:val="5DC79EA8"/>
    <w:multiLevelType w:val="hybridMultilevel"/>
    <w:lvl w:ilvl="0">
      <w:lvlJc w:val="left"/>
      <w:lvlText w:val="%1"/>
      <w:numFmt w:val="decimal"/>
      <w:start w:val="1"/>
    </w:lvl>
    <w:lvl w:ilvl="1">
      <w:lvlJc w:val="left"/>
      <w:lvlText w:val="(%2)"/>
      <w:numFmt w:val="lowerLetter"/>
      <w:start w:val="6"/>
    </w:lvl>
  </w:abstractNum>
  <w:abstractNum w:abstractNumId="69">
    <w:nsid w:val="540A471C"/>
    <w:multiLevelType w:val="hybridMultilevel"/>
    <w:lvl w:ilvl="0">
      <w:lvlJc w:val="left"/>
      <w:lvlText w:val="%1."/>
      <w:numFmt w:val="decimal"/>
      <w:start w:val="7"/>
    </w:lvl>
    <w:lvl w:ilvl="1">
      <w:lvlJc w:val="left"/>
      <w:lvlText w:val="%2"/>
      <w:numFmt w:val="lowerLetter"/>
      <w:start w:val="1"/>
    </w:lvl>
  </w:abstractNum>
  <w:abstractNum w:abstractNumId="70">
    <w:nsid w:val="7BD3EE7B"/>
    <w:multiLevelType w:val="hybridMultilevel"/>
    <w:lvl w:ilvl="0">
      <w:lvlJc w:val="left"/>
      <w:lvlText w:val="%1."/>
      <w:numFmt w:val="decimal"/>
      <w:start w:val="9"/>
    </w:lvl>
    <w:lvl w:ilvl="1">
      <w:lvlJc w:val="left"/>
      <w:lvlText w:val="(%2)"/>
      <w:numFmt w:val="lowerLetter"/>
      <w:start w:val="1"/>
    </w:lvl>
  </w:abstractNum>
  <w:abstractNum w:abstractNumId="71">
    <w:nsid w:val="51D9C564"/>
    <w:multiLevelType w:val="hybridMultilevel"/>
    <w:lvl w:ilvl="0">
      <w:lvlJc w:val="left"/>
      <w:lvlText w:val="(%1)"/>
      <w:numFmt w:val="lowerLetter"/>
      <w:start w:val="3"/>
    </w:lvl>
  </w:abstractNum>
  <w:abstractNum w:abstractNumId="72">
    <w:nsid w:val="613EFDC5"/>
    <w:multiLevelType w:val="hybridMultilevel"/>
    <w:lvl w:ilvl="0">
      <w:lvlJc w:val="left"/>
      <w:lvlText w:val="%1"/>
      <w:numFmt w:val="decimal"/>
      <w:start w:val="1"/>
    </w:lvl>
    <w:lvl w:ilvl="1">
      <w:lvlJc w:val="left"/>
      <w:lvlText w:val="(%2)"/>
      <w:numFmt w:val="lowerLetter"/>
      <w:start w:val="8"/>
    </w:lvl>
  </w:abstractNum>
  <w:abstractNum w:abstractNumId="73">
    <w:nsid w:val="BF72B14"/>
    <w:multiLevelType w:val="hybridMultilevel"/>
    <w:lvl w:ilvl="0">
      <w:lvlJc w:val="left"/>
      <w:lvlText w:val="%1."/>
      <w:numFmt w:val="decimal"/>
      <w:start w:val="14"/>
    </w:lvl>
    <w:lvl w:ilvl="1">
      <w:lvlJc w:val="left"/>
      <w:lvlText w:val="%2"/>
      <w:numFmt w:val="lowerLetter"/>
      <w:start w:val="1"/>
    </w:lvl>
  </w:abstractNum>
  <w:abstractNum w:abstractNumId="74">
    <w:nsid w:val="11447B73"/>
    <w:multiLevelType w:val="hybridMultilevel"/>
    <w:lvl w:ilvl="0">
      <w:lvlJc w:val="left"/>
      <w:lvlText w:val="%1."/>
      <w:numFmt w:val="decimal"/>
      <w:start w:val="17"/>
    </w:lvl>
  </w:abstractNum>
  <w:abstractNum w:abstractNumId="75">
    <w:nsid w:val="42963E5A"/>
    <w:multiLevelType w:val="hybridMultilevel"/>
    <w:lvl w:ilvl="0">
      <w:lvlJc w:val="left"/>
      <w:lvlText w:val="(%1)"/>
      <w:numFmt w:val="lowerLetter"/>
      <w:start w:val="10"/>
    </w:lvl>
  </w:abstractNum>
  <w:abstractNum w:abstractNumId="76">
    <w:nsid w:val="A0382C5"/>
    <w:multiLevelType w:val="hybridMultilevel"/>
    <w:lvl w:ilvl="0">
      <w:lvlJc w:val="left"/>
      <w:lvlText w:val="%1)"/>
      <w:numFmt w:val="decimal"/>
      <w:start w:val="280"/>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1" Type="http://schemas.openxmlformats.org/officeDocument/2006/relationships/image" Target="media/image119.png"/><Relationship Id="rId151"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126" Type="http://schemas.openxmlformats.org/officeDocument/2006/relationships/hyperlink" Target="https://www.sec.gov/Archives/edgar/data/1585521/000119312519115111/d736915dex31.htm" TargetMode="External"/><Relationship Id="rId127" Type="http://schemas.openxmlformats.org/officeDocument/2006/relationships/hyperlink" Target="https://www.sec.gov/Archives/edgar/data/1585521/000158552124000257/certificateofamendmenttoce.htm" TargetMode="External"/><Relationship Id="rId128" Type="http://schemas.openxmlformats.org/officeDocument/2006/relationships/hyperlink" Target="https://www.sec.gov/Archives/edgar/data/1585521/000158552124000257/amendedandrestatedbylaws.htm" TargetMode="External"/><Relationship Id="rId129" Type="http://schemas.openxmlformats.org/officeDocument/2006/relationships/hyperlink" Target="https://www.sec.gov/Archives/edgar/data/1585521/000119312519099813/d642624dex41.htm" TargetMode="External"/><Relationship Id="rId130" Type="http://schemas.openxmlformats.org/officeDocument/2006/relationships/hyperlink" Target="https://www.sec.gov/Archives/edgar/data/1585521/000119312519083351/d642624dex42.htm" TargetMode="External"/><Relationship Id="rId132" Type="http://schemas.openxmlformats.org/officeDocument/2006/relationships/hyperlink" Target="https://www.sec.gov/Archives/edgar/data/1585521/000119312519083351/d642624dex101.htm" TargetMode="External"/><Relationship Id="rId133" Type="http://schemas.openxmlformats.org/officeDocument/2006/relationships/hyperlink" Target="https://www.sec.gov/Archives/edgar/data/1585521/000158552120000238/a20200731-10qxex103.htm" TargetMode="External"/><Relationship Id="rId134" Type="http://schemas.openxmlformats.org/officeDocument/2006/relationships/hyperlink" Target="https://www.sec.gov/Archives/edgar/data/1585521/000158552124000094/fy25performancevesting.htm" TargetMode="External"/><Relationship Id="rId135" Type="http://schemas.openxmlformats.org/officeDocument/2006/relationships/hyperlink" Target="https://www.sec.gov/Archives/edgar/data/1585521/000119312519083351/d642624dex104.htm" TargetMode="External"/><Relationship Id="rId136" Type="http://schemas.openxmlformats.org/officeDocument/2006/relationships/hyperlink" Target="https://www.sec.gov/Archives/edgar/data/1585521/000158552123000035/zm-20230131xex107.htm" TargetMode="External"/><Relationship Id="rId137" Type="http://schemas.openxmlformats.org/officeDocument/2006/relationships/hyperlink" Target="https://www.sec.gov/Archives/edgar/data/1585521/000158552119000020/exhibit103_2019eiprsunon.htm" TargetMode="External"/><Relationship Id="rId138" Type="http://schemas.openxmlformats.org/officeDocument/2006/relationships/hyperlink" Target="https://www.sec.gov/Archives/edgar/data/1585521/000119312519083351/d642624dex105.htm" TargetMode="External"/><Relationship Id="rId139" Type="http://schemas.openxmlformats.org/officeDocument/2006/relationships/hyperlink" Target="https://www.sec.gov/Archives/edgar/data/1585521/000119312519083351/d642624dex106.htm" TargetMode="External"/><Relationship Id="rId140" Type="http://schemas.openxmlformats.org/officeDocument/2006/relationships/hyperlink" Target="https://www.sec.gov/Archives/edgar/data/1585521/000158552120000238/zm20200731ex101.htm" TargetMode="External"/><Relationship Id="rId141" Type="http://schemas.openxmlformats.org/officeDocument/2006/relationships/hyperlink" Target="https://www.sec.gov/Archives/edgar/data/1585521/000158552120000238/zm-20200731x10qxex102.htm" TargetMode="External"/><Relationship Id="rId142" Type="http://schemas.openxmlformats.org/officeDocument/2006/relationships/hyperlink" Target="https://www.sec.gov/Archives/edgar/data/1585521/000158552121000048/ex1017_napolitanoofferlett.htm" TargetMode="External"/><Relationship Id="rId143" Type="http://schemas.openxmlformats.org/officeDocument/2006/relationships/hyperlink" Target="https://www.sec.gov/Archives/edgar/data/1585521/000158552122000106/zoom-boardofferlettermcder.htm" TargetMode="External"/><Relationship Id="rId144" Type="http://schemas.openxmlformats.org/officeDocument/2006/relationships/hyperlink" Target="https://www.sec.gov/Archives/edgar/data/1585521/000158552123000035/zm-20230131xex1020.htm" TargetMode="External"/><Relationship Id="rId145" Type="http://schemas.openxmlformats.org/officeDocument/2006/relationships/hyperlink" Target="https://www.sec.gov/Archives/edgar/data/1585521/000119312524229587/d877887dex101.htm" TargetMode="External"/><Relationship Id="rId146" Type="http://schemas.openxmlformats.org/officeDocument/2006/relationships/hyperlink" Target="https://www.sec.gov/Archives/edgar/data/1585521/000119312519083351/d642624dex109.htm" TargetMode="External"/><Relationship Id="rId147" Type="http://schemas.openxmlformats.org/officeDocument/2006/relationships/hyperlink" Target="https://www.sec.gov/Archives/edgar/data/1585521/000158552119000020/exhibit105_lease4thamend.htm" TargetMode="External"/><Relationship Id="rId148" Type="http://schemas.openxmlformats.org/officeDocument/2006/relationships/hyperlink" Target="https://www.sec.gov/Archives/edgar/data/1585521/000158552120000154/zm-20200430xex101xexport.htm" TargetMode="External"/><Relationship Id="rId149" Type="http://schemas.openxmlformats.org/officeDocument/2006/relationships/hyperlink" Target="https://www.sec.gov/Archives/edgar/data/1585521/000158552122000037/ex1021_zoom-officerbonuspl.htm" TargetMode="External"/><Relationship Id="rId150" Type="http://schemas.openxmlformats.org/officeDocument/2006/relationships/hyperlink" Target="https://www.sec.gov/Archives/edgar/data/1585521/000158552122000180/exhibit102_zoom-severancea.htm" TargetMode="External"/><Relationship Id="rId152" Type="http://schemas.openxmlformats.org/officeDocument/2006/relationships/hyperlink" Target="https://www.sec.gov/Archives/edgar/data/1585521/000158552124000030/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2025-02-28T15:55:15Z</dcterms:created>
  <dcterms:modified xsi:type="dcterms:W3CDTF">2025-02-28T15:55:15Z</dcterms:modified>
</cp:coreProperties>
</file>