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311150</wp:posOffset>
            </wp:positionV>
            <wp:extent cx="72605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69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331470</wp:posOffset>
            </wp:positionV>
            <wp:extent cx="72605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line="232"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400" w:hanging="379"/>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July 31, 2019</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6"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420"/>
          </w:cols>
          <w:pgMar w:left="220" w:top="211" w:right="259" w:bottom="1440" w:gutter="0" w:footer="0" w:header="0"/>
        </w:sectPr>
      </w:pPr>
    </w:p>
    <w:p>
      <w:pPr>
        <w:spacing w:after="0" w:line="1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66" w:lineRule="exact"/>
        <w:rPr>
          <w:sz w:val="24"/>
          <w:szCs w:val="24"/>
          <w:color w:val="auto"/>
        </w:rPr>
      </w:pPr>
    </w:p>
    <w:p>
      <w:pPr>
        <w:sectPr>
          <w:pgSz w:w="11900" w:h="16838" w:orient="portrait"/>
          <w:cols w:equalWidth="0" w:num="2">
            <w:col w:w="6660" w:space="600"/>
            <w:col w:w="4160"/>
          </w:cols>
          <w:pgMar w:left="220" w:top="211" w:right="2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001-38865</w:t>
      </w:r>
    </w:p>
    <w:p>
      <w:pPr>
        <w:spacing w:after="0" w:line="2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Zoom Video Communications,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ectPr>
          <w:pgSz w:w="11900" w:h="16838" w:orient="portrait"/>
          <w:cols w:equalWidth="0" w:num="1">
            <w:col w:w="11420"/>
          </w:cols>
          <w:pgMar w:left="220" w:top="211" w:right="259" w:bottom="1440" w:gutter="0" w:footer="0" w:header="0"/>
          <w:type w:val="continuous"/>
        </w:sectPr>
      </w:pPr>
    </w:p>
    <w:p>
      <w:pPr>
        <w:spacing w:after="0" w:line="3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61-1648780</w:t>
      </w:r>
    </w:p>
    <w:p>
      <w:pPr>
        <w:spacing w:after="0" w:line="52" w:lineRule="exact"/>
        <w:rPr>
          <w:sz w:val="24"/>
          <w:szCs w:val="24"/>
          <w:color w:val="auto"/>
        </w:rPr>
      </w:pPr>
    </w:p>
    <w:p>
      <w:pPr>
        <w:sectPr>
          <w:pgSz w:w="11900" w:h="16838" w:orient="portrait"/>
          <w:cols w:equalWidth="0" w:num="2">
            <w:col w:w="7520" w:space="720"/>
            <w:col w:w="3180"/>
          </w:cols>
          <w:pgMar w:left="220" w:top="211" w:right="259" w:bottom="1440" w:gutter="0" w:footer="0" w:header="0"/>
          <w:type w:val="continuous"/>
        </w:sectPr>
      </w:pPr>
    </w:p>
    <w:p>
      <w:pPr>
        <w:jc w:val="center"/>
        <w:ind w:right="164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6"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89" w:lineRule="exact"/>
        <w:rPr>
          <w:sz w:val="24"/>
          <w:szCs w:val="24"/>
          <w:color w:val="auto"/>
        </w:rPr>
      </w:pPr>
    </w:p>
    <w:p>
      <w:pPr>
        <w:sectPr>
          <w:pgSz w:w="11900" w:h="16838" w:orient="portrait"/>
          <w:cols w:equalWidth="0" w:num="2">
            <w:col w:w="7420" w:space="720"/>
            <w:col w:w="3280"/>
          </w:cols>
          <w:pgMar w:left="220" w:top="211" w:right="25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4"/>
          <w:szCs w:val="14"/>
          <w:b w:val="1"/>
          <w:bCs w:val="1"/>
          <w:color w:val="auto"/>
        </w:rPr>
        <w:t>55 Almaden Boulevard, 6</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p>
      <w:pPr>
        <w:spacing w:after="0" w:line="2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San Jose, California 95113</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i w:val="1"/>
          <w:iCs w:val="1"/>
          <w:color w:val="auto"/>
        </w:rPr>
        <w:t>(Address of principal executive offices and Zip Code)</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(888) 799-9666</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i w:val="1"/>
          <w:iCs w:val="1"/>
          <w:color w:val="auto"/>
        </w:rPr>
        <w:t>(Registrant’s telephone number, including area code)</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376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color w:val="auto"/>
                <w:w w:val="99"/>
              </w:rPr>
              <w:t>Securities registered pursuant to Section 12(b) of the Act:</w:t>
            </w:r>
          </w:p>
        </w:tc>
        <w:tc>
          <w:tcPr>
            <w:tcW w:w="3780" w:type="dxa"/>
            <w:vAlign w:val="bottom"/>
          </w:tcPr>
          <w:p>
            <w:pPr>
              <w:spacing w:after="0"/>
              <w:rPr>
                <w:sz w:val="14"/>
                <w:szCs w:val="14"/>
                <w:color w:val="auto"/>
              </w:rPr>
            </w:pPr>
          </w:p>
        </w:tc>
      </w:tr>
      <w:tr>
        <w:trPr>
          <w:trHeight w:val="194"/>
        </w:trPr>
        <w:tc>
          <w:tcPr>
            <w:tcW w:w="3880" w:type="dxa"/>
            <w:vAlign w:val="bottom"/>
          </w:tcPr>
          <w:p>
            <w:pPr>
              <w:jc w:val="center"/>
              <w:ind w:left="415"/>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3"/>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3780" w:type="dxa"/>
            <w:vAlign w:val="bottom"/>
          </w:tcPr>
          <w:p>
            <w:pPr>
              <w:jc w:val="center"/>
              <w:ind w:right="475"/>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r>
      <w:tr>
        <w:trPr>
          <w:trHeight w:val="27"/>
        </w:trPr>
        <w:tc>
          <w:tcPr>
            <w:tcW w:w="3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69"/>
        </w:trPr>
        <w:tc>
          <w:tcPr>
            <w:tcW w:w="3880" w:type="dxa"/>
            <w:vAlign w:val="bottom"/>
          </w:tcPr>
          <w:p>
            <w:pPr>
              <w:jc w:val="center"/>
              <w:ind w:left="415"/>
              <w:spacing w:after="0"/>
              <w:rPr>
                <w:sz w:val="20"/>
                <w:szCs w:val="20"/>
                <w:color w:val="auto"/>
              </w:rPr>
            </w:pPr>
            <w:r>
              <w:rPr>
                <w:rFonts w:ascii="Times New Roman" w:cs="Times New Roman" w:eastAsia="Times New Roman" w:hAnsi="Times New Roman"/>
                <w:sz w:val="13"/>
                <w:szCs w:val="13"/>
                <w:color w:val="auto"/>
                <w:w w:val="99"/>
              </w:rPr>
              <w:t>Class A Common Stock, $0.001 par value per share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3"/>
          </w:tcPr>
          <w:p>
            <w:pPr>
              <w:jc w:val="center"/>
              <w:ind w:right="640"/>
              <w:spacing w:after="0"/>
              <w:rPr>
                <w:sz w:val="20"/>
                <w:szCs w:val="20"/>
                <w:color w:val="auto"/>
              </w:rPr>
            </w:pPr>
            <w:r>
              <w:rPr>
                <w:rFonts w:ascii="Times New Roman" w:cs="Times New Roman" w:eastAsia="Times New Roman" w:hAnsi="Times New Roman"/>
                <w:sz w:val="13"/>
                <w:szCs w:val="13"/>
                <w:color w:val="auto"/>
              </w:rPr>
              <w:t>ZM</w:t>
            </w:r>
          </w:p>
        </w:tc>
        <w:tc>
          <w:tcPr>
            <w:tcW w:w="3780" w:type="dxa"/>
            <w:vAlign w:val="bottom"/>
          </w:tcPr>
          <w:p>
            <w:pPr>
              <w:jc w:val="center"/>
              <w:ind w:right="475"/>
              <w:spacing w:after="0"/>
              <w:rPr>
                <w:sz w:val="20"/>
                <w:szCs w:val="20"/>
                <w:color w:val="auto"/>
              </w:rPr>
            </w:pPr>
            <w:r>
              <w:rPr>
                <w:rFonts w:ascii="Times New Roman" w:cs="Times New Roman" w:eastAsia="Times New Roman" w:hAnsi="Times New Roman"/>
                <w:sz w:val="13"/>
                <w:szCs w:val="13"/>
                <w:color w:val="auto"/>
                <w:w w:val="99"/>
              </w:rPr>
              <w:t>The Nasdaq Global Select Market</w:t>
            </w:r>
          </w:p>
        </w:tc>
      </w:tr>
    </w:tbl>
    <w:p>
      <w:pPr>
        <w:spacing w:after="0" w:line="102" w:lineRule="exact"/>
        <w:rPr>
          <w:sz w:val="24"/>
          <w:szCs w:val="24"/>
          <w:color w:val="auto"/>
        </w:rPr>
      </w:pPr>
    </w:p>
    <w:p>
      <w:pPr>
        <w:ind w:right="26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3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20"/>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2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860" w:type="dxa"/>
            <w:vAlign w:val="bottom"/>
          </w:tcPr>
          <w:p>
            <w:pPr>
              <w:ind w:left="2760"/>
              <w:spacing w:after="0"/>
              <w:rPr>
                <w:sz w:val="20"/>
                <w:szCs w:val="20"/>
                <w:color w:val="auto"/>
              </w:rPr>
            </w:pPr>
            <w:r>
              <w:rPr>
                <w:rFonts w:ascii="Times New Roman" w:cs="Times New Roman" w:eastAsia="Times New Roman" w:hAnsi="Times New Roman"/>
                <w:sz w:val="13"/>
                <w:szCs w:val="13"/>
                <w:color w:val="auto"/>
              </w:rPr>
              <w:t>Accelerated filer</w:t>
            </w:r>
          </w:p>
        </w:tc>
        <w:tc>
          <w:tcPr>
            <w:tcW w:w="7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5"/>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2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860" w:type="dxa"/>
            <w:vAlign w:val="bottom"/>
          </w:tcPr>
          <w:p>
            <w:pPr>
              <w:ind w:left="27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5"/>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2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86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83"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980" w:val="left"/>
          <w:tab w:leader="none" w:pos="65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August 23, 2019 the number of shares of the registrant’s Class A common stock outstanding was 56,887,819 and the number of shares of the registrant’s Class B common stock outstanding was 216,664,088.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2605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059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46990</wp:posOffset>
            </wp:positionV>
            <wp:extent cx="72605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6985"/>
                    </a:xfrm>
                    <a:prstGeom prst="rect">
                      <a:avLst/>
                    </a:prstGeom>
                    <a:noFill/>
                  </pic:spPr>
                </pic:pic>
              </a:graphicData>
            </a:graphic>
          </wp:anchor>
        </w:drawing>
      </w:r>
    </w:p>
    <w:p>
      <w:pPr>
        <w:sectPr>
          <w:pgSz w:w="11900" w:h="16838" w:orient="portrait"/>
          <w:cols w:equalWidth="0" w:num="1">
            <w:col w:w="11420"/>
          </w:cols>
          <w:pgMar w:left="220" w:top="211"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920" w:type="dxa"/>
            <w:vAlign w:val="bottom"/>
            <w:gridSpan w:val="23"/>
          </w:tcPr>
          <w:p>
            <w:pPr>
              <w:spacing w:after="0"/>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Table of Contents</w:t>
              </w:r>
            </w:hyperlink>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6"/>
        </w:trPr>
        <w:tc>
          <w:tcPr>
            <w:tcW w:w="9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40" w:type="dxa"/>
            <w:vAlign w:val="bottom"/>
            <w:gridSpan w:val="9"/>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For the Quarterly Period Ended July 31, 2019</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9020" w:type="dxa"/>
            <w:vAlign w:val="bottom"/>
            <w:gridSpan w:val="22"/>
            <w:vMerge w:val="restart"/>
          </w:tcPr>
          <w:p>
            <w:pPr>
              <w:spacing w:after="0" w:line="153" w:lineRule="exact"/>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color w:val="0000FF"/>
                </w:rPr>
                <w:t>PART I – Financial Information</w:t>
              </w:r>
            </w:hyperlink>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9020" w:type="dxa"/>
            <w:vAlign w:val="bottom"/>
            <w:gridSpan w:val="22"/>
            <w:vMerge w:val="continue"/>
          </w:tcPr>
          <w:p>
            <w:pPr>
              <w:spacing w:after="0"/>
              <w:rPr>
                <w:sz w:val="11"/>
                <w:szCs w:val="11"/>
                <w:color w:val="auto"/>
              </w:rPr>
            </w:pPr>
          </w:p>
        </w:tc>
        <w:tc>
          <w:tcPr>
            <w:tcW w:w="1460" w:type="dxa"/>
            <w:vAlign w:val="bottom"/>
          </w:tcPr>
          <w:p>
            <w:pPr>
              <w:jc w:val="center"/>
              <w:spacing w:after="0" w:line="120" w:lineRule="exact"/>
              <w:rPr>
                <w:rFonts w:ascii="Times New Roman" w:cs="Times New Roman" w:eastAsia="Times New Roman" w:hAnsi="Times New Roman"/>
                <w:sz w:val="13"/>
                <w:szCs w:val="13"/>
                <w:color w:val="auto"/>
                <w:w w:val="91"/>
              </w:rPr>
            </w:pPr>
            <w:hyperlink w:anchor="page3">
              <w:r>
                <w:rPr>
                  <w:rFonts w:ascii="Times New Roman" w:cs="Times New Roman" w:eastAsia="Times New Roman" w:hAnsi="Times New Roman"/>
                  <w:sz w:val="13"/>
                  <w:szCs w:val="13"/>
                  <w:color w:val="auto"/>
                  <w:w w:val="91"/>
                </w:rPr>
                <w:t>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0" w:type="dxa"/>
            <w:vAlign w:val="bottom"/>
          </w:tcPr>
          <w:p>
            <w:pPr>
              <w:ind w:left="20"/>
              <w:spacing w:after="0"/>
              <w:rPr>
                <w:rFonts w:ascii="Times New Roman" w:cs="Times New Roman" w:eastAsia="Times New Roman" w:hAnsi="Times New Roman"/>
                <w:sz w:val="14"/>
                <w:szCs w:val="14"/>
                <w:color w:val="auto"/>
              </w:rPr>
            </w:pPr>
            <w:hyperlink w:anchor="page4">
              <w:r>
                <w:rPr>
                  <w:rFonts w:ascii="Times New Roman" w:cs="Times New Roman" w:eastAsia="Times New Roman" w:hAnsi="Times New Roman"/>
                  <w:sz w:val="14"/>
                  <w:szCs w:val="14"/>
                  <w:color w:val="auto"/>
                </w:rPr>
                <w:t>Item 1.</w:t>
              </w:r>
            </w:hyperlink>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Financial Statements (Unaudited)</w:t>
              </w:r>
            </w:hyperlink>
          </w:p>
        </w:tc>
        <w:tc>
          <w:tcPr>
            <w:tcW w:w="1460" w:type="dxa"/>
            <w:vAlign w:val="bottom"/>
          </w:tcPr>
          <w:p>
            <w:pPr>
              <w:jc w:val="center"/>
              <w:spacing w:after="0"/>
              <w:rPr>
                <w:rFonts w:ascii="Times New Roman" w:cs="Times New Roman" w:eastAsia="Times New Roman" w:hAnsi="Times New Roman"/>
                <w:sz w:val="14"/>
                <w:szCs w:val="14"/>
                <w:color w:val="auto"/>
                <w:w w:val="84"/>
              </w:rPr>
            </w:pPr>
            <w:hyperlink w:anchor="page4">
              <w:r>
                <w:rPr>
                  <w:rFonts w:ascii="Times New Roman" w:cs="Times New Roman" w:eastAsia="Times New Roman" w:hAnsi="Times New Roman"/>
                  <w:sz w:val="14"/>
                  <w:szCs w:val="14"/>
                  <w:color w:val="auto"/>
                  <w:w w:val="84"/>
                </w:rPr>
                <w:t>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tcPr>
          <w:p>
            <w:pPr>
              <w:spacing w:after="0"/>
              <w:rPr>
                <w:sz w:val="14"/>
                <w:szCs w:val="14"/>
                <w:color w:val="auto"/>
              </w:rPr>
            </w:pPr>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Condensed Consolidated Balance Sheets as of July 31, 2019 and January 31, 2019</w:t>
              </w:r>
            </w:hyperlink>
          </w:p>
        </w:tc>
        <w:tc>
          <w:tcPr>
            <w:tcW w:w="1460" w:type="dxa"/>
            <w:vAlign w:val="bottom"/>
          </w:tcPr>
          <w:p>
            <w:pPr>
              <w:jc w:val="center"/>
              <w:spacing w:after="0"/>
              <w:rPr>
                <w:rFonts w:ascii="Times New Roman" w:cs="Times New Roman" w:eastAsia="Times New Roman" w:hAnsi="Times New Roman"/>
                <w:sz w:val="14"/>
                <w:szCs w:val="14"/>
                <w:color w:val="auto"/>
                <w:w w:val="84"/>
              </w:rPr>
            </w:pPr>
            <w:hyperlink w:anchor="page4">
              <w:r>
                <w:rPr>
                  <w:rFonts w:ascii="Times New Roman" w:cs="Times New Roman" w:eastAsia="Times New Roman" w:hAnsi="Times New Roman"/>
                  <w:sz w:val="14"/>
                  <w:szCs w:val="14"/>
                  <w:color w:val="auto"/>
                  <w:w w:val="84"/>
                </w:rPr>
                <w:t>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00" w:type="dxa"/>
            <w:vAlign w:val="bottom"/>
          </w:tcPr>
          <w:p>
            <w:pPr>
              <w:spacing w:after="0"/>
              <w:rPr>
                <w:sz w:val="24"/>
                <w:szCs w:val="24"/>
                <w:color w:val="auto"/>
              </w:rPr>
            </w:pPr>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4">
              <w:r>
                <w:rPr>
                  <w:rFonts w:ascii="Times New Roman" w:cs="Times New Roman" w:eastAsia="Times New Roman" w:hAnsi="Times New Roman"/>
                  <w:sz w:val="14"/>
                  <w:szCs w:val="14"/>
                  <w:color w:val="0000FF"/>
                </w:rPr>
                <w:t>Condensed Consolidated Statements of Operations for the Three and Six Months Ended July 31, 2019 and 2018</w:t>
              </w:r>
            </w:hyperlink>
          </w:p>
        </w:tc>
        <w:tc>
          <w:tcPr>
            <w:tcW w:w="1460" w:type="dxa"/>
            <w:vAlign w:val="bottom"/>
          </w:tcPr>
          <w:p>
            <w:pPr>
              <w:jc w:val="center"/>
              <w:spacing w:after="0"/>
              <w:rPr>
                <w:rFonts w:ascii="Times New Roman" w:cs="Times New Roman" w:eastAsia="Times New Roman" w:hAnsi="Times New Roman"/>
                <w:sz w:val="14"/>
                <w:szCs w:val="14"/>
                <w:color w:val="auto"/>
                <w:w w:val="84"/>
              </w:rPr>
            </w:pPr>
            <w:hyperlink w:anchor="page4">
              <w:r>
                <w:rPr>
                  <w:rFonts w:ascii="Times New Roman" w:cs="Times New Roman" w:eastAsia="Times New Roman" w:hAnsi="Times New Roman"/>
                  <w:sz w:val="14"/>
                  <w:szCs w:val="14"/>
                  <w:color w:val="auto"/>
                  <w:w w:val="84"/>
                </w:rPr>
                <w:t>5</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00" w:type="dxa"/>
            <w:vAlign w:val="bottom"/>
          </w:tcPr>
          <w:p>
            <w:pPr>
              <w:spacing w:after="0"/>
              <w:rPr>
                <w:sz w:val="24"/>
                <w:szCs w:val="24"/>
                <w:color w:val="auto"/>
              </w:rPr>
            </w:pPr>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Condensed Consolidated Statements of Comprehensive Income for the Three and Six Months Ended July 31, 2019 and 2018</w:t>
              </w:r>
            </w:hyperlink>
          </w:p>
        </w:tc>
        <w:tc>
          <w:tcPr>
            <w:tcW w:w="1460" w:type="dxa"/>
            <w:vAlign w:val="bottom"/>
          </w:tcPr>
          <w:p>
            <w:pPr>
              <w:jc w:val="center"/>
              <w:spacing w:after="0"/>
              <w:rPr>
                <w:rFonts w:ascii="Times New Roman" w:cs="Times New Roman" w:eastAsia="Times New Roman" w:hAnsi="Times New Roman"/>
                <w:sz w:val="14"/>
                <w:szCs w:val="14"/>
                <w:color w:val="auto"/>
                <w:w w:val="84"/>
              </w:rPr>
            </w:pPr>
            <w:hyperlink w:anchor="page5">
              <w:r>
                <w:rPr>
                  <w:rFonts w:ascii="Times New Roman" w:cs="Times New Roman" w:eastAsia="Times New Roman" w:hAnsi="Times New Roman"/>
                  <w:sz w:val="14"/>
                  <w:szCs w:val="14"/>
                  <w:color w:val="auto"/>
                  <w:w w:val="84"/>
                </w:rPr>
                <w:t>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00" w:type="dxa"/>
            <w:vAlign w:val="bottom"/>
          </w:tcPr>
          <w:p>
            <w:pPr>
              <w:spacing w:after="0"/>
              <w:rPr>
                <w:sz w:val="24"/>
                <w:szCs w:val="24"/>
                <w:color w:val="auto"/>
              </w:rPr>
            </w:pPr>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6">
              <w:r>
                <w:rPr>
                  <w:rFonts w:ascii="Times New Roman" w:cs="Times New Roman" w:eastAsia="Times New Roman" w:hAnsi="Times New Roman"/>
                  <w:sz w:val="14"/>
                  <w:szCs w:val="14"/>
                  <w:color w:val="0000FF"/>
                </w:rPr>
                <w:t>Condensed Consolidated Statements of Convertible Preferred Stock and Stockholders’ Equity (Deficit) for the Three and Six Months Ended July 31, 2019</w:t>
              </w:r>
            </w:hyperlink>
          </w:p>
        </w:tc>
        <w:tc>
          <w:tcPr>
            <w:tcW w:w="1460" w:type="dxa"/>
            <w:vAlign w:val="bottom"/>
            <w:vMerge w:val="restart"/>
          </w:tcPr>
          <w:p>
            <w:pPr>
              <w:jc w:val="center"/>
              <w:spacing w:after="0"/>
              <w:rPr>
                <w:rFonts w:ascii="Times New Roman" w:cs="Times New Roman" w:eastAsia="Times New Roman" w:hAnsi="Times New Roman"/>
                <w:sz w:val="14"/>
                <w:szCs w:val="14"/>
                <w:color w:val="auto"/>
                <w:w w:val="84"/>
              </w:rPr>
            </w:pPr>
            <w:hyperlink w:anchor="page6">
              <w:r>
                <w:rPr>
                  <w:rFonts w:ascii="Times New Roman" w:cs="Times New Roman" w:eastAsia="Times New Roman" w:hAnsi="Times New Roman"/>
                  <w:sz w:val="14"/>
                  <w:szCs w:val="14"/>
                  <w:color w:val="auto"/>
                  <w:w w:val="84"/>
                </w:rPr>
                <w:t>7</w:t>
              </w:r>
            </w:hyperlink>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8860" w:type="dxa"/>
            <w:vAlign w:val="bottom"/>
            <w:tcBorders>
              <w:top w:val="single" w:sz="8" w:color="0000FF"/>
            </w:tcBorders>
            <w:gridSpan w:val="21"/>
          </w:tcPr>
          <w:p>
            <w:pPr>
              <w:spacing w:after="0" w:line="120" w:lineRule="exact"/>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and 2018</w:t>
              </w:r>
            </w:hyperlink>
          </w:p>
        </w:tc>
        <w:tc>
          <w:tcPr>
            <w:tcW w:w="1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tcPr>
          <w:p>
            <w:pPr>
              <w:spacing w:after="0"/>
              <w:rPr>
                <w:sz w:val="14"/>
                <w:szCs w:val="14"/>
                <w:color w:val="auto"/>
              </w:rPr>
            </w:pPr>
          </w:p>
        </w:tc>
        <w:tc>
          <w:tcPr>
            <w:tcW w:w="586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w:anchor="page8">
              <w:r>
                <w:rPr>
                  <w:rFonts w:ascii="Times New Roman" w:cs="Times New Roman" w:eastAsia="Times New Roman" w:hAnsi="Times New Roman"/>
                  <w:sz w:val="14"/>
                  <w:szCs w:val="14"/>
                  <w:color w:val="0000FF"/>
                </w:rPr>
                <w:t>Condensed Consolidated Statements of Cash Flows for the Six Months Ended July 31, 2019 and 2018</w:t>
              </w:r>
            </w:hyperlink>
          </w:p>
        </w:tc>
        <w:tc>
          <w:tcPr>
            <w:tcW w:w="3160" w:type="dxa"/>
            <w:vAlign w:val="bottom"/>
            <w:gridSpan w:val="4"/>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84"/>
              </w:rPr>
            </w:pPr>
            <w:hyperlink w:anchor="page8">
              <w:r>
                <w:rPr>
                  <w:rFonts w:ascii="Times New Roman" w:cs="Times New Roman" w:eastAsia="Times New Roman" w:hAnsi="Times New Roman"/>
                  <w:sz w:val="14"/>
                  <w:szCs w:val="14"/>
                  <w:color w:val="auto"/>
                  <w:w w:val="84"/>
                </w:rPr>
                <w:t>9</w:t>
              </w:r>
            </w:hyperlink>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9">
              <w:r>
                <w:rPr>
                  <w:rFonts w:ascii="Times New Roman" w:cs="Times New Roman" w:eastAsia="Times New Roman" w:hAnsi="Times New Roman"/>
                  <w:sz w:val="14"/>
                  <w:szCs w:val="14"/>
                  <w:color w:val="0000FF"/>
                </w:rPr>
                <w:t>Notes to Condensed Consolidated Financial Statements</w:t>
              </w:r>
            </w:hyperlink>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9">
              <w:r>
                <w:rPr>
                  <w:rFonts w:ascii="Times New Roman" w:cs="Times New Roman" w:eastAsia="Times New Roman" w:hAnsi="Times New Roman"/>
                  <w:sz w:val="14"/>
                  <w:szCs w:val="14"/>
                  <w:color w:val="auto"/>
                  <w:w w:val="99"/>
                </w:rPr>
                <w:t>10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22">
              <w:r>
                <w:rPr>
                  <w:rFonts w:ascii="Times New Roman" w:cs="Times New Roman" w:eastAsia="Times New Roman" w:hAnsi="Times New Roman"/>
                  <w:sz w:val="14"/>
                  <w:szCs w:val="14"/>
                  <w:color w:val="auto"/>
                </w:rPr>
                <w:t>Item 2.</w:t>
              </w:r>
            </w:hyperlink>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22">
              <w:r>
                <w:rPr>
                  <w:rFonts w:ascii="Times New Roman" w:cs="Times New Roman" w:eastAsia="Times New Roman" w:hAnsi="Times New Roman"/>
                  <w:sz w:val="14"/>
                  <w:szCs w:val="14"/>
                  <w:color w:val="0000FF"/>
                </w:rPr>
                <w:t>Management’s Discussion and Analysis of Financial Condition and Results of Operations</w:t>
              </w:r>
            </w:hyperlink>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22">
              <w:r>
                <w:rPr>
                  <w:rFonts w:ascii="Times New Roman" w:cs="Times New Roman" w:eastAsia="Times New Roman" w:hAnsi="Times New Roman"/>
                  <w:sz w:val="14"/>
                  <w:szCs w:val="14"/>
                  <w:color w:val="auto"/>
                  <w:w w:val="99"/>
                </w:rPr>
                <w:t>22</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32">
              <w:r>
                <w:rPr>
                  <w:rFonts w:ascii="Times New Roman" w:cs="Times New Roman" w:eastAsia="Times New Roman" w:hAnsi="Times New Roman"/>
                  <w:sz w:val="14"/>
                  <w:szCs w:val="14"/>
                  <w:color w:val="auto"/>
                </w:rPr>
                <w:t>Item 3.</w:t>
              </w:r>
            </w:hyperlink>
          </w:p>
        </w:tc>
        <w:tc>
          <w:tcPr>
            <w:tcW w:w="348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4"/>
                <w:szCs w:val="14"/>
                <w:color w:val="0000FF"/>
              </w:rPr>
            </w:pPr>
            <w:hyperlink w:anchor="page32">
              <w:r>
                <w:rPr>
                  <w:rFonts w:ascii="Times New Roman" w:cs="Times New Roman" w:eastAsia="Times New Roman" w:hAnsi="Times New Roman"/>
                  <w:sz w:val="14"/>
                  <w:szCs w:val="14"/>
                  <w:color w:val="0000FF"/>
                </w:rPr>
                <w:t>Quantitative and Qualitative Disclosures About Market Risk</w:t>
              </w:r>
            </w:hyperlink>
          </w:p>
        </w:tc>
        <w:tc>
          <w:tcPr>
            <w:tcW w:w="1660" w:type="dxa"/>
            <w:vAlign w:val="bottom"/>
            <w:tcBorders>
              <w:top w:val="single" w:sz="8" w:color="0000FF"/>
            </w:tcBorders>
            <w:gridSpan w:val="2"/>
          </w:tcPr>
          <w:p>
            <w:pPr>
              <w:spacing w:after="0"/>
              <w:rPr>
                <w:sz w:val="14"/>
                <w:szCs w:val="14"/>
                <w:color w:val="auto"/>
              </w:rPr>
            </w:pPr>
          </w:p>
        </w:tc>
        <w:tc>
          <w:tcPr>
            <w:tcW w:w="3880" w:type="dxa"/>
            <w:vAlign w:val="bottom"/>
            <w:gridSpan w:val="5"/>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32">
              <w:r>
                <w:rPr>
                  <w:rFonts w:ascii="Times New Roman" w:cs="Times New Roman" w:eastAsia="Times New Roman" w:hAnsi="Times New Roman"/>
                  <w:sz w:val="14"/>
                  <w:szCs w:val="14"/>
                  <w:color w:val="auto"/>
                  <w:w w:val="99"/>
                </w:rPr>
                <w:t>32</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32">
              <w:r>
                <w:rPr>
                  <w:rFonts w:ascii="Times New Roman" w:cs="Times New Roman" w:eastAsia="Times New Roman" w:hAnsi="Times New Roman"/>
                  <w:sz w:val="14"/>
                  <w:szCs w:val="14"/>
                  <w:color w:val="auto"/>
                </w:rPr>
                <w:t>Item 4.</w:t>
              </w:r>
            </w:hyperlink>
          </w:p>
        </w:tc>
        <w:tc>
          <w:tcPr>
            <w:tcW w:w="142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w:anchor="page32">
              <w:r>
                <w:rPr>
                  <w:rFonts w:ascii="Times New Roman" w:cs="Times New Roman" w:eastAsia="Times New Roman" w:hAnsi="Times New Roman"/>
                  <w:sz w:val="14"/>
                  <w:szCs w:val="14"/>
                  <w:color w:val="0000FF"/>
                </w:rPr>
                <w:t>Controls and Procedures</w:t>
              </w:r>
            </w:hyperlink>
          </w:p>
        </w:tc>
        <w:tc>
          <w:tcPr>
            <w:tcW w:w="7600" w:type="dxa"/>
            <w:vAlign w:val="bottom"/>
            <w:gridSpan w:val="14"/>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32">
              <w:r>
                <w:rPr>
                  <w:rFonts w:ascii="Times New Roman" w:cs="Times New Roman" w:eastAsia="Times New Roman" w:hAnsi="Times New Roman"/>
                  <w:sz w:val="14"/>
                  <w:szCs w:val="14"/>
                  <w:color w:val="auto"/>
                  <w:w w:val="99"/>
                </w:rPr>
                <w:t>32</w:t>
              </w:r>
            </w:hyperlink>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33">
              <w:r>
                <w:rPr>
                  <w:rFonts w:ascii="Times New Roman" w:cs="Times New Roman" w:eastAsia="Times New Roman" w:hAnsi="Times New Roman"/>
                  <w:sz w:val="14"/>
                  <w:szCs w:val="14"/>
                  <w:color w:val="0000FF"/>
                </w:rPr>
                <w:t>PART II – Other Information</w:t>
              </w:r>
            </w:hyperlink>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33">
              <w:r>
                <w:rPr>
                  <w:rFonts w:ascii="Times New Roman" w:cs="Times New Roman" w:eastAsia="Times New Roman" w:hAnsi="Times New Roman"/>
                  <w:sz w:val="14"/>
                  <w:szCs w:val="14"/>
                  <w:color w:val="auto"/>
                  <w:w w:val="99"/>
                </w:rPr>
                <w:t>34</w:t>
              </w:r>
            </w:hyperlink>
          </w:p>
        </w:tc>
        <w:tc>
          <w:tcPr>
            <w:tcW w:w="0" w:type="dxa"/>
            <w:vAlign w:val="bottom"/>
          </w:tcPr>
          <w:p>
            <w:pPr>
              <w:spacing w:after="0"/>
              <w:rPr>
                <w:sz w:val="1"/>
                <w:szCs w:val="1"/>
                <w:color w:val="auto"/>
              </w:rPr>
            </w:pPr>
          </w:p>
        </w:tc>
      </w:tr>
      <w:tr>
        <w:trPr>
          <w:trHeight w:val="206"/>
        </w:trPr>
        <w:tc>
          <w:tcPr>
            <w:tcW w:w="900" w:type="dxa"/>
            <w:vAlign w:val="bottom"/>
          </w:tcPr>
          <w:p>
            <w:pPr>
              <w:ind w:left="20"/>
              <w:spacing w:after="0"/>
              <w:rPr>
                <w:rFonts w:ascii="Times New Roman" w:cs="Times New Roman" w:eastAsia="Times New Roman" w:hAnsi="Times New Roman"/>
                <w:sz w:val="14"/>
                <w:szCs w:val="14"/>
                <w:color w:val="auto"/>
              </w:rPr>
            </w:pPr>
            <w:hyperlink w:anchor="page34">
              <w:r>
                <w:rPr>
                  <w:rFonts w:ascii="Times New Roman" w:cs="Times New Roman" w:eastAsia="Times New Roman" w:hAnsi="Times New Roman"/>
                  <w:sz w:val="14"/>
                  <w:szCs w:val="14"/>
                  <w:color w:val="auto"/>
                </w:rPr>
                <w:t>Item 1.</w:t>
              </w:r>
            </w:hyperlink>
          </w:p>
        </w:tc>
        <w:tc>
          <w:tcPr>
            <w:tcW w:w="106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4"/>
                <w:szCs w:val="14"/>
                <w:color w:val="0000FF"/>
              </w:rPr>
            </w:pPr>
            <w:hyperlink w:anchor="page34">
              <w:r>
                <w:rPr>
                  <w:rFonts w:ascii="Times New Roman" w:cs="Times New Roman" w:eastAsia="Times New Roman" w:hAnsi="Times New Roman"/>
                  <w:sz w:val="14"/>
                  <w:szCs w:val="14"/>
                  <w:color w:val="0000FF"/>
                </w:rPr>
                <w:t>Legal Proceedings</w:t>
              </w:r>
            </w:hyperlink>
          </w:p>
        </w:tc>
        <w:tc>
          <w:tcPr>
            <w:tcW w:w="600" w:type="dxa"/>
            <w:vAlign w:val="bottom"/>
            <w:tcBorders>
              <w:top w:val="single" w:sz="8" w:color="0000FF"/>
            </w:tcBorders>
            <w:gridSpan w:val="3"/>
          </w:tcPr>
          <w:p>
            <w:pPr>
              <w:spacing w:after="0"/>
              <w:rPr>
                <w:sz w:val="17"/>
                <w:szCs w:val="17"/>
                <w:color w:val="auto"/>
              </w:rPr>
            </w:pPr>
          </w:p>
        </w:tc>
        <w:tc>
          <w:tcPr>
            <w:tcW w:w="7360" w:type="dxa"/>
            <w:vAlign w:val="bottom"/>
            <w:gridSpan w:val="13"/>
          </w:tcPr>
          <w:p>
            <w:pPr>
              <w:spacing w:after="0"/>
              <w:rPr>
                <w:sz w:val="17"/>
                <w:szCs w:val="17"/>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34">
              <w:r>
                <w:rPr>
                  <w:rFonts w:ascii="Times New Roman" w:cs="Times New Roman" w:eastAsia="Times New Roman" w:hAnsi="Times New Roman"/>
                  <w:sz w:val="14"/>
                  <w:szCs w:val="14"/>
                  <w:color w:val="auto"/>
                  <w:w w:val="99"/>
                </w:rPr>
                <w:t>34</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34">
              <w:r>
                <w:rPr>
                  <w:rFonts w:ascii="Times New Roman" w:cs="Times New Roman" w:eastAsia="Times New Roman" w:hAnsi="Times New Roman"/>
                  <w:sz w:val="14"/>
                  <w:szCs w:val="14"/>
                  <w:color w:val="auto"/>
                </w:rPr>
                <w:t>Item 1A</w:t>
              </w:r>
            </w:hyperlink>
          </w:p>
        </w:tc>
        <w:tc>
          <w:tcPr>
            <w:tcW w:w="72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w w:val="99"/>
              </w:rPr>
            </w:pPr>
            <w:hyperlink w:anchor="page34">
              <w:r>
                <w:rPr>
                  <w:rFonts w:ascii="Times New Roman" w:cs="Times New Roman" w:eastAsia="Times New Roman" w:hAnsi="Times New Roman"/>
                  <w:sz w:val="14"/>
                  <w:szCs w:val="14"/>
                  <w:color w:val="0000FF"/>
                  <w:w w:val="99"/>
                </w:rPr>
                <w:t>Risk Factors</w:t>
              </w:r>
            </w:hyperlink>
          </w:p>
        </w:tc>
        <w:tc>
          <w:tcPr>
            <w:tcW w:w="8300" w:type="dxa"/>
            <w:vAlign w:val="bottom"/>
            <w:gridSpan w:val="18"/>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34">
              <w:r>
                <w:rPr>
                  <w:rFonts w:ascii="Times New Roman" w:cs="Times New Roman" w:eastAsia="Times New Roman" w:hAnsi="Times New Roman"/>
                  <w:sz w:val="14"/>
                  <w:szCs w:val="14"/>
                  <w:color w:val="auto"/>
                  <w:w w:val="99"/>
                </w:rPr>
                <w:t>34</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58">
              <w:r>
                <w:rPr>
                  <w:rFonts w:ascii="Times New Roman" w:cs="Times New Roman" w:eastAsia="Times New Roman" w:hAnsi="Times New Roman"/>
                  <w:sz w:val="14"/>
                  <w:szCs w:val="14"/>
                  <w:color w:val="auto"/>
                </w:rPr>
                <w:t>Item 2.</w:t>
              </w:r>
            </w:hyperlink>
          </w:p>
        </w:tc>
        <w:tc>
          <w:tcPr>
            <w:tcW w:w="9020" w:type="dxa"/>
            <w:vAlign w:val="bottom"/>
            <w:gridSpan w:val="22"/>
          </w:tcPr>
          <w:p>
            <w:pPr>
              <w:spacing w:after="0"/>
              <w:rPr>
                <w:rFonts w:ascii="Times New Roman" w:cs="Times New Roman" w:eastAsia="Times New Roman" w:hAnsi="Times New Roman"/>
                <w:sz w:val="14"/>
                <w:szCs w:val="14"/>
                <w:color w:val="0000FF"/>
              </w:rPr>
            </w:pPr>
            <w:hyperlink w:anchor="page58">
              <w:r>
                <w:rPr>
                  <w:rFonts w:ascii="Times New Roman" w:cs="Times New Roman" w:eastAsia="Times New Roman" w:hAnsi="Times New Roman"/>
                  <w:sz w:val="14"/>
                  <w:szCs w:val="14"/>
                  <w:color w:val="0000FF"/>
                </w:rPr>
                <w:t>Unregistered Sales of Equity Securities and Use of Proceeds</w:t>
              </w:r>
            </w:hyperlink>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58">
              <w:r>
                <w:rPr>
                  <w:rFonts w:ascii="Times New Roman" w:cs="Times New Roman" w:eastAsia="Times New Roman" w:hAnsi="Times New Roman"/>
                  <w:sz w:val="14"/>
                  <w:szCs w:val="14"/>
                  <w:color w:val="auto"/>
                  <w:w w:val="99"/>
                </w:rPr>
                <w:t>58</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58">
              <w:r>
                <w:rPr>
                  <w:rFonts w:ascii="Times New Roman" w:cs="Times New Roman" w:eastAsia="Times New Roman" w:hAnsi="Times New Roman"/>
                  <w:sz w:val="14"/>
                  <w:szCs w:val="14"/>
                  <w:color w:val="auto"/>
                </w:rPr>
                <w:t>Item 3.</w:t>
              </w:r>
            </w:hyperlink>
          </w:p>
        </w:tc>
        <w:tc>
          <w:tcPr>
            <w:tcW w:w="346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w:anchor="page58">
              <w:r>
                <w:rPr>
                  <w:rFonts w:ascii="Times New Roman" w:cs="Times New Roman" w:eastAsia="Times New Roman" w:hAnsi="Times New Roman"/>
                  <w:sz w:val="14"/>
                  <w:szCs w:val="14"/>
                  <w:color w:val="0000FF"/>
                </w:rPr>
                <w:t>Defaults Upon Senior Securities</w:t>
              </w:r>
            </w:hyperlink>
          </w:p>
        </w:tc>
        <w:tc>
          <w:tcPr>
            <w:tcW w:w="5560" w:type="dxa"/>
            <w:vAlign w:val="bottom"/>
            <w:gridSpan w:val="8"/>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58">
              <w:r>
                <w:rPr>
                  <w:rFonts w:ascii="Times New Roman" w:cs="Times New Roman" w:eastAsia="Times New Roman" w:hAnsi="Times New Roman"/>
                  <w:sz w:val="14"/>
                  <w:szCs w:val="14"/>
                  <w:color w:val="auto"/>
                  <w:w w:val="99"/>
                </w:rPr>
                <w:t>59</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59">
              <w:r>
                <w:rPr>
                  <w:rFonts w:ascii="Times New Roman" w:cs="Times New Roman" w:eastAsia="Times New Roman" w:hAnsi="Times New Roman"/>
                  <w:sz w:val="14"/>
                  <w:szCs w:val="14"/>
                  <w:color w:val="auto"/>
                </w:rPr>
                <w:t>Item 4.</w:t>
              </w:r>
            </w:hyperlink>
          </w:p>
        </w:tc>
        <w:tc>
          <w:tcPr>
            <w:tcW w:w="1840" w:type="dxa"/>
            <w:vAlign w:val="bottom"/>
            <w:tcBorders>
              <w:top w:val="single" w:sz="8" w:color="0000FF"/>
            </w:tcBorders>
            <w:gridSpan w:val="11"/>
          </w:tcPr>
          <w:p>
            <w:pPr>
              <w:spacing w:after="0"/>
              <w:rPr>
                <w:rFonts w:ascii="Times New Roman" w:cs="Times New Roman" w:eastAsia="Times New Roman" w:hAnsi="Times New Roman"/>
                <w:sz w:val="14"/>
                <w:szCs w:val="14"/>
                <w:color w:val="0000FF"/>
              </w:rPr>
            </w:pPr>
            <w:hyperlink w:anchor="page59">
              <w:r>
                <w:rPr>
                  <w:rFonts w:ascii="Times New Roman" w:cs="Times New Roman" w:eastAsia="Times New Roman" w:hAnsi="Times New Roman"/>
                  <w:sz w:val="14"/>
                  <w:szCs w:val="14"/>
                  <w:color w:val="0000FF"/>
                </w:rPr>
                <w:t>Mine Safety Disclosures</w:t>
              </w:r>
            </w:hyperlink>
          </w:p>
        </w:tc>
        <w:tc>
          <w:tcPr>
            <w:tcW w:w="7180" w:type="dxa"/>
            <w:vAlign w:val="bottom"/>
            <w:gridSpan w:val="11"/>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59">
              <w:r>
                <w:rPr>
                  <w:rFonts w:ascii="Times New Roman" w:cs="Times New Roman" w:eastAsia="Times New Roman" w:hAnsi="Times New Roman"/>
                  <w:sz w:val="14"/>
                  <w:szCs w:val="14"/>
                  <w:color w:val="auto"/>
                  <w:w w:val="99"/>
                </w:rPr>
                <w:t>59</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59">
              <w:r>
                <w:rPr>
                  <w:rFonts w:ascii="Times New Roman" w:cs="Times New Roman" w:eastAsia="Times New Roman" w:hAnsi="Times New Roman"/>
                  <w:sz w:val="14"/>
                  <w:szCs w:val="14"/>
                  <w:color w:val="auto"/>
                </w:rPr>
                <w:t>Item 5.</w:t>
              </w:r>
            </w:hyperlink>
          </w:p>
        </w:tc>
        <w:tc>
          <w:tcPr>
            <w:tcW w:w="1400" w:type="dxa"/>
            <w:vAlign w:val="bottom"/>
            <w:tcBorders>
              <w:top w:val="single" w:sz="8" w:color="0000FF"/>
            </w:tcBorders>
            <w:gridSpan w:val="7"/>
          </w:tcPr>
          <w:p>
            <w:pPr>
              <w:spacing w:after="0"/>
              <w:rPr>
                <w:rFonts w:ascii="Times New Roman" w:cs="Times New Roman" w:eastAsia="Times New Roman" w:hAnsi="Times New Roman"/>
                <w:sz w:val="14"/>
                <w:szCs w:val="14"/>
                <w:color w:val="0000FF"/>
              </w:rPr>
            </w:pPr>
            <w:hyperlink w:anchor="page59">
              <w:r>
                <w:rPr>
                  <w:rFonts w:ascii="Times New Roman" w:cs="Times New Roman" w:eastAsia="Times New Roman" w:hAnsi="Times New Roman"/>
                  <w:sz w:val="14"/>
                  <w:szCs w:val="14"/>
                  <w:color w:val="0000FF"/>
                </w:rPr>
                <w:t>Other Information</w:t>
              </w:r>
            </w:hyperlink>
          </w:p>
        </w:tc>
        <w:tc>
          <w:tcPr>
            <w:tcW w:w="7620" w:type="dxa"/>
            <w:vAlign w:val="bottom"/>
            <w:gridSpan w:val="15"/>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59">
              <w:r>
                <w:rPr>
                  <w:rFonts w:ascii="Times New Roman" w:cs="Times New Roman" w:eastAsia="Times New Roman" w:hAnsi="Times New Roman"/>
                  <w:sz w:val="14"/>
                  <w:szCs w:val="14"/>
                  <w:color w:val="auto"/>
                  <w:w w:val="99"/>
                </w:rPr>
                <w:t>59</w:t>
              </w:r>
            </w:hyperlink>
          </w:p>
        </w:tc>
        <w:tc>
          <w:tcPr>
            <w:tcW w:w="0" w:type="dxa"/>
            <w:vAlign w:val="bottom"/>
          </w:tcPr>
          <w:p>
            <w:pPr>
              <w:spacing w:after="0"/>
              <w:rPr>
                <w:sz w:val="1"/>
                <w:szCs w:val="1"/>
                <w:color w:val="auto"/>
              </w:rPr>
            </w:pPr>
          </w:p>
        </w:tc>
      </w:tr>
      <w:tr>
        <w:trPr>
          <w:trHeight w:val="163"/>
        </w:trPr>
        <w:tc>
          <w:tcPr>
            <w:tcW w:w="900" w:type="dxa"/>
            <w:vAlign w:val="bottom"/>
          </w:tcPr>
          <w:p>
            <w:pPr>
              <w:ind w:left="20"/>
              <w:spacing w:after="0"/>
              <w:rPr>
                <w:rFonts w:ascii="Times New Roman" w:cs="Times New Roman" w:eastAsia="Times New Roman" w:hAnsi="Times New Roman"/>
                <w:sz w:val="14"/>
                <w:szCs w:val="14"/>
                <w:color w:val="auto"/>
              </w:rPr>
            </w:pPr>
            <w:hyperlink w:anchor="page59">
              <w:r>
                <w:rPr>
                  <w:rFonts w:ascii="Times New Roman" w:cs="Times New Roman" w:eastAsia="Times New Roman" w:hAnsi="Times New Roman"/>
                  <w:sz w:val="14"/>
                  <w:szCs w:val="14"/>
                  <w:color w:val="auto"/>
                </w:rPr>
                <w:t>Item 6.</w:t>
              </w:r>
            </w:hyperlink>
          </w:p>
        </w:tc>
        <w:tc>
          <w:tcPr>
            <w:tcW w:w="5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4"/>
                <w:szCs w:val="14"/>
                <w:color w:val="0000FF"/>
              </w:rPr>
            </w:pPr>
            <w:hyperlink w:anchor="page59">
              <w:r>
                <w:rPr>
                  <w:rFonts w:ascii="Times New Roman" w:cs="Times New Roman" w:eastAsia="Times New Roman" w:hAnsi="Times New Roman"/>
                  <w:sz w:val="14"/>
                  <w:szCs w:val="14"/>
                  <w:color w:val="0000FF"/>
                </w:rPr>
                <w:t>Exhibits</w:t>
              </w:r>
            </w:hyperlink>
          </w:p>
        </w:tc>
        <w:tc>
          <w:tcPr>
            <w:tcW w:w="520" w:type="dxa"/>
            <w:vAlign w:val="bottom"/>
            <w:tcBorders>
              <w:top w:val="single" w:sz="8" w:color="0000FF"/>
            </w:tcBorders>
            <w:gridSpan w:val="3"/>
          </w:tcPr>
          <w:p>
            <w:pPr>
              <w:spacing w:after="0"/>
              <w:rPr>
                <w:sz w:val="14"/>
                <w:szCs w:val="14"/>
                <w:color w:val="auto"/>
              </w:rPr>
            </w:pPr>
          </w:p>
        </w:tc>
        <w:tc>
          <w:tcPr>
            <w:tcW w:w="7980" w:type="dxa"/>
            <w:vAlign w:val="bottom"/>
            <w:gridSpan w:val="17"/>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59">
              <w:r>
                <w:rPr>
                  <w:rFonts w:ascii="Times New Roman" w:cs="Times New Roman" w:eastAsia="Times New Roman" w:hAnsi="Times New Roman"/>
                  <w:sz w:val="14"/>
                  <w:szCs w:val="14"/>
                  <w:color w:val="auto"/>
                  <w:w w:val="99"/>
                </w:rPr>
                <w:t>60</w:t>
              </w:r>
            </w:hyperlink>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60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8"/>
              </w:rPr>
            </w:pPr>
            <w:hyperlink w:anchor="page60">
              <w:r>
                <w:rPr>
                  <w:rFonts w:ascii="Times New Roman" w:cs="Times New Roman" w:eastAsia="Times New Roman" w:hAnsi="Times New Roman"/>
                  <w:sz w:val="14"/>
                  <w:szCs w:val="14"/>
                  <w:color w:val="0000FF"/>
                  <w:w w:val="98"/>
                </w:rPr>
                <w:t>Signatures</w:t>
              </w:r>
            </w:hyperlink>
          </w:p>
        </w:tc>
        <w:tc>
          <w:tcPr>
            <w:tcW w:w="8420" w:type="dxa"/>
            <w:vAlign w:val="bottom"/>
            <w:gridSpan w:val="19"/>
          </w:tcPr>
          <w:p>
            <w:pPr>
              <w:spacing w:after="0"/>
              <w:rPr>
                <w:sz w:val="14"/>
                <w:szCs w:val="14"/>
                <w:color w:val="auto"/>
              </w:rPr>
            </w:pPr>
          </w:p>
        </w:tc>
        <w:tc>
          <w:tcPr>
            <w:tcW w:w="1460" w:type="dxa"/>
            <w:vAlign w:val="bottom"/>
          </w:tcPr>
          <w:p>
            <w:pPr>
              <w:jc w:val="center"/>
              <w:spacing w:after="0"/>
              <w:rPr>
                <w:rFonts w:ascii="Times New Roman" w:cs="Times New Roman" w:eastAsia="Times New Roman" w:hAnsi="Times New Roman"/>
                <w:sz w:val="14"/>
                <w:szCs w:val="14"/>
                <w:color w:val="auto"/>
                <w:w w:val="99"/>
              </w:rPr>
            </w:pPr>
            <w:hyperlink w:anchor="page60">
              <w:r>
                <w:rPr>
                  <w:rFonts w:ascii="Times New Roman" w:cs="Times New Roman" w:eastAsia="Times New Roman" w:hAnsi="Times New Roman"/>
                  <w:sz w:val="14"/>
                  <w:szCs w:val="14"/>
                  <w:color w:val="auto"/>
                  <w:w w:val="99"/>
                </w:rPr>
                <w:t>61</w:t>
              </w:r>
            </w:hyperlink>
          </w:p>
        </w:tc>
        <w:tc>
          <w:tcPr>
            <w:tcW w:w="0" w:type="dxa"/>
            <w:vAlign w:val="bottom"/>
          </w:tcPr>
          <w:p>
            <w:pPr>
              <w:spacing w:after="0"/>
              <w:rPr>
                <w:sz w:val="1"/>
                <w:szCs w:val="1"/>
                <w:color w:val="auto"/>
              </w:rPr>
            </w:pPr>
          </w:p>
        </w:tc>
      </w:tr>
      <w:tr>
        <w:trPr>
          <w:trHeight w:val="970"/>
        </w:trPr>
        <w:tc>
          <w:tcPr>
            <w:tcW w:w="900" w:type="dxa"/>
            <w:vAlign w:val="bottom"/>
          </w:tcPr>
          <w:p>
            <w:pPr>
              <w:spacing w:after="0"/>
              <w:rPr>
                <w:sz w:val="24"/>
                <w:szCs w:val="24"/>
                <w:color w:val="auto"/>
              </w:rPr>
            </w:pPr>
          </w:p>
        </w:tc>
        <w:tc>
          <w:tcPr>
            <w:tcW w:w="5140" w:type="dxa"/>
            <w:vAlign w:val="bottom"/>
            <w:gridSpan w:val="17"/>
          </w:tcPr>
          <w:p>
            <w:pPr>
              <w:jc w:val="center"/>
              <w:ind w:left="446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20" w:top="119" w:right="29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6" w:lineRule="exact"/>
        <w:rPr>
          <w:sz w:val="20"/>
          <w:szCs w:val="20"/>
          <w:color w:val="auto"/>
        </w:rPr>
      </w:pPr>
    </w:p>
    <w:p>
      <w:pPr>
        <w:ind w:right="100" w:firstLine="388"/>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146"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4" w:lineRule="exact"/>
        <w:rPr>
          <w:sz w:val="20"/>
          <w:szCs w:val="20"/>
          <w:color w:val="auto"/>
        </w:rPr>
      </w:pPr>
    </w:p>
    <w:p>
      <w:pPr>
        <w:ind w:right="20" w:firstLine="388"/>
        <w:spacing w:after="0" w:line="26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0" w:lineRule="exact"/>
        <w:rPr>
          <w:sz w:val="20"/>
          <w:szCs w:val="20"/>
          <w:color w:val="auto"/>
        </w:rPr>
      </w:pPr>
    </w:p>
    <w:p>
      <w:pPr>
        <w:ind w:right="20" w:firstLine="388"/>
        <w:spacing w:after="0" w:line="269"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40" w:lineRule="exact"/>
        <w:rPr>
          <w:sz w:val="20"/>
          <w:szCs w:val="20"/>
          <w:color w:val="auto"/>
        </w:rPr>
      </w:pPr>
    </w:p>
    <w:p>
      <w:pPr>
        <w:jc w:val="both"/>
        <w:ind w:right="60" w:firstLine="388"/>
        <w:spacing w:after="0" w:line="275"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60"/>
          </w:cols>
          <w:pgMar w:left="220" w:top="125" w:right="21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340" w:type="dxa"/>
            <w:vAlign w:val="bottom"/>
            <w:tcBorders>
              <w:bottom w:val="single" w:sz="8" w:color="auto"/>
            </w:tcBorders>
          </w:tcPr>
          <w:p>
            <w:pPr>
              <w:spacing w:after="0"/>
              <w:rPr>
                <w:sz w:val="13"/>
                <w:szCs w:val="13"/>
                <w:color w:val="auto"/>
              </w:rPr>
            </w:pPr>
          </w:p>
        </w:tc>
      </w:tr>
      <w:tr>
        <w:trPr>
          <w:trHeight w:val="116"/>
        </w:trPr>
        <w:tc>
          <w:tcPr>
            <w:tcW w:w="8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jc w:val="right"/>
              <w:ind w:right="456"/>
              <w:spacing w:after="0" w:line="116" w:lineRule="exact"/>
              <w:rPr>
                <w:sz w:val="20"/>
                <w:szCs w:val="20"/>
                <w:color w:val="auto"/>
              </w:rPr>
            </w:pPr>
            <w:r>
              <w:rPr>
                <w:rFonts w:ascii="Times New Roman" w:cs="Times New Roman" w:eastAsia="Times New Roman" w:hAnsi="Times New Roman"/>
                <w:sz w:val="11"/>
                <w:szCs w:val="11"/>
                <w:b w:val="1"/>
                <w:bCs w:val="1"/>
                <w:color w:val="auto"/>
              </w:rPr>
              <w:t>July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jc w:val="right"/>
              <w:ind w:right="476"/>
              <w:spacing w:after="0" w:line="116" w:lineRule="exact"/>
              <w:rPr>
                <w:sz w:val="20"/>
                <w:szCs w:val="20"/>
                <w:color w:val="auto"/>
              </w:rPr>
            </w:pPr>
            <w:r>
              <w:rPr>
                <w:rFonts w:ascii="Times New Roman" w:cs="Times New Roman" w:eastAsia="Times New Roman" w:hAnsi="Times New Roman"/>
                <w:sz w:val="11"/>
                <w:szCs w:val="11"/>
                <w:b w:val="1"/>
                <w:bCs w:val="1"/>
                <w:color w:val="auto"/>
              </w:rPr>
              <w:t>January 31,</w:t>
            </w:r>
          </w:p>
        </w:tc>
      </w:tr>
      <w:tr>
        <w:trPr>
          <w:trHeight w:val="155"/>
        </w:trPr>
        <w:tc>
          <w:tcPr>
            <w:tcW w:w="80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6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7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5"/>
        </w:trPr>
        <w:tc>
          <w:tcPr>
            <w:tcW w:w="8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213,886</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63,624</w:t>
            </w:r>
          </w:p>
        </w:tc>
      </w:tr>
      <w:tr>
        <w:trPr>
          <w:trHeight w:val="178"/>
        </w:trPr>
        <w:tc>
          <w:tcPr>
            <w:tcW w:w="8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Marketable securities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112,777</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5"/>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net of allowances of $4,401 and $2,071 as of July 31, 2019 and January 31, 2019, respectively</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95,682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63,613</w:t>
            </w:r>
          </w:p>
        </w:tc>
      </w:tr>
      <w:tr>
        <w:trPr>
          <w:trHeight w:val="178"/>
        </w:trPr>
        <w:tc>
          <w:tcPr>
            <w:tcW w:w="8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26,453</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5"/>
        </w:trPr>
        <w:tc>
          <w:tcPr>
            <w:tcW w:w="8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29,609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10,252</w:t>
            </w:r>
          </w:p>
        </w:tc>
      </w:tr>
      <w:tr>
        <w:trPr>
          <w:trHeight w:val="169"/>
        </w:trPr>
        <w:tc>
          <w:tcPr>
            <w:tcW w:w="8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916,059</w:t>
            </w: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276,719</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contract acquisition costs, non-current</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29,063</w:t>
            </w:r>
          </w:p>
        </w:tc>
      </w:tr>
      <w:tr>
        <w:trPr>
          <w:trHeight w:val="17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51,987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37,275</w:t>
            </w: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51,126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non-current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11,508</w:t>
            </w: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1,069,923</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354,565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20" w:top="125" w:right="279" w:bottom="1440" w:gutter="0" w:footer="0" w:header="0"/>
        </w:sectPr>
      </w:pPr>
    </w:p>
    <w:p>
      <w:pPr>
        <w:ind w:left="20"/>
        <w:spacing w:after="0"/>
        <w:rPr>
          <w:sz w:val="20"/>
          <w:szCs w:val="20"/>
          <w:color w:val="auto"/>
        </w:rPr>
      </w:pPr>
      <w:r>
        <w:rPr>
          <w:rFonts w:ascii="Times New Roman" w:cs="Times New Roman" w:eastAsia="Times New Roman" w:hAnsi="Times New Roman"/>
          <w:sz w:val="13"/>
          <w:szCs w:val="13"/>
          <w:b w:val="1"/>
          <w:bCs w:val="1"/>
          <w:color w:val="auto"/>
        </w:rPr>
        <w:t>Liabilities,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240270" cy="130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0270" cy="13017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Current liabilities:</w:t>
      </w:r>
    </w:p>
    <w:p>
      <w:pPr>
        <w:spacing w:after="0" w:line="55" w:lineRule="exact"/>
        <w:rPr>
          <w:sz w:val="20"/>
          <w:szCs w:val="20"/>
          <w:color w:val="auto"/>
        </w:rPr>
      </w:pPr>
    </w:p>
    <w:p>
      <w:pPr>
        <w:ind w:left="160"/>
        <w:spacing w:after="0"/>
        <w:tabs>
          <w:tab w:leader="none" w:pos="8000" w:val="left"/>
        </w:tabs>
        <w:rPr>
          <w:sz w:val="20"/>
          <w:szCs w:val="20"/>
          <w:color w:val="auto"/>
        </w:rPr>
      </w:pPr>
      <w:r>
        <w:rPr>
          <w:rFonts w:ascii="Times New Roman" w:cs="Times New Roman" w:eastAsia="Times New Roman" w:hAnsi="Times New Roman"/>
          <w:sz w:val="13"/>
          <w:szCs w:val="13"/>
          <w:color w:val="auto"/>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0270" cy="130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0270" cy="130175"/>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Deferred revenue,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027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0270" cy="137160"/>
                    </a:xfrm>
                    <a:prstGeom prst="rect">
                      <a:avLst/>
                    </a:prstGeom>
                    <a:noFill/>
                  </pic:spPr>
                </pic:pic>
              </a:graphicData>
            </a:graphic>
          </wp:anchor>
        </w:drawing>
      </w:r>
    </w:p>
    <w:p>
      <w:pPr>
        <w:spacing w:after="0" w:line="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0270" cy="130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0270" cy="13017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liabilities, non-current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027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027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liabilities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0270" cy="191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0270" cy="191770"/>
                    </a:xfrm>
                    <a:prstGeom prst="rect">
                      <a:avLst/>
                    </a:prstGeom>
                    <a:noFill/>
                  </pic:spPr>
                </pic:pic>
              </a:graphicData>
            </a:graphic>
          </wp:anchor>
        </w:drawing>
      </w:r>
    </w:p>
    <w:p>
      <w:pPr>
        <w:spacing w:after="0" w:line="24" w:lineRule="exact"/>
        <w:rPr>
          <w:sz w:val="20"/>
          <w:szCs w:val="20"/>
          <w:color w:val="auto"/>
        </w:rPr>
      </w:pPr>
    </w:p>
    <w:p>
      <w:pPr>
        <w:ind w:left="320" w:right="1040" w:hanging="128"/>
        <w:spacing w:after="0" w:line="238" w:lineRule="auto"/>
        <w:rPr>
          <w:sz w:val="20"/>
          <w:szCs w:val="20"/>
          <w:color w:val="auto"/>
        </w:rPr>
      </w:pPr>
      <w:r>
        <w:rPr>
          <w:rFonts w:ascii="Times New Roman" w:cs="Times New Roman" w:eastAsia="Times New Roman" w:hAnsi="Times New Roman"/>
          <w:sz w:val="13"/>
          <w:szCs w:val="13"/>
          <w:color w:val="auto"/>
        </w:rPr>
        <w:t>Convertible preferred stock, $0.001 par value per share, zero and 158,104,540 shares authorized as of July 31, 2019 and January 31, 2019, respectively; zero and 152,665,804 shares issued and outstanding as of July 31, 2019 and January 31, 2019, respectively</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0270" cy="191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0270" cy="191770"/>
                    </a:xfrm>
                    <a:prstGeom prst="rect">
                      <a:avLst/>
                    </a:prstGeom>
                    <a:noFill/>
                  </pic:spPr>
                </pic:pic>
              </a:graphicData>
            </a:graphic>
          </wp:anchor>
        </w:drawing>
      </w:r>
    </w:p>
    <w:p>
      <w:pPr>
        <w:spacing w:after="0" w:line="24" w:lineRule="exact"/>
        <w:rPr>
          <w:sz w:val="20"/>
          <w:szCs w:val="20"/>
          <w:color w:val="auto"/>
        </w:rPr>
      </w:pPr>
    </w:p>
    <w:p>
      <w:pPr>
        <w:ind w:left="320" w:right="720" w:hanging="128"/>
        <w:spacing w:after="0" w:line="238" w:lineRule="auto"/>
        <w:rPr>
          <w:sz w:val="20"/>
          <w:szCs w:val="20"/>
          <w:color w:val="auto"/>
        </w:rPr>
      </w:pPr>
      <w:r>
        <w:rPr>
          <w:rFonts w:ascii="Times New Roman" w:cs="Times New Roman" w:eastAsia="Times New Roman" w:hAnsi="Times New Roman"/>
          <w:sz w:val="13"/>
          <w:szCs w:val="13"/>
          <w:color w:val="auto"/>
        </w:rPr>
        <w:t>Preferred stock, $0.001 par value per share, 200,000,000 and zero shares authorized as of July 31, 2019 and January 31, 2019, respectively; zero shares issued and outstanding as of July 31, 2019 and January 31, 2019</w:t>
      </w:r>
    </w:p>
    <w:p>
      <w:pPr>
        <w:spacing w:after="0" w:line="5" w:lineRule="exact"/>
        <w:rPr>
          <w:sz w:val="20"/>
          <w:szCs w:val="20"/>
          <w:color w:val="auto"/>
        </w:rPr>
      </w:pPr>
    </w:p>
    <w:p>
      <w:pPr>
        <w:ind w:left="320" w:right="400" w:hanging="128"/>
        <w:spacing w:after="0" w:line="222" w:lineRule="auto"/>
        <w:rPr>
          <w:sz w:val="20"/>
          <w:szCs w:val="20"/>
          <w:color w:val="auto"/>
        </w:rPr>
      </w:pPr>
      <w:r>
        <w:rPr>
          <w:rFonts w:ascii="Times New Roman" w:cs="Times New Roman" w:eastAsia="Times New Roman" w:hAnsi="Times New Roman"/>
          <w:sz w:val="13"/>
          <w:szCs w:val="13"/>
          <w:color w:val="auto"/>
        </w:rPr>
        <w:t>Common stock, $0.001 par value per share, 2,000,000,000 and 320,000,000 Class A shares authorized as of July 31, 2019 and January 31, 2019, respectively; 49,867,103 and zero shares issued and outstanding as of July 31, 2019 and January 31, 2019, respectively; 300,000,000 Class B shares authorized as of July 31, 2019 and January 31, 2019; 223,619,064 and 90,327,435 shares issued and outstanding as of July 31, 2019 and January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0270" cy="130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0270" cy="13017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0270" cy="130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0270" cy="130175"/>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Accumulated deficit</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819</w:t>
            </w:r>
          </w:p>
        </w:tc>
        <w:tc>
          <w:tcPr>
            <w:tcW w:w="60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4,963</w:t>
            </w:r>
          </w:p>
        </w:tc>
      </w:tr>
      <w:tr>
        <w:trPr>
          <w:trHeight w:val="205"/>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64,586</w:t>
            </w:r>
          </w:p>
        </w:tc>
        <w:tc>
          <w:tcPr>
            <w:tcW w:w="60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32,256</w:t>
            </w:r>
          </w:p>
        </w:tc>
      </w:tr>
      <w:tr>
        <w:trPr>
          <w:trHeight w:val="205"/>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4"/>
              </w:rPr>
              <w:t>163,591</w:t>
            </w:r>
          </w:p>
        </w:tc>
        <w:tc>
          <w:tcPr>
            <w:tcW w:w="60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115,122</w:t>
            </w:r>
          </w:p>
        </w:tc>
      </w:tr>
      <w:tr>
        <w:trPr>
          <w:trHeight w:val="27"/>
        </w:trPr>
        <w:tc>
          <w:tcPr>
            <w:tcW w:w="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4"/>
              </w:rPr>
              <w:t>228,996</w:t>
            </w:r>
          </w:p>
        </w:tc>
        <w:tc>
          <w:tcPr>
            <w:tcW w:w="60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152,341</w:t>
            </w:r>
          </w:p>
        </w:tc>
      </w:tr>
      <w:tr>
        <w:trPr>
          <w:trHeight w:val="205"/>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17,816</w:t>
            </w:r>
          </w:p>
        </w:tc>
        <w:tc>
          <w:tcPr>
            <w:tcW w:w="60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10,651</w:t>
            </w:r>
          </w:p>
        </w:tc>
      </w:tr>
      <w:tr>
        <w:trPr>
          <w:trHeight w:val="205"/>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48,104</w:t>
            </w:r>
          </w:p>
        </w:tc>
        <w:tc>
          <w:tcPr>
            <w:tcW w:w="60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r>
      <w:tr>
        <w:trPr>
          <w:trHeight w:val="205"/>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31,211</w:t>
            </w:r>
          </w:p>
        </w:tc>
        <w:tc>
          <w:tcPr>
            <w:tcW w:w="60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39,460</w:t>
            </w:r>
          </w:p>
        </w:tc>
      </w:tr>
      <w:tr>
        <w:trPr>
          <w:trHeight w:val="27"/>
        </w:trPr>
        <w:tc>
          <w:tcPr>
            <w:tcW w:w="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9"/>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4"/>
              </w:rPr>
              <w:t>326,127</w:t>
            </w:r>
          </w:p>
        </w:tc>
        <w:tc>
          <w:tcPr>
            <w:tcW w:w="60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202,452</w:t>
            </w:r>
          </w:p>
        </w:tc>
      </w:tr>
      <w:tr>
        <w:trPr>
          <w:trHeight w:val="27"/>
        </w:trPr>
        <w:tc>
          <w:tcPr>
            <w:tcW w:w="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0"/>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24"/>
                <w:szCs w:val="24"/>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159,552</w:t>
            </w:r>
          </w:p>
        </w:tc>
      </w:tr>
      <w:tr>
        <w:trPr>
          <w:trHeight w:val="507"/>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24"/>
                <w:szCs w:val="24"/>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r>
      <w:tr>
        <w:trPr>
          <w:trHeight w:val="560"/>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272</w:t>
            </w:r>
          </w:p>
        </w:tc>
        <w:tc>
          <w:tcPr>
            <w:tcW w:w="600" w:type="dxa"/>
            <w:vAlign w:val="bottom"/>
          </w:tcPr>
          <w:p>
            <w:pPr>
              <w:spacing w:after="0"/>
              <w:rPr>
                <w:sz w:val="24"/>
                <w:szCs w:val="24"/>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89</w:t>
            </w:r>
          </w:p>
        </w:tc>
      </w:tr>
      <w:tr>
        <w:trPr>
          <w:trHeight w:val="205"/>
        </w:trPr>
        <w:tc>
          <w:tcPr>
            <w:tcW w:w="64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w w:val="94"/>
              </w:rPr>
              <w:t>760,990</w:t>
            </w:r>
          </w:p>
        </w:tc>
        <w:tc>
          <w:tcPr>
            <w:tcW w:w="60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17,760</w:t>
            </w:r>
          </w:p>
        </w:tc>
      </w:tr>
      <w:tr>
        <w:trPr>
          <w:trHeight w:val="205"/>
        </w:trPr>
        <w:tc>
          <w:tcPr>
            <w:tcW w:w="6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(68)</w:t>
            </w:r>
          </w:p>
        </w:tc>
        <w:tc>
          <w:tcPr>
            <w:tcW w:w="60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(135)</w:t>
            </w:r>
          </w:p>
        </w:tc>
      </w:tr>
      <w:tr>
        <w:trPr>
          <w:trHeight w:val="205"/>
        </w:trPr>
        <w:tc>
          <w:tcPr>
            <w:tcW w:w="6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4"/>
              </w:rPr>
              <w:t>(17,398)</w:t>
            </w:r>
          </w:p>
        </w:tc>
        <w:tc>
          <w:tcPr>
            <w:tcW w:w="60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(25,153)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-1371600</wp:posOffset>
            </wp:positionV>
            <wp:extent cx="10471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7115" cy="698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8380" w:space="720"/>
            <w:col w:w="2300"/>
          </w:cols>
          <w:pgMar w:left="220" w:top="125" w:right="27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stockholders’ equity (deficit)</w:t>
            </w:r>
          </w:p>
        </w:tc>
        <w:tc>
          <w:tcPr>
            <w:tcW w:w="5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743,796</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(7,439)</w:t>
            </w:r>
          </w:p>
        </w:tc>
      </w:tr>
      <w:tr>
        <w:trPr>
          <w:trHeight w:val="27"/>
        </w:trPr>
        <w:tc>
          <w:tcPr>
            <w:tcW w:w="8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convertible preferred stock, and stockholders’ equity (deficit)</w:t>
            </w:r>
          </w:p>
        </w:tc>
        <w:tc>
          <w:tcPr>
            <w:tcW w:w="54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1,069,923</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55"/>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354,565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00"/>
          </w:cols>
          <w:pgMar w:left="220" w:top="125" w:right="27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gridSpan w:val="3"/>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3"/>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91"/>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0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145,826</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74,526</w:t>
            </w:r>
          </w:p>
        </w:tc>
        <w:tc>
          <w:tcPr>
            <w:tcW w:w="1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267,814</w:t>
            </w:r>
          </w:p>
        </w:tc>
        <w:tc>
          <w:tcPr>
            <w:tcW w:w="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134,596</w:t>
            </w: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tcPr>
          <w:p>
            <w:pPr>
              <w:spacing w:after="0"/>
              <w:rPr>
                <w:sz w:val="16"/>
                <w:szCs w:val="16"/>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27,900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12,973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52,004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24,633</w:t>
            </w:r>
          </w:p>
        </w:tc>
        <w:tc>
          <w:tcPr>
            <w:tcW w:w="0" w:type="dxa"/>
            <w:vAlign w:val="bottom"/>
          </w:tcPr>
          <w:p>
            <w:pPr>
              <w:spacing w:after="0"/>
              <w:rPr>
                <w:sz w:val="1"/>
                <w:szCs w:val="1"/>
                <w:color w:val="auto"/>
              </w:rPr>
            </w:pPr>
          </w:p>
        </w:tc>
      </w:tr>
      <w:tr>
        <w:trPr>
          <w:trHeight w:val="23"/>
        </w:trPr>
        <w:tc>
          <w:tcPr>
            <w:tcW w:w="45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117,926</w:t>
            </w:r>
          </w:p>
        </w:tc>
        <w:tc>
          <w:tcPr>
            <w:tcW w:w="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61,553</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215,810</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109,963</w:t>
            </w:r>
          </w:p>
        </w:tc>
        <w:tc>
          <w:tcPr>
            <w:tcW w:w="0" w:type="dxa"/>
            <w:vAlign w:val="bottom"/>
          </w:tcPr>
          <w:p>
            <w:pPr>
              <w:spacing w:after="0"/>
              <w:rPr>
                <w:sz w:val="1"/>
                <w:szCs w:val="1"/>
                <w:color w:val="auto"/>
              </w:rPr>
            </w:pPr>
          </w:p>
        </w:tc>
      </w:tr>
      <w:tr>
        <w:trPr>
          <w:trHeight w:val="17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4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15,054</w:t>
            </w:r>
          </w:p>
        </w:tc>
        <w:tc>
          <w:tcPr>
            <w:tcW w:w="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7,049</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28,837</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13,313</w:t>
            </w:r>
          </w:p>
        </w:tc>
        <w:tc>
          <w:tcPr>
            <w:tcW w:w="0" w:type="dxa"/>
            <w:vAlign w:val="bottom"/>
          </w:tcPr>
          <w:p>
            <w:pPr>
              <w:spacing w:after="0"/>
              <w:rPr>
                <w:sz w:val="1"/>
                <w:szCs w:val="1"/>
                <w:color w:val="auto"/>
              </w:rPr>
            </w:pPr>
          </w:p>
        </w:tc>
      </w:tr>
      <w:tr>
        <w:trPr>
          <w:trHeight w:val="193"/>
        </w:trPr>
        <w:tc>
          <w:tcPr>
            <w:tcW w:w="4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Sales and marketing</w:t>
            </w:r>
          </w:p>
        </w:tc>
        <w:tc>
          <w:tcPr>
            <w:tcW w:w="400" w:type="dxa"/>
            <w:vAlign w:val="bottom"/>
          </w:tcPr>
          <w:p>
            <w:pPr>
              <w:spacing w:after="0"/>
              <w:rPr>
                <w:sz w:val="16"/>
                <w:szCs w:val="16"/>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79,652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41,054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143,693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77,315</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20,955</w:t>
            </w:r>
          </w:p>
        </w:tc>
        <w:tc>
          <w:tcPr>
            <w:tcW w:w="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10,028</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39,458</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17,597</w:t>
            </w:r>
          </w:p>
        </w:tc>
        <w:tc>
          <w:tcPr>
            <w:tcW w:w="0" w:type="dxa"/>
            <w:vAlign w:val="bottom"/>
          </w:tcPr>
          <w:p>
            <w:pPr>
              <w:spacing w:after="0"/>
              <w:rPr>
                <w:sz w:val="1"/>
                <w:szCs w:val="1"/>
                <w:color w:val="auto"/>
              </w:rPr>
            </w:pPr>
          </w:p>
        </w:tc>
      </w:tr>
      <w:tr>
        <w:trPr>
          <w:trHeight w:val="184"/>
        </w:trPr>
        <w:tc>
          <w:tcPr>
            <w:tcW w:w="4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115,661</w:t>
            </w: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58,131</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211,988</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108,225</w:t>
            </w:r>
          </w:p>
        </w:tc>
        <w:tc>
          <w:tcPr>
            <w:tcW w:w="0" w:type="dxa"/>
            <w:vAlign w:val="bottom"/>
          </w:tcPr>
          <w:p>
            <w:pPr>
              <w:spacing w:after="0"/>
              <w:rPr>
                <w:sz w:val="1"/>
                <w:szCs w:val="1"/>
                <w:color w:val="auto"/>
              </w:rPr>
            </w:pPr>
          </w:p>
        </w:tc>
      </w:tr>
      <w:tr>
        <w:trPr>
          <w:trHeight w:val="23"/>
        </w:trPr>
        <w:tc>
          <w:tcPr>
            <w:tcW w:w="45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4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3,822</w:t>
            </w:r>
          </w:p>
        </w:tc>
        <w:tc>
          <w:tcPr>
            <w:tcW w:w="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400" w:type="dxa"/>
            <w:vAlign w:val="bottom"/>
          </w:tcPr>
          <w:p>
            <w:pPr>
              <w:spacing w:after="0"/>
              <w:rPr>
                <w:sz w:val="16"/>
                <w:szCs w:val="16"/>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2,864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3,522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1,628</w:t>
            </w:r>
          </w:p>
        </w:tc>
        <w:tc>
          <w:tcPr>
            <w:tcW w:w="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1,943</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provision for income taxes</w:t>
            </w: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9,287</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5,541</w:t>
            </w: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7,755</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2,485</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Undistributed earnings attributable to participating securities</w:t>
            </w: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(2,794)</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(2,485)</w:t>
            </w:r>
          </w:p>
        </w:tc>
        <w:tc>
          <w:tcPr>
            <w:tcW w:w="0" w:type="dxa"/>
            <w:vAlign w:val="bottom"/>
          </w:tcPr>
          <w:p>
            <w:pPr>
              <w:spacing w:after="0"/>
              <w:rPr>
                <w:sz w:val="1"/>
                <w:szCs w:val="1"/>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5,521</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4,961</w:t>
            </w: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share attributable to common stockholders:</w:t>
            </w:r>
          </w:p>
        </w:tc>
        <w:tc>
          <w:tcPr>
            <w:tcW w:w="4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income per share attributable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common stockholders: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271,813,141</w:t>
            </w:r>
          </w:p>
        </w:tc>
        <w:tc>
          <w:tcPr>
            <w:tcW w:w="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83,330,741</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4"/>
                <w:szCs w:val="14"/>
                <w:color w:val="auto"/>
              </w:rPr>
              <w:t>192,130,510</w:t>
            </w:r>
          </w:p>
        </w:tc>
        <w:tc>
          <w:tcPr>
            <w:tcW w:w="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81,999,734</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4"/>
                <w:szCs w:val="14"/>
                <w:color w:val="auto"/>
              </w:rPr>
              <w:t>292,185,665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jc w:val="right"/>
              <w:ind w:right="69"/>
              <w:spacing w:after="0" w:line="156" w:lineRule="exact"/>
              <w:rPr>
                <w:sz w:val="20"/>
                <w:szCs w:val="20"/>
                <w:color w:val="auto"/>
              </w:rPr>
            </w:pPr>
            <w:r>
              <w:rPr>
                <w:rFonts w:ascii="Times New Roman" w:cs="Times New Roman" w:eastAsia="Times New Roman" w:hAnsi="Times New Roman"/>
                <w:sz w:val="14"/>
                <w:szCs w:val="14"/>
                <w:color w:val="auto"/>
              </w:rPr>
              <w:t>108,454,323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4"/>
                <w:szCs w:val="14"/>
                <w:color w:val="auto"/>
              </w:rPr>
              <w:t>215,774,619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right"/>
              <w:ind w:right="89"/>
              <w:spacing w:after="0" w:line="156" w:lineRule="exact"/>
              <w:rPr>
                <w:sz w:val="20"/>
                <w:szCs w:val="20"/>
                <w:color w:val="auto"/>
              </w:rPr>
            </w:pPr>
            <w:r>
              <w:rPr>
                <w:rFonts w:ascii="Times New Roman" w:cs="Times New Roman" w:eastAsia="Times New Roman" w:hAnsi="Times New Roman"/>
                <w:sz w:val="14"/>
                <w:szCs w:val="14"/>
                <w:color w:val="auto"/>
              </w:rPr>
              <w:t>107,584,379</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60"/>
          </w:cols>
          <w:pgMar w:left="220" w:top="125" w:right="21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4"/>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20" w:type="dxa"/>
            <w:vAlign w:val="bottom"/>
          </w:tcPr>
          <w:p>
            <w:pPr>
              <w:spacing w:after="0"/>
              <w:rPr>
                <w:sz w:val="11"/>
                <w:szCs w:val="11"/>
                <w:color w:val="auto"/>
              </w:rPr>
            </w:pPr>
          </w:p>
        </w:tc>
      </w:tr>
      <w:tr>
        <w:trPr>
          <w:trHeight w:val="155"/>
        </w:trPr>
        <w:tc>
          <w:tcPr>
            <w:tcW w:w="42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1"/>
                <w:szCs w:val="11"/>
                <w:b w:val="1"/>
                <w:bCs w:val="1"/>
                <w:color w:val="auto"/>
                <w:w w:val="98"/>
              </w:rPr>
              <w:t>July 31,</w:t>
            </w:r>
          </w:p>
        </w:tc>
        <w:tc>
          <w:tcPr>
            <w:tcW w:w="1120" w:type="dxa"/>
            <w:vAlign w:val="bottom"/>
            <w:tcBorders>
              <w:bottom w:val="single" w:sz="8" w:color="auto"/>
            </w:tcBorders>
          </w:tcPr>
          <w:p>
            <w:pPr>
              <w:spacing w:after="0"/>
              <w:rPr>
                <w:sz w:val="13"/>
                <w:szCs w:val="13"/>
                <w:color w:val="auto"/>
              </w:rPr>
            </w:pPr>
          </w:p>
        </w:tc>
      </w:tr>
      <w:tr>
        <w:trPr>
          <w:trHeight w:val="152"/>
        </w:trPr>
        <w:tc>
          <w:tcPr>
            <w:tcW w:w="42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9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Borders>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5,541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800" w:type="dxa"/>
            <w:vAlign w:val="bottom"/>
            <w:tcBorders>
              <w:bottom w:val="single" w:sz="8" w:color="CCEEFF"/>
            </w:tcBorders>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2,485</w:t>
            </w: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gain:</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9"/>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Unrealized (loss) gain on available for sale marketable securities, net</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9"/>
        </w:trPr>
        <w:tc>
          <w:tcPr>
            <w:tcW w:w="4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tax</w:t>
            </w:r>
          </w:p>
        </w:tc>
        <w:tc>
          <w:tcPr>
            <w:tcW w:w="10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57</w:t>
            </w: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60" w:type="dxa"/>
            <w:vAlign w:val="bottom"/>
            <w:tcBorders>
              <w:top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5,465</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3,964</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7,822</w:t>
            </w: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2,542</w:t>
            </w:r>
          </w:p>
        </w:tc>
      </w:tr>
      <w:tr>
        <w:trPr>
          <w:trHeight w:val="23"/>
        </w:trPr>
        <w:tc>
          <w:tcPr>
            <w:tcW w:w="4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220" w:top="125" w:right="4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CONVERTIBLE PREFERRED STOCK AND STOCKHOLDERS’ EQUITY (DEFICIT)</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July 31, 2019</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5"/>
          </w:tcPr>
          <w:p>
            <w:pPr>
              <w:ind w:left="700"/>
              <w:spacing w:after="0" w:line="119"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8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restart"/>
          </w:tcPr>
          <w:p>
            <w:pPr>
              <w:jc w:val="center"/>
              <w:ind w:right="240"/>
              <w:spacing w:after="0" w:line="89"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3"/>
                <w:szCs w:val="3"/>
                <w:color w:val="auto"/>
              </w:rPr>
            </w:pPr>
          </w:p>
        </w:tc>
        <w:tc>
          <w:tcPr>
            <w:tcW w:w="1220" w:type="dxa"/>
            <w:vAlign w:val="bottom"/>
            <w:gridSpan w:val="2"/>
            <w:vMerge w:val="restart"/>
          </w:tcPr>
          <w:p>
            <w:pPr>
              <w:jc w:val="center"/>
              <w:ind w:right="140"/>
              <w:spacing w:after="0" w:line="89"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right"/>
              <w:ind w:right="183"/>
              <w:spacing w:after="0" w:line="89"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vMerge w:val="restart"/>
          </w:tcPr>
          <w:p>
            <w:pPr>
              <w:jc w:val="center"/>
              <w:ind w:right="103"/>
              <w:spacing w:after="0" w:line="89"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gridSpan w:val="2"/>
            <w:vMerge w:val="restart"/>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right w:val="single" w:sz="8" w:color="auto"/>
            </w:tcBorders>
            <w:gridSpan w:val="2"/>
            <w:vMerge w:val="restart"/>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gridSpan w:val="2"/>
            <w:vMerge w:val="restart"/>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8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right w:val="single" w:sz="8" w:color="auto"/>
            </w:tcBorders>
            <w:gridSpan w:val="2"/>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April 30, 2019</w:t>
            </w:r>
          </w:p>
        </w:tc>
        <w:tc>
          <w:tcPr>
            <w:tcW w:w="4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right w:val="single" w:sz="8" w:color="auto"/>
            </w:tcBorders>
            <w:gridSpan w:val="3"/>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272,336,862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742,388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w:t>
            </w:r>
          </w:p>
        </w:tc>
        <w:tc>
          <w:tcPr>
            <w:tcW w:w="2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(22,939)</w:t>
            </w:r>
          </w:p>
        </w:tc>
        <w:tc>
          <w:tcPr>
            <w:tcW w:w="28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719,728</w:t>
            </w:r>
          </w:p>
        </w:tc>
        <w:tc>
          <w:tcPr>
            <w:tcW w:w="0" w:type="dxa"/>
            <w:vAlign w:val="bottom"/>
          </w:tcPr>
          <w:p>
            <w:pPr>
              <w:spacing w:after="0"/>
              <w:rPr>
                <w:sz w:val="1"/>
                <w:szCs w:val="1"/>
                <w:color w:val="auto"/>
              </w:rPr>
            </w:pPr>
          </w:p>
        </w:tc>
      </w:tr>
      <w:tr>
        <w:trPr>
          <w:trHeight w:val="123"/>
        </w:trPr>
        <w:tc>
          <w:tcPr>
            <w:tcW w:w="184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Issuance of common stock upon</w:t>
            </w:r>
          </w:p>
        </w:tc>
        <w:tc>
          <w:tcPr>
            <w:tcW w:w="40" w:type="dxa"/>
            <w:vAlign w:val="bottom"/>
          </w:tcPr>
          <w:p>
            <w:pPr>
              <w:spacing w:after="0"/>
              <w:rPr>
                <w:sz w:val="10"/>
                <w:szCs w:val="10"/>
                <w:color w:val="auto"/>
              </w:rPr>
            </w:pPr>
          </w:p>
        </w:tc>
        <w:tc>
          <w:tcPr>
            <w:tcW w:w="12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right w:val="single" w:sz="8" w:color="auto"/>
            </w:tcBorders>
            <w:gridSpan w:val="3"/>
            <w:vMerge w:val="restart"/>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649,305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420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53"/>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reserved for</w:t>
            </w:r>
          </w:p>
        </w:tc>
        <w:tc>
          <w:tcPr>
            <w:tcW w:w="4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500,000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charitable donation</w:t>
            </w:r>
          </w:p>
        </w:tc>
        <w:tc>
          <w:tcPr>
            <w:tcW w:w="40" w:type="dxa"/>
            <w:vAlign w:val="bottom"/>
            <w:shd w:val="clear" w:color="auto" w:fill="CCEEFF"/>
          </w:tcPr>
          <w:p>
            <w:pPr>
              <w:spacing w:after="0"/>
              <w:rPr>
                <w:sz w:val="13"/>
                <w:szCs w:val="13"/>
                <w:color w:val="auto"/>
              </w:rPr>
            </w:pPr>
          </w:p>
        </w:tc>
        <w:tc>
          <w:tcPr>
            <w:tcW w:w="124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tcBorders>
              <w:right w:val="single" w:sz="8" w:color="auto"/>
            </w:tcBorders>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40" w:type="dxa"/>
            <w:vAlign w:val="bottom"/>
          </w:tcPr>
          <w:p>
            <w:pPr>
              <w:spacing w:after="0"/>
              <w:rPr>
                <w:sz w:val="13"/>
                <w:szCs w:val="13"/>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18,182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18,182</w:t>
            </w:r>
          </w:p>
        </w:tc>
        <w:tc>
          <w:tcPr>
            <w:tcW w:w="0" w:type="dxa"/>
            <w:vAlign w:val="bottom"/>
          </w:tcPr>
          <w:p>
            <w:pPr>
              <w:spacing w:after="0"/>
              <w:rPr>
                <w:sz w:val="1"/>
                <w:szCs w:val="1"/>
                <w:color w:val="auto"/>
              </w:rPr>
            </w:pPr>
          </w:p>
        </w:tc>
      </w:tr>
      <w:tr>
        <w:trPr>
          <w:trHeight w:val="16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3"/>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57"/>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right w:val="single" w:sz="8" w:color="auto"/>
            </w:tcBorders>
            <w:gridSpan w:val="2"/>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5,541</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5,541</w:t>
            </w:r>
          </w:p>
        </w:tc>
        <w:tc>
          <w:tcPr>
            <w:tcW w:w="0" w:type="dxa"/>
            <w:vAlign w:val="bottom"/>
          </w:tcPr>
          <w:p>
            <w:pPr>
              <w:spacing w:after="0"/>
              <w:rPr>
                <w:sz w:val="1"/>
                <w:szCs w:val="1"/>
                <w:color w:val="auto"/>
              </w:rPr>
            </w:pPr>
          </w:p>
        </w:tc>
      </w:tr>
      <w:tr>
        <w:trPr>
          <w:trHeight w:val="17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July 31, 2019</w:t>
            </w:r>
          </w:p>
        </w:tc>
        <w:tc>
          <w:tcPr>
            <w:tcW w:w="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300" w:type="dxa"/>
            <w:vAlign w:val="bottom"/>
            <w:tcBorders>
              <w:bottom w:val="single" w:sz="8" w:color="auto"/>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right w:val="single" w:sz="8" w:color="auto"/>
            </w:tcBorders>
            <w:gridSpan w:val="2"/>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273,486,167</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760,990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(68)</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(17,398)</w:t>
            </w: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743,796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July 31, 2018</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5"/>
          </w:tcPr>
          <w:p>
            <w:pPr>
              <w:ind w:left="84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gridSpan w:val="5"/>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gridSpan w:val="5"/>
            <w:vMerge w:val="restart"/>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Borders>
              <w:bottom w:val="single" w:sz="8" w:color="auto"/>
            </w:tcBorders>
            <w:gridSpan w:val="5"/>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Borders>
              <w:bottom w:val="single" w:sz="8" w:color="auto"/>
            </w:tcBorders>
            <w:gridSpan w:val="5"/>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1220" w:type="dxa"/>
            <w:vAlign w:val="bottom"/>
            <w:gridSpan w:val="2"/>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right"/>
              <w:ind w:right="203"/>
              <w:spacing w:after="0" w:line="9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jc w:val="center"/>
              <w:ind w:right="143"/>
              <w:spacing w:after="0" w:line="96"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2"/>
        </w:trPr>
        <w:tc>
          <w:tcPr>
            <w:tcW w:w="18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CCEEFF"/>
              <w:right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April 30, 2018</w:t>
            </w:r>
          </w:p>
        </w:tc>
        <w:tc>
          <w:tcPr>
            <w:tcW w:w="11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152,665,804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159,552</w:t>
            </w:r>
          </w:p>
        </w:tc>
        <w:tc>
          <w:tcPr>
            <w:tcW w:w="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83,122,778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7,603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(613)</w:t>
            </w:r>
          </w:p>
        </w:tc>
        <w:tc>
          <w:tcPr>
            <w:tcW w:w="2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(34,077)</w:t>
            </w:r>
          </w:p>
        </w:tc>
        <w:tc>
          <w:tcPr>
            <w:tcW w:w="28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(27,006)</w:t>
            </w:r>
          </w:p>
        </w:tc>
        <w:tc>
          <w:tcPr>
            <w:tcW w:w="0" w:type="dxa"/>
            <w:vAlign w:val="bottom"/>
          </w:tcPr>
          <w:p>
            <w:pPr>
              <w:spacing w:after="0"/>
              <w:rPr>
                <w:sz w:val="1"/>
                <w:szCs w:val="1"/>
                <w:color w:val="auto"/>
              </w:rPr>
            </w:pPr>
          </w:p>
        </w:tc>
      </w:tr>
      <w:tr>
        <w:trPr>
          <w:trHeight w:val="123"/>
        </w:trPr>
        <w:tc>
          <w:tcPr>
            <w:tcW w:w="184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Issuance of common stock upon</w:t>
            </w:r>
          </w:p>
        </w:tc>
        <w:tc>
          <w:tcPr>
            <w:tcW w:w="40" w:type="dxa"/>
            <w:vAlign w:val="bottom"/>
          </w:tcPr>
          <w:p>
            <w:pPr>
              <w:spacing w:after="0"/>
              <w:rPr>
                <w:sz w:val="10"/>
                <w:szCs w:val="10"/>
                <w:color w:val="auto"/>
              </w:rPr>
            </w:pP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right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06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3,273,235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438</w:t>
            </w:r>
          </w:p>
        </w:tc>
        <w:tc>
          <w:tcPr>
            <w:tcW w:w="0" w:type="dxa"/>
            <w:vAlign w:val="bottom"/>
          </w:tcPr>
          <w:p>
            <w:pPr>
              <w:spacing w:after="0"/>
              <w:rPr>
                <w:sz w:val="1"/>
                <w:szCs w:val="1"/>
                <w:color w:val="auto"/>
              </w:rPr>
            </w:pPr>
          </w:p>
        </w:tc>
      </w:tr>
      <w:tr>
        <w:trPr>
          <w:trHeight w:val="153"/>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1,126</w:t>
            </w:r>
          </w:p>
        </w:tc>
        <w:tc>
          <w:tcPr>
            <w:tcW w:w="0" w:type="dxa"/>
            <w:vAlign w:val="bottom"/>
          </w:tcPr>
          <w:p>
            <w:pPr>
              <w:spacing w:after="0"/>
              <w:rPr>
                <w:sz w:val="1"/>
                <w:szCs w:val="1"/>
                <w:color w:val="auto"/>
              </w:rPr>
            </w:pPr>
          </w:p>
        </w:tc>
      </w:tr>
      <w:tr>
        <w:trPr>
          <w:trHeight w:val="157"/>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40" w:type="dxa"/>
            <w:vAlign w:val="bottom"/>
          </w:tcPr>
          <w:p>
            <w:pPr>
              <w:spacing w:after="0"/>
              <w:rPr>
                <w:sz w:val="13"/>
                <w:szCs w:val="13"/>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Borders>
              <w:right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40" w:type="dxa"/>
            <w:vAlign w:val="bottom"/>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3,825</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3,825</w:t>
            </w:r>
          </w:p>
        </w:tc>
        <w:tc>
          <w:tcPr>
            <w:tcW w:w="0" w:type="dxa"/>
            <w:vAlign w:val="bottom"/>
          </w:tcPr>
          <w:p>
            <w:pPr>
              <w:spacing w:after="0"/>
              <w:rPr>
                <w:sz w:val="1"/>
                <w:szCs w:val="1"/>
                <w:color w:val="auto"/>
              </w:rPr>
            </w:pPr>
          </w:p>
        </w:tc>
      </w:tr>
      <w:tr>
        <w:trPr>
          <w:trHeight w:val="197"/>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as of July 31, 2018</w:t>
            </w:r>
          </w:p>
        </w:tc>
        <w:tc>
          <w:tcPr>
            <w:tcW w:w="40" w:type="dxa"/>
            <w:vAlign w:val="bottom"/>
          </w:tcPr>
          <w:p>
            <w:pPr>
              <w:spacing w:after="0"/>
              <w:rPr>
                <w:sz w:val="17"/>
                <w:szCs w:val="17"/>
                <w:color w:val="auto"/>
              </w:rPr>
            </w:pPr>
          </w:p>
        </w:tc>
        <w:tc>
          <w:tcPr>
            <w:tcW w:w="1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152,665,804</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159,552</w:t>
            </w:r>
          </w:p>
        </w:tc>
        <w:tc>
          <w:tcPr>
            <w:tcW w:w="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86,396,013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9,164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(474)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(30,252)</w:t>
            </w:r>
          </w:p>
        </w:tc>
        <w:tc>
          <w:tcPr>
            <w:tcW w:w="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(21,478)</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380"/>
          </w:cols>
          <w:pgMar w:left="220" w:top="125" w:right="29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CONVERTIBLE PREFERRED STOCK AND STOCKHOLDERS’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1"/>
                <w:szCs w:val="11"/>
                <w:b w:val="1"/>
                <w:bCs w:val="1"/>
                <w:color w:val="auto"/>
              </w:rPr>
              <w:t>Six Months Ended July 31, 2019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5"/>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7"/>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5"/>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43"/>
        </w:trPr>
        <w:tc>
          <w:tcPr>
            <w:tcW w:w="1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3"/>
            <w:vMerge w:val="restart"/>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rPr>
              <w:t>Paid-In</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restart"/>
          </w:tcPr>
          <w:p>
            <w:pPr>
              <w:jc w:val="center"/>
              <w:ind w:right="200"/>
              <w:spacing w:after="0" w:line="89"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60" w:type="dxa"/>
            <w:vAlign w:val="bottom"/>
          </w:tcPr>
          <w:p>
            <w:pPr>
              <w:spacing w:after="0"/>
              <w:rPr>
                <w:sz w:val="3"/>
                <w:szCs w:val="3"/>
                <w:color w:val="auto"/>
              </w:rPr>
            </w:pPr>
          </w:p>
        </w:tc>
        <w:tc>
          <w:tcPr>
            <w:tcW w:w="1080" w:type="dxa"/>
            <w:vAlign w:val="bottom"/>
            <w:gridSpan w:val="2"/>
            <w:vMerge w:val="restart"/>
          </w:tcPr>
          <w:p>
            <w:pPr>
              <w:jc w:val="center"/>
              <w:ind w:right="260"/>
              <w:spacing w:after="0" w:line="89"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80" w:type="dxa"/>
            <w:vAlign w:val="bottom"/>
          </w:tcPr>
          <w:p>
            <w:pPr>
              <w:spacing w:after="0"/>
              <w:rPr>
                <w:sz w:val="3"/>
                <w:szCs w:val="3"/>
                <w:color w:val="auto"/>
              </w:rPr>
            </w:pPr>
          </w:p>
        </w:tc>
        <w:tc>
          <w:tcPr>
            <w:tcW w:w="1120" w:type="dxa"/>
            <w:vAlign w:val="bottom"/>
            <w:gridSpan w:val="2"/>
            <w:vMerge w:val="restart"/>
          </w:tcPr>
          <w:p>
            <w:pPr>
              <w:jc w:val="center"/>
              <w:ind w:right="180"/>
              <w:spacing w:after="0" w:line="89"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right w:val="single" w:sz="8" w:color="auto"/>
            </w:tcBorders>
            <w:vMerge w:val="restart"/>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8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CCEEFF"/>
              <w:right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January 31, 2019</w:t>
            </w:r>
          </w:p>
        </w:tc>
        <w:tc>
          <w:tcPr>
            <w:tcW w:w="1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152,665,804</w:t>
            </w:r>
          </w:p>
        </w:tc>
        <w:tc>
          <w:tcPr>
            <w:tcW w:w="4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159,552</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90,327,435</w:t>
            </w: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89</w:t>
            </w:r>
          </w:p>
        </w:tc>
        <w:tc>
          <w:tcPr>
            <w:tcW w:w="2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17,760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(25,153)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color w:val="auto"/>
              </w:rPr>
              <w:t>Conversion of convertible preferred</w:t>
            </w: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color w:val="auto"/>
              </w:rPr>
              <w:t>stock to common stock upon initial</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1"/>
                <w:szCs w:val="11"/>
                <w:color w:val="auto"/>
              </w:rPr>
              <w:t>(152,665,804)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(159,552)</w:t>
            </w: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152,665,804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153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159,399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159,552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public offering</w:t>
            </w:r>
          </w:p>
        </w:tc>
        <w:tc>
          <w:tcPr>
            <w:tcW w:w="1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Conversion of convertible promissory</w:t>
            </w: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88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color w:val="auto"/>
              </w:rPr>
              <w:t>notes and accrued interest to common</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426,223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15,344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15,344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upon initial public offering</w:t>
            </w:r>
          </w:p>
        </w:tc>
        <w:tc>
          <w:tcPr>
            <w:tcW w:w="11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color w:val="auto"/>
              </w:rPr>
              <w:t>Issuance of common stock upon initial</w:t>
            </w: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color w:val="auto"/>
              </w:rPr>
              <w:t>public offering and private placement,</w:t>
            </w: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color w:val="auto"/>
              </w:rPr>
              <w:t>net of underwriting discounts and</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right w:val="single" w:sz="8" w:color="auto"/>
            </w:tcBorders>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15,819,646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541,483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541,499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commissions and other offering costs</w:t>
            </w: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w:t>
            </w: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88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color w:val="auto"/>
              </w:rPr>
              <w:t>exercise of stock options, net of</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tcBorders>
              <w:right w:val="single" w:sz="8" w:color="auto"/>
            </w:tcBorders>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13,747,059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2,160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w:t>
            </w:r>
          </w:p>
        </w:tc>
        <w:tc>
          <w:tcPr>
            <w:tcW w:w="11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color w:val="auto"/>
              </w:rPr>
              <w:t>Issuance of common stock reserved for</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right w:val="single" w:sz="8" w:color="auto"/>
            </w:tcBorders>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500,000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charitable donation</w:t>
            </w: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24,844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7,755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7,755</w:t>
            </w:r>
          </w:p>
        </w:tc>
        <w:tc>
          <w:tcPr>
            <w:tcW w:w="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Balance as of July 31, 2019</w:t>
            </w: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273,486,167</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272</w:t>
            </w:r>
          </w:p>
        </w:tc>
        <w:tc>
          <w:tcPr>
            <w:tcW w:w="2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760,990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(17,398)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743,796</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18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1"/>
                <w:szCs w:val="11"/>
                <w:b w:val="1"/>
                <w:bCs w:val="1"/>
                <w:color w:val="auto"/>
              </w:rPr>
              <w:t>Six Months Ended July 31,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5"/>
          </w:tcPr>
          <w:p>
            <w:pPr>
              <w:jc w:val="right"/>
              <w:ind w:right="83"/>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8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5"/>
            <w:vMerge w:val="continue"/>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5"/>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3"/>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tcPr>
          <w:p>
            <w:pPr>
              <w:jc w:val="center"/>
              <w:ind w:right="220"/>
              <w:spacing w:after="0" w:line="96"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8"/>
                <w:szCs w:val="8"/>
                <w:color w:val="auto"/>
              </w:rPr>
            </w:pPr>
          </w:p>
        </w:tc>
        <w:tc>
          <w:tcPr>
            <w:tcW w:w="112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2"/>
        </w:trPr>
        <w:tc>
          <w:tcPr>
            <w:tcW w:w="18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bottom w:val="single" w:sz="8" w:color="CCEEFF"/>
              <w:right w:val="single" w:sz="8" w:color="auto"/>
            </w:tcBorders>
            <w:gridSpan w:val="2"/>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January 31, 2018</w:t>
            </w:r>
          </w:p>
        </w:tc>
        <w:tc>
          <w:tcPr>
            <w:tcW w:w="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152,665,804</w:t>
            </w:r>
          </w:p>
        </w:tc>
        <w:tc>
          <w:tcPr>
            <w:tcW w:w="4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159,552</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82,609,638</w:t>
            </w:r>
          </w:p>
        </w:tc>
        <w:tc>
          <w:tcPr>
            <w:tcW w:w="4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80</w:t>
            </w:r>
          </w:p>
        </w:tc>
        <w:tc>
          <w:tcPr>
            <w:tcW w:w="2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6,517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(531)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(32,737)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(26,671)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8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color w:val="auto"/>
              </w:rPr>
              <w:t>Issuance of common stock upon</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right w:val="single" w:sz="8" w:color="auto"/>
            </w:tcBorders>
            <w:gridSpan w:val="3"/>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3,786,375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672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0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676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gridSpan w:val="3"/>
            <w:vMerge w:val="continue"/>
          </w:tcPr>
          <w:p>
            <w:pPr>
              <w:spacing w:after="0"/>
              <w:rPr>
                <w:sz w:val="13"/>
                <w:szCs w:val="13"/>
                <w:color w:val="auto"/>
              </w:rPr>
            </w:pPr>
          </w:p>
        </w:tc>
        <w:tc>
          <w:tcPr>
            <w:tcW w:w="80" w:type="dxa"/>
            <w:vAlign w:val="bottom"/>
            <w:gridSpan w:val="2"/>
          </w:tcPr>
          <w:p>
            <w:pPr>
              <w:spacing w:after="0"/>
              <w:rPr>
                <w:sz w:val="13"/>
                <w:szCs w:val="13"/>
                <w:color w:val="auto"/>
              </w:rPr>
            </w:pP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tcBorders>
              <w:right w:val="single" w:sz="8" w:color="auto"/>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right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auto"/>
            </w:tcBorders>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2,485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as of July 31, 2018</w:t>
            </w:r>
          </w:p>
        </w:tc>
        <w:tc>
          <w:tcPr>
            <w:tcW w:w="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152,665,804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159,552</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86,396,013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9,164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(30,252)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(21,478)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60"/>
          </w:cols>
          <w:pgMar w:left="220" w:top="125" w:right="21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1"/>
          <w:szCs w:val="11"/>
          <w:b w:val="1"/>
          <w:bCs w:val="1"/>
          <w:color w:val="auto"/>
        </w:rPr>
        <w:t>July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98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7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7,755</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2,485</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24,737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1,975</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16,026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8,647</w:t>
            </w: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3,116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Provision for accounts receivable allowances</w:t>
            </w:r>
          </w:p>
        </w:tc>
        <w:tc>
          <w:tcPr>
            <w:tcW w:w="9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(35,361)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(22,600)</w:t>
            </w:r>
          </w:p>
        </w:tc>
        <w:tc>
          <w:tcPr>
            <w:tcW w:w="0" w:type="dxa"/>
            <w:vAlign w:val="bottom"/>
          </w:tcPr>
          <w:p>
            <w:pPr>
              <w:spacing w:after="0"/>
              <w:rPr>
                <w:sz w:val="1"/>
                <w:szCs w:val="1"/>
                <w:color w:val="auto"/>
              </w:rPr>
            </w:pPr>
          </w:p>
        </w:tc>
      </w:tr>
      <w:tr>
        <w:trPr>
          <w:trHeight w:val="193"/>
        </w:trPr>
        <w:tc>
          <w:tcPr>
            <w:tcW w:w="7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(23,597)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(4,132)</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(22,768)</w:t>
            </w:r>
          </w:p>
        </w:tc>
        <w:tc>
          <w:tcPr>
            <w:tcW w:w="0" w:type="dxa"/>
            <w:vAlign w:val="bottom"/>
          </w:tcPr>
          <w:p>
            <w:pPr>
              <w:spacing w:after="0"/>
              <w:rPr>
                <w:sz w:val="1"/>
                <w:szCs w:val="1"/>
                <w:color w:val="auto"/>
              </w:rPr>
            </w:pPr>
          </w:p>
        </w:tc>
      </w:tr>
      <w:tr>
        <w:trPr>
          <w:trHeight w:val="193"/>
        </w:trPr>
        <w:tc>
          <w:tcPr>
            <w:tcW w:w="7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34,923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14,561</w:t>
            </w:r>
          </w:p>
        </w:tc>
        <w:tc>
          <w:tcPr>
            <w:tcW w:w="0" w:type="dxa"/>
            <w:vAlign w:val="bottom"/>
          </w:tcPr>
          <w:p>
            <w:pPr>
              <w:spacing w:after="0"/>
              <w:rPr>
                <w:sz w:val="1"/>
                <w:szCs w:val="1"/>
                <w:color w:val="auto"/>
              </w:rPr>
            </w:pPr>
          </w:p>
        </w:tc>
      </w:tr>
      <w:tr>
        <w:trPr>
          <w:trHeight w:val="193"/>
        </w:trPr>
        <w:tc>
          <w:tcPr>
            <w:tcW w:w="7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56,234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35,436</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9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(3,295)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53,408</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17,110</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(478,487)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(30,276)</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9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50,940</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23,755</w:t>
            </w: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(20,937)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(10,027)</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98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(448,484)</w:t>
            </w:r>
          </w:p>
        </w:tc>
        <w:tc>
          <w:tcPr>
            <w:tcW w:w="1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(16,548)</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Proceeds from initial public offering and private placement, net of underwriting discounts and commissions and other offering costs</w:t>
            </w:r>
          </w:p>
        </w:tc>
        <w:tc>
          <w:tcPr>
            <w:tcW w:w="9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542,947</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exercise of stock options, net of repurchases</w:t>
            </w:r>
          </w:p>
        </w:tc>
        <w:tc>
          <w:tcPr>
            <w:tcW w:w="9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Principal payments on capital lease obligations</w:t>
            </w:r>
          </w:p>
        </w:tc>
        <w:tc>
          <w:tcPr>
            <w:tcW w:w="9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4"/>
        </w:trPr>
        <w:tc>
          <w:tcPr>
            <w:tcW w:w="7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545,138</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9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150,062</w:t>
            </w:r>
          </w:p>
        </w:tc>
        <w:tc>
          <w:tcPr>
            <w:tcW w:w="1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9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65,968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36,821</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960" w:type="dxa"/>
            <w:vAlign w:val="bottom"/>
            <w:tcBorders>
              <w:bottom w:val="single" w:sz="8" w:color="CFF0FC"/>
            </w:tcBorders>
            <w:shd w:val="clear" w:color="auto" w:fill="CFF0FC"/>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216,030</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37,867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to the amounts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9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shown in the condensed consolidated statements of cash flows above:</w:t>
            </w: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tcBorders>
              <w:bottom w:val="single" w:sz="8" w:color="CFF0FC"/>
            </w:tcBorders>
            <w:shd w:val="clear" w:color="auto" w:fill="CFF0FC"/>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213,886</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36,492</w:t>
            </w: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cash, current included in prepaid expenses and other current assets</w:t>
            </w:r>
          </w:p>
        </w:tc>
        <w:tc>
          <w:tcPr>
            <w:tcW w:w="9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Restricted cash, non-current included in other assets, non-current</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2,044</w:t>
            </w: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184"/>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96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216,030</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37,867</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20"/>
          </w:cols>
          <w:pgMar w:left="220" w:top="125"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5" w:lineRule="exact"/>
        <w:rPr>
          <w:sz w:val="20"/>
          <w:szCs w:val="20"/>
          <w:color w:val="auto"/>
        </w:rPr>
      </w:pPr>
    </w:p>
    <w:p>
      <w:pPr>
        <w:ind w:left="920" w:hanging="526"/>
        <w:spacing w:after="0"/>
        <w:tabs>
          <w:tab w:leader="none" w:pos="920"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Summary of Business and Significant Accounting Policies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100" w:lineRule="exact"/>
        <w:rPr>
          <w:sz w:val="20"/>
          <w:szCs w:val="20"/>
          <w:color w:val="auto"/>
        </w:rPr>
      </w:pPr>
    </w:p>
    <w:p>
      <w:pPr>
        <w:ind w:right="180" w:firstLine="388"/>
        <w:spacing w:after="0" w:line="294" w:lineRule="auto"/>
        <w:rPr>
          <w:sz w:val="20"/>
          <w:szCs w:val="20"/>
          <w:color w:val="auto"/>
        </w:rPr>
      </w:pPr>
      <w:r>
        <w:rPr>
          <w:rFonts w:ascii="Times New Roman" w:cs="Times New Roman" w:eastAsia="Times New Roman" w:hAnsi="Times New Roman"/>
          <w:sz w:val="14"/>
          <w:szCs w:val="14"/>
          <w:color w:val="auto"/>
        </w:rPr>
        <w:t>Zoom Video Communications, Inc. and its subsidiaries (together, Zoom, the Company, we, us, or our) provide a video-first, unified communications platform. Our platform combines video, audio, phone, screen sharing, and chat functionalities. We were incorporated in the state of Delaware in April 2011 and are headquartered in San Jose,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Fiscal Year</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Our fiscal year ends on January 31. References to fiscal 2020, for example, refer to the fiscal year ending January 31, 2020.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Initial Public Offering and Private Placement</w:t>
      </w:r>
    </w:p>
    <w:p>
      <w:pPr>
        <w:spacing w:after="0" w:line="100" w:lineRule="exact"/>
        <w:rPr>
          <w:sz w:val="20"/>
          <w:szCs w:val="20"/>
          <w:color w:val="auto"/>
        </w:rPr>
      </w:pPr>
    </w:p>
    <w:p>
      <w:pPr>
        <w:jc w:val="both"/>
        <w:ind w:firstLine="388"/>
        <w:spacing w:after="0" w:line="275" w:lineRule="auto"/>
        <w:rPr>
          <w:sz w:val="20"/>
          <w:szCs w:val="20"/>
          <w:color w:val="auto"/>
        </w:rPr>
      </w:pPr>
      <w:r>
        <w:rPr>
          <w:rFonts w:ascii="Times New Roman" w:cs="Times New Roman" w:eastAsia="Times New Roman" w:hAnsi="Times New Roman"/>
          <w:sz w:val="14"/>
          <w:szCs w:val="14"/>
          <w:color w:val="auto"/>
        </w:rPr>
        <w:t>On April 23, 2019, we completed our initial public offering (IPO), in which we issued and sold 9,911,434 shares of our Class A common stock at $36.00 per share, resulting in net proceeds of $340.8 million after deducting underwriting discounts and commissions. On April 18, 2019, the underwriters exercised their option to purchase an additional 3,130,435 shares of our Class A common stock at $36.00 per share. This transaction closed on April 23, 2019, resulting in additional proceeds of $107.1 million, net of underwriters' discounts and commissions. In connection with the IPO:</w:t>
      </w:r>
    </w:p>
    <w:p>
      <w:pPr>
        <w:spacing w:after="0" w:line="50" w:lineRule="exact"/>
        <w:rPr>
          <w:sz w:val="20"/>
          <w:szCs w:val="20"/>
          <w:color w:val="auto"/>
        </w:rPr>
      </w:pPr>
    </w:p>
    <w:p>
      <w:pPr>
        <w:ind w:left="900" w:hanging="506"/>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shares of convertible preferred stock outstanding automatically converted into an aggregate of 152,665,804 shares of Class B common stock;</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convertible promissory notes and accrued interest automatically converted into 426,223 shares of Class A common stock based on the IPO price of $36.00 per share; and</w:t>
      </w:r>
    </w:p>
    <w:p>
      <w:pPr>
        <w:spacing w:after="0" w:line="97" w:lineRule="exact"/>
        <w:rPr>
          <w:rFonts w:ascii="Times New Roman" w:cs="Times New Roman" w:eastAsia="Times New Roman" w:hAnsi="Times New Roman"/>
          <w:sz w:val="14"/>
          <w:szCs w:val="14"/>
          <w:color w:val="auto"/>
        </w:rPr>
      </w:pPr>
    </w:p>
    <w:p>
      <w:pPr>
        <w:ind w:left="920" w:right="460" w:hanging="526"/>
        <w:spacing w:after="0" w:line="294" w:lineRule="auto"/>
        <w:tabs>
          <w:tab w:leader="none" w:pos="9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Salesforce Ventures LLC purchased 2,777,777 shares of Class A common stock from us at $36.00 per share in a concurrent private placement. We received aggregate proceeds of $100.0 million and did not pay any underwriting discounts or commissions with respect to the shares of Class A common stock that were sold in this private placement.</w:t>
      </w:r>
    </w:p>
    <w:p>
      <w:pPr>
        <w:spacing w:after="0" w:line="123" w:lineRule="exact"/>
        <w:rPr>
          <w:sz w:val="20"/>
          <w:szCs w:val="20"/>
          <w:color w:val="auto"/>
        </w:rPr>
      </w:pPr>
    </w:p>
    <w:p>
      <w:pPr>
        <w:ind w:right="140" w:firstLine="388"/>
        <w:spacing w:after="0" w:line="275" w:lineRule="auto"/>
        <w:rPr>
          <w:sz w:val="20"/>
          <w:szCs w:val="20"/>
          <w:color w:val="auto"/>
        </w:rPr>
      </w:pPr>
      <w:r>
        <w:rPr>
          <w:rFonts w:ascii="Times New Roman" w:cs="Times New Roman" w:eastAsia="Times New Roman" w:hAnsi="Times New Roman"/>
          <w:sz w:val="14"/>
          <w:szCs w:val="14"/>
          <w:color w:val="auto"/>
        </w:rPr>
        <w:t>Deferred offering costs consist primarily of accounting, legal, and other fees related to our IPO. Prior to the IPO, all deferred offering costs were capitalized in other assets, non-current in the condensed consolidated balance sheets. After the IPO, $6.4 million of deferred offering costs were reclassified into stockholders’ equity as a reduction of the IPO proceeds in the condensed consolidated balance sheets. We capitalized $2.4 million of deferred offering costs within other assets, non-current in the condensed consolidated balance sheet as of January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00" w:lineRule="exact"/>
        <w:rPr>
          <w:sz w:val="20"/>
          <w:szCs w:val="20"/>
          <w:color w:val="auto"/>
        </w:rPr>
      </w:pPr>
    </w:p>
    <w:p>
      <w:pPr>
        <w:ind w:right="160" w:firstLine="388"/>
        <w:spacing w:after="0" w:line="275"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and its subsidiaries. All intercompany balances and transactions have been eliminated in consolidation.</w:t>
      </w:r>
    </w:p>
    <w:p>
      <w:pPr>
        <w:spacing w:after="0" w:line="136" w:lineRule="exact"/>
        <w:rPr>
          <w:sz w:val="20"/>
          <w:szCs w:val="20"/>
          <w:color w:val="auto"/>
        </w:rPr>
      </w:pPr>
    </w:p>
    <w:p>
      <w:pPr>
        <w:ind w:right="140" w:firstLine="388"/>
        <w:spacing w:after="0" w:line="269" w:lineRule="auto"/>
        <w:rPr>
          <w:sz w:val="20"/>
          <w:szCs w:val="20"/>
          <w:color w:val="auto"/>
        </w:rPr>
      </w:pPr>
      <w:r>
        <w:rPr>
          <w:rFonts w:ascii="Times New Roman" w:cs="Times New Roman" w:eastAsia="Times New Roman" w:hAnsi="Times New Roman"/>
          <w:sz w:val="14"/>
          <w:szCs w:val="14"/>
          <w:color w:val="auto"/>
        </w:rPr>
        <w:t>The unaudited condensed consolidated balance sheet as of January 31, 2019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140" w:lineRule="exact"/>
        <w:rPr>
          <w:sz w:val="20"/>
          <w:szCs w:val="20"/>
          <w:color w:val="auto"/>
        </w:rPr>
      </w:pPr>
    </w:p>
    <w:p>
      <w:pPr>
        <w:ind w:right="220" w:firstLine="388"/>
        <w:spacing w:after="0" w:line="294" w:lineRule="auto"/>
        <w:rPr>
          <w:sz w:val="20"/>
          <w:szCs w:val="20"/>
          <w:color w:val="auto"/>
        </w:rPr>
      </w:pPr>
      <w:r>
        <w:rPr>
          <w:rFonts w:ascii="Times New Roman" w:cs="Times New Roman" w:eastAsia="Times New Roman" w:hAnsi="Times New Roman"/>
          <w:sz w:val="14"/>
          <w:szCs w:val="14"/>
          <w:color w:val="auto"/>
        </w:rPr>
        <w:t>The unaudited condensed consolidated financial statements should be read in conjunction with the audited consolidated financial statements and notes included in our final prospectus dated April 17, 2019 (Prospectus) filed with the SEC pursuant to Rule 424(b)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40"/>
          </w:cols>
          <w:pgMar w:left="220" w:top="125"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00" w:lineRule="exact"/>
        <w:rPr>
          <w:sz w:val="20"/>
          <w:szCs w:val="20"/>
          <w:color w:val="auto"/>
        </w:rPr>
      </w:pPr>
    </w:p>
    <w:p>
      <w:pPr>
        <w:ind w:right="60" w:firstLine="388"/>
        <w:spacing w:after="0" w:line="264" w:lineRule="auto"/>
        <w:rPr>
          <w:sz w:val="20"/>
          <w:szCs w:val="20"/>
          <w:color w:val="auto"/>
        </w:rPr>
      </w:pPr>
      <w:r>
        <w:rPr>
          <w:rFonts w:ascii="Times New Roman" w:cs="Times New Roman" w:eastAsia="Times New Roman" w:hAnsi="Times New Roman"/>
          <w:sz w:val="14"/>
          <w:szCs w:val="14"/>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accounts receivable allowances, the useful lives of long-lived assets, the incremental borrowing rate for operating leases, the valuation of derivative liabilities, the value of common stock and other assumptions used to measure stock-based compensation expense, sales and other tax liabilities, the valuation of deferred income tax assets and uncertain tax positions. Actual results could differ from those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Summary of Significant Accounting Policies</w:t>
      </w:r>
    </w:p>
    <w:p>
      <w:pPr>
        <w:spacing w:after="0" w:line="100" w:lineRule="exact"/>
        <w:rPr>
          <w:sz w:val="20"/>
          <w:szCs w:val="20"/>
          <w:color w:val="auto"/>
        </w:rPr>
      </w:pPr>
    </w:p>
    <w:p>
      <w:pPr>
        <w:ind w:right="840" w:firstLine="388"/>
        <w:spacing w:after="0" w:line="294" w:lineRule="auto"/>
        <w:rPr>
          <w:sz w:val="20"/>
          <w:szCs w:val="20"/>
          <w:color w:val="auto"/>
        </w:rPr>
      </w:pPr>
      <w:r>
        <w:rPr>
          <w:rFonts w:ascii="Times New Roman" w:cs="Times New Roman" w:eastAsia="Times New Roman" w:hAnsi="Times New Roman"/>
          <w:sz w:val="14"/>
          <w:szCs w:val="14"/>
          <w:color w:val="auto"/>
        </w:rPr>
        <w:t>Our significant accounting policies are discussed in Note 1. “Summary of Business and Significant Accounting Policies” in the Notes to Consolidated Financial Statements in our Prospectus. There have been no significant changes to these policies during the six months ended July 31, 2019, except as noted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00"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4"/>
          <w:szCs w:val="14"/>
          <w:color w:val="auto"/>
        </w:rPr>
        <w:t>All significant lease arrangements are generally recognized at lease commencement. Operating lease right-of-use (ROU) assets and operating lease liabilities are recognized at commencement. For short term leases (an initial term of 12 months or less), a ROU asset and corresponding lease liability are not recorded and we record rent expense in our condensed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ROU assets also include any initial direct costs incurred and any lease payments made at or before the lease commencement date, less lease incentives received. We currently do not have any finance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 Not Yet Adopted</w:t>
      </w:r>
    </w:p>
    <w:p>
      <w:pPr>
        <w:spacing w:after="0" w:line="98" w:lineRule="exact"/>
        <w:rPr>
          <w:sz w:val="20"/>
          <w:szCs w:val="20"/>
          <w:color w:val="auto"/>
        </w:rPr>
      </w:pPr>
    </w:p>
    <w:p>
      <w:pPr>
        <w:jc w:val="both"/>
        <w:ind w:right="20" w:firstLine="388"/>
        <w:spacing w:after="0" w:line="270" w:lineRule="auto"/>
        <w:rPr>
          <w:sz w:val="20"/>
          <w:szCs w:val="20"/>
          <w:color w:val="auto"/>
        </w:rPr>
      </w:pPr>
      <w:r>
        <w:rPr>
          <w:rFonts w:ascii="Times New Roman" w:cs="Times New Roman" w:eastAsia="Times New Roman" w:hAnsi="Times New Roman"/>
          <w:sz w:val="14"/>
          <w:szCs w:val="14"/>
          <w:color w:val="auto"/>
        </w:rPr>
        <w:t xml:space="preserve">In June 2016, the Financial Accounting Standards Board (FASB) issued Accounting Standards Update (ASU) No. 2016-13 (Topic 326), </w:t>
      </w:r>
      <w:r>
        <w:rPr>
          <w:rFonts w:ascii="Times New Roman" w:cs="Times New Roman" w:eastAsia="Times New Roman" w:hAnsi="Times New Roman"/>
          <w:sz w:val="14"/>
          <w:szCs w:val="14"/>
          <w:i w:val="1"/>
          <w:iCs w:val="1"/>
          <w:color w:val="auto"/>
        </w:rPr>
        <w:t>Financial Instruments – Credit Losses: Measurement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Credit Losses on Financial Instruments</w:t>
      </w:r>
      <w:r>
        <w:rPr>
          <w:rFonts w:ascii="Times New Roman" w:cs="Times New Roman" w:eastAsia="Times New Roman" w:hAnsi="Times New Roman"/>
          <w:sz w:val="14"/>
          <w:szCs w:val="14"/>
          <w:color w:val="auto"/>
        </w:rPr>
        <w:t>, which replaces the existing incurred loss impairment model with an expected credit loss model and requires a financial asset measured at amortized cost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 at the net amount expected to be collected. The guidance will be effective for fiscal years beginning after December 15, 2019 and interim periods within those fiscal years. Early adoption is permitted. We are currently evaluating whether the adoption of this standard will have a material impact on our condensed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98" w:lineRule="exact"/>
        <w:rPr>
          <w:sz w:val="20"/>
          <w:szCs w:val="20"/>
          <w:color w:val="auto"/>
        </w:rPr>
      </w:pPr>
    </w:p>
    <w:p>
      <w:pPr>
        <w:ind w:firstLine="388"/>
        <w:spacing w:after="0" w:line="261" w:lineRule="auto"/>
        <w:rPr>
          <w:sz w:val="20"/>
          <w:szCs w:val="20"/>
          <w:color w:val="auto"/>
        </w:rPr>
      </w:pPr>
      <w:r>
        <w:rPr>
          <w:rFonts w:ascii="Times New Roman" w:cs="Times New Roman" w:eastAsia="Times New Roman" w:hAnsi="Times New Roman"/>
          <w:sz w:val="14"/>
          <w:szCs w:val="14"/>
          <w:color w:val="auto"/>
        </w:rPr>
        <w:t xml:space="preserve">In February 2016, the FASB issued ASU No. 2016-2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(ASU 2016-2), which supersedes FASB ASC Topic 840,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840), and makes other conforming amendments to GAAP. ASU 2016-2 requires, among other changes to the lease accounting guidance, lessees to recognize most leases on-balance sheet via a right-of-use asset and lease liability, and additional qualitative and quantitative disclosures. ASU 2016-2 is effective for the annual periods in fiscal years beginning after December 15, 2018, and interim periods therein. We adopted the standard as of February 1, 2019 using the modified retrospective method of applying the new standard at the adoption date. Under this approach, we will continue to report comparative periods presented in the period of adoption under ASC 840. We have elected the package of practical expedients permitted under the transition guidance within the new standard, which allows us to (1) carry forward the historical lease classification, (2) not reassess whether any expired or existing contracts contain leases, and (3) not reassess indirect costs for any existing leases. This election allows us to account for lease components (e.g., fixed payments or variable payments that depend on a rate that can be determined at commencement, including rent for the right to use the asset) together with nonlease components (e.g., other fixed payments that deliver a good or service including common-area maintenance costs) in the calculation of the right-of-use asset and corresponding liability. Adoption of this standard resulted in the recording of ROU assets and total liabilities of $40.5 million and $43.0 million, respectively, with no material impact on retained earnings as of February 1, 2019. See Note 7 for further details.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60"/>
          </w:cols>
          <w:pgMar w:left="220" w:top="125" w:right="21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388"/>
        <w:spacing w:after="0" w:line="270" w:lineRule="auto"/>
        <w:rPr>
          <w:sz w:val="20"/>
          <w:szCs w:val="20"/>
          <w:color w:val="auto"/>
        </w:rPr>
      </w:pPr>
      <w:r>
        <w:rPr>
          <w:rFonts w:ascii="Times New Roman" w:cs="Times New Roman" w:eastAsia="Times New Roman" w:hAnsi="Times New Roman"/>
          <w:sz w:val="14"/>
          <w:szCs w:val="14"/>
          <w:color w:val="auto"/>
        </w:rPr>
        <w:t xml:space="preserve">In June 2018, the FASB issued ASU No. 2018-7, </w:t>
      </w:r>
      <w:r>
        <w:rPr>
          <w:rFonts w:ascii="Times New Roman" w:cs="Times New Roman" w:eastAsia="Times New Roman" w:hAnsi="Times New Roman"/>
          <w:sz w:val="14"/>
          <w:szCs w:val="14"/>
          <w:i w:val="1"/>
          <w:iCs w:val="1"/>
          <w:color w:val="auto"/>
        </w:rPr>
        <w:t>Improvements to Nonemployee Share-Based Payment Accounting</w:t>
      </w:r>
      <w:r>
        <w:rPr>
          <w:rFonts w:ascii="Times New Roman" w:cs="Times New Roman" w:eastAsia="Times New Roman" w:hAnsi="Times New Roman"/>
          <w:sz w:val="14"/>
          <w:szCs w:val="14"/>
          <w:color w:val="auto"/>
        </w:rPr>
        <w:t xml:space="preserve"> (ASU 2018-7). The standard simplifies the accounting for share-based payments granted to nonemployees for goods and services and aligns most of the guidance on such payments to nonemployees with the requirements for share-based payments granted to employees. ASU 2018-7 is effective for the annual periods in fiscal years beginning after December 15, 2018, and interim periods therein, using a modified retrospective approach. We adopted ASU 2018-7 as of February 1, 2019, and our adoption did not have a material impact on the condensed consolidated financial statements.</w:t>
      </w:r>
    </w:p>
    <w:p>
      <w:pPr>
        <w:spacing w:after="0" w:line="138" w:lineRule="exact"/>
        <w:rPr>
          <w:sz w:val="20"/>
          <w:szCs w:val="20"/>
          <w:color w:val="auto"/>
        </w:rPr>
      </w:pPr>
    </w:p>
    <w:p>
      <w:pPr>
        <w:ind w:right="40" w:firstLine="388"/>
        <w:spacing w:after="0" w:line="267" w:lineRule="auto"/>
        <w:rPr>
          <w:sz w:val="20"/>
          <w:szCs w:val="20"/>
          <w:color w:val="auto"/>
        </w:rPr>
      </w:pPr>
      <w:r>
        <w:rPr>
          <w:rFonts w:ascii="Times New Roman" w:cs="Times New Roman" w:eastAsia="Times New Roman" w:hAnsi="Times New Roman"/>
          <w:sz w:val="14"/>
          <w:szCs w:val="14"/>
          <w:color w:val="auto"/>
        </w:rPr>
        <w:t xml:space="preserve">In August 2018, the FASB issued ASU No. 2018-13 (Topic 820), </w:t>
      </w:r>
      <w:r>
        <w:rPr>
          <w:rFonts w:ascii="Times New Roman" w:cs="Times New Roman" w:eastAsia="Times New Roman" w:hAnsi="Times New Roman"/>
          <w:sz w:val="14"/>
          <w:szCs w:val="14"/>
          <w:i w:val="1"/>
          <w:iCs w:val="1"/>
          <w:color w:val="auto"/>
        </w:rPr>
        <w:t>Fair Value Measurement: Disclosure Framework-Changes to the Disclosure Requirements for Fair Value Measurement</w:t>
      </w:r>
      <w:r>
        <w:rPr>
          <w:rFonts w:ascii="Times New Roman" w:cs="Times New Roman" w:eastAsia="Times New Roman" w:hAnsi="Times New Roman"/>
          <w:sz w:val="14"/>
          <w:szCs w:val="14"/>
          <w:color w:val="auto"/>
        </w:rPr>
        <w:t xml:space="preserve"> (ASU 2018-13). The standard no longer requires disclosure of the amount and reasons for transfers between Level 1 and Level 2 of the fair value hierarchy, however public companies will be required to disclose the range and weighted-average used to develop significant unobservable inputs for Level 3 fair value measurements. ASU 2018-13 is effective for the annual periods in fiscal years beginning after December 15, 2019, and interim periods therein, with early adoption permitted. We adopted ASU 2018-13 as of February 1, 2019, and our adoption did not have a material impact on the condensed consolidated financial statements.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2. Revenue Recognition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summarizes revenue by region based on the billing address of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2018</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2019</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018"/>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16"/>
        </w:trPr>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0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220" w:type="dxa"/>
            <w:vAlign w:val="bottom"/>
          </w:tcPr>
          <w:p>
            <w:pPr>
              <w:spacing w:after="0"/>
              <w:rPr>
                <w:sz w:val="10"/>
                <w:szCs w:val="10"/>
                <w:color w:val="auto"/>
              </w:rPr>
            </w:pPr>
          </w:p>
        </w:tc>
        <w:tc>
          <w:tcPr>
            <w:tcW w:w="900" w:type="dxa"/>
            <w:vAlign w:val="bottom"/>
            <w:vMerge w:val="restart"/>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0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220" w:type="dxa"/>
            <w:vAlign w:val="bottom"/>
          </w:tcPr>
          <w:p>
            <w:pPr>
              <w:spacing w:after="0"/>
              <w:rPr>
                <w:sz w:val="10"/>
                <w:szCs w:val="10"/>
                <w:color w:val="auto"/>
              </w:rPr>
            </w:pPr>
          </w:p>
        </w:tc>
        <w:tc>
          <w:tcPr>
            <w:tcW w:w="8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080" w:type="dxa"/>
            <w:vAlign w:val="bottom"/>
            <w:gridSpan w:val="2"/>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220" w:type="dxa"/>
            <w:vAlign w:val="bottom"/>
          </w:tcPr>
          <w:p>
            <w:pPr>
              <w:spacing w:after="0"/>
              <w:rPr>
                <w:sz w:val="10"/>
                <w:szCs w:val="10"/>
                <w:color w:val="auto"/>
              </w:rPr>
            </w:pPr>
          </w:p>
        </w:tc>
        <w:tc>
          <w:tcPr>
            <w:tcW w:w="800" w:type="dxa"/>
            <w:vAlign w:val="bottom"/>
            <w:vMerge w:val="restart"/>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ind w:right="198"/>
              <w:spacing w:after="0" w:line="116"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55"/>
        </w:trPr>
        <w:tc>
          <w:tcPr>
            <w:tcW w:w="1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6"/>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117,098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61,155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215,258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110,715</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193"/>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 (APAC)</w:t>
            </w:r>
          </w:p>
        </w:tc>
        <w:tc>
          <w:tcPr>
            <w:tcW w:w="220" w:type="dxa"/>
            <w:vAlign w:val="bottom"/>
          </w:tcPr>
          <w:p>
            <w:pPr>
              <w:spacing w:after="0"/>
              <w:rPr>
                <w:sz w:val="16"/>
                <w:szCs w:val="16"/>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12,088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6,078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22,529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10,820</w:t>
            </w:r>
          </w:p>
        </w:tc>
        <w:tc>
          <w:tcPr>
            <w:tcW w:w="13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 Middle East, and</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Africa (EMEA)</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16,640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7,293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30,027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w:t>
            </w:r>
          </w:p>
        </w:tc>
        <w:tc>
          <w:tcPr>
            <w:tcW w:w="1340" w:type="dxa"/>
            <w:vAlign w:val="bottom"/>
            <w:tcBorders>
              <w:bottom w:val="single" w:sz="8" w:color="CCEEFF"/>
            </w:tcBorders>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4"/>
        </w:trPr>
        <w:tc>
          <w:tcPr>
            <w:tcW w:w="1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145,826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74,526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267,814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134,596</w:t>
            </w: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3"/>
        </w:trPr>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00" w:lineRule="exact"/>
        <w:rPr>
          <w:sz w:val="20"/>
          <w:szCs w:val="20"/>
          <w:color w:val="auto"/>
        </w:rPr>
      </w:pPr>
    </w:p>
    <w:p>
      <w:pPr>
        <w:ind w:right="160" w:firstLine="388"/>
        <w:spacing w:after="0" w:line="269" w:lineRule="auto"/>
        <w:rPr>
          <w:sz w:val="20"/>
          <w:szCs w:val="20"/>
          <w:color w:val="auto"/>
        </w:rPr>
      </w:pPr>
      <w:r>
        <w:rPr>
          <w:rFonts w:ascii="Times New Roman" w:cs="Times New Roman" w:eastAsia="Times New Roman" w:hAnsi="Times New Roman"/>
          <w:sz w:val="14"/>
          <w:szCs w:val="14"/>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on the condensed consolidated balance sheets was $8.5 million and $7.2 million as of July 31, 2019 and January 31, 2019, respectively.</w:t>
      </w:r>
    </w:p>
    <w:p>
      <w:pPr>
        <w:spacing w:after="0" w:line="140" w:lineRule="exact"/>
        <w:rPr>
          <w:sz w:val="20"/>
          <w:szCs w:val="20"/>
          <w:color w:val="auto"/>
        </w:rPr>
      </w:pPr>
    </w:p>
    <w:p>
      <w:pPr>
        <w:ind w:right="240" w:firstLine="388"/>
        <w:spacing w:after="0" w:line="275" w:lineRule="auto"/>
        <w:rPr>
          <w:sz w:val="20"/>
          <w:szCs w:val="20"/>
          <w:color w:val="auto"/>
        </w:rPr>
      </w:pPr>
      <w:r>
        <w:rPr>
          <w:rFonts w:ascii="Times New Roman" w:cs="Times New Roman" w:eastAsia="Times New Roman" w:hAnsi="Times New Roman"/>
          <w:sz w:val="14"/>
          <w:szCs w:val="14"/>
          <w:color w:val="auto"/>
        </w:rPr>
        <w:t>Contract liabilities consist of deferred revenue. Revenue is deferred when we have the right to invoice in advance of performance under a customer contract. The current portion of deferred revenue balances are recognized over the next 12 months. The amount of revenue recognized during the three months ended July 31, 2019 and 2018 that was included in deferred revenue at the beginning of each period was $64.6 million and $30.6 million, respectively, and $90.7 million and $38.9 million during the six months ended July 31, 2019 and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w:t>
      </w:r>
    </w:p>
    <w:p>
      <w:pPr>
        <w:spacing w:after="0" w:line="100" w:lineRule="exact"/>
        <w:rPr>
          <w:sz w:val="20"/>
          <w:szCs w:val="20"/>
          <w:color w:val="auto"/>
        </w:rPr>
      </w:pPr>
    </w:p>
    <w:p>
      <w:pPr>
        <w:ind w:firstLine="388"/>
        <w:spacing w:after="0" w:line="269" w:lineRule="auto"/>
        <w:rPr>
          <w:sz w:val="20"/>
          <w:szCs w:val="20"/>
          <w:color w:val="auto"/>
        </w:rPr>
      </w:pPr>
      <w:r>
        <w:rPr>
          <w:rFonts w:ascii="Times New Roman" w:cs="Times New Roman" w:eastAsia="Times New Roman" w:hAnsi="Times New Roman"/>
          <w:sz w:val="14"/>
          <w:szCs w:val="14"/>
          <w:color w:val="auto"/>
        </w:rPr>
        <w:t>The terms of our subscription agreements are monthly, annual, and multi-year, and we may bill for the full term in advance or on an annual or monthly basis, depending on the customer preference. As of July 31, 2019, the aggregate amount of the transaction price allocated to remaining performance obligations was $457.6 million, which consists of both billed consideration in the amount of $181.4 million and unbilled consideration in the amount of $276.2 million that we expect to recognize as revenue. We expect to recognize 62% of our remaining performance obligations as revenue over the next 12 months, and the remainder thereafter.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3. Cash Equivalents and Marketable Securities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As of July 31, 2019 and January 31, 2019, our cash equivalents and marketable securities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July 31, 2019</w:t>
            </w: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5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960" w:type="dxa"/>
            <w:vAlign w:val="bottom"/>
          </w:tcPr>
          <w:p>
            <w:pPr>
              <w:jc w:val="center"/>
              <w:ind w:left="317"/>
              <w:spacing w:after="0" w:line="116" w:lineRule="exact"/>
              <w:rPr>
                <w:sz w:val="20"/>
                <w:szCs w:val="20"/>
                <w:color w:val="auto"/>
              </w:rPr>
            </w:pPr>
            <w:r>
              <w:rPr>
                <w:rFonts w:ascii="Times New Roman" w:cs="Times New Roman" w:eastAsia="Times New Roman" w:hAnsi="Times New Roman"/>
                <w:sz w:val="11"/>
                <w:szCs w:val="11"/>
                <w:b w:val="1"/>
                <w:bCs w:val="1"/>
                <w:color w:val="auto"/>
              </w:rPr>
              <w:t>Gross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jc w:val="center"/>
              <w:ind w:right="500"/>
              <w:spacing w:after="0" w:line="116"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10"/>
                <w:szCs w:val="10"/>
                <w:color w:val="auto"/>
              </w:rPr>
            </w:pPr>
          </w:p>
        </w:tc>
        <w:tc>
          <w:tcPr>
            <w:tcW w:w="1100" w:type="dxa"/>
            <w:vAlign w:val="bottom"/>
          </w:tcPr>
          <w:p>
            <w:pPr>
              <w:jc w:val="center"/>
              <w:ind w:right="172"/>
              <w:spacing w:after="0" w:line="116"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tcPr>
          <w:p>
            <w:pPr>
              <w:jc w:val="center"/>
              <w:ind w:left="317"/>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jc w:val="center"/>
              <w:ind w:right="500"/>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0"/>
                <w:szCs w:val="10"/>
                <w:color w:val="auto"/>
              </w:rPr>
            </w:pPr>
          </w:p>
        </w:tc>
        <w:tc>
          <w:tcPr>
            <w:tcW w:w="1100" w:type="dxa"/>
            <w:vAlign w:val="bottom"/>
          </w:tcPr>
          <w:p>
            <w:pPr>
              <w:jc w:val="center"/>
              <w:ind w:right="172"/>
              <w:spacing w:after="0" w:line="119" w:lineRule="exact"/>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95,577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95,577</w:t>
            </w:r>
          </w:p>
        </w:tc>
        <w:tc>
          <w:tcPr>
            <w:tcW w:w="0" w:type="dxa"/>
            <w:vAlign w:val="bottom"/>
          </w:tcPr>
          <w:p>
            <w:pPr>
              <w:spacing w:after="0"/>
              <w:rPr>
                <w:sz w:val="1"/>
                <w:szCs w:val="1"/>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14,239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14,239</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4,900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4,900</w:t>
            </w:r>
          </w:p>
        </w:tc>
        <w:tc>
          <w:tcPr>
            <w:tcW w:w="0" w:type="dxa"/>
            <w:vAlign w:val="bottom"/>
          </w:tcPr>
          <w:p>
            <w:pPr>
              <w:spacing w:after="0"/>
              <w:rPr>
                <w:sz w:val="1"/>
                <w:szCs w:val="1"/>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19,485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19,487</w:t>
            </w:r>
          </w:p>
        </w:tc>
        <w:tc>
          <w:tcPr>
            <w:tcW w:w="0" w:type="dxa"/>
            <w:vAlign w:val="bottom"/>
          </w:tcPr>
          <w:p>
            <w:pPr>
              <w:spacing w:after="0"/>
              <w:rPr>
                <w:sz w:val="1"/>
                <w:szCs w:val="1"/>
                <w:color w:val="auto"/>
              </w:rPr>
            </w:pPr>
          </w:p>
        </w:tc>
      </w:tr>
      <w:tr>
        <w:trPr>
          <w:trHeight w:val="23"/>
        </w:trPr>
        <w:tc>
          <w:tcPr>
            <w:tcW w:w="5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5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134,201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134,203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rPr>
              <w:t>54,007</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040" w:type="dxa"/>
            <w:vAlign w:val="bottom"/>
            <w:gridSpan w:val="2"/>
          </w:tcPr>
          <w:p>
            <w:pPr>
              <w:ind w:left="6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100" w:type="dxa"/>
            <w:vAlign w:val="bottom"/>
          </w:tcPr>
          <w:p>
            <w:pPr>
              <w:jc w:val="right"/>
              <w:ind w:right="92"/>
              <w:spacing w:after="0" w:line="156" w:lineRule="exact"/>
              <w:rPr>
                <w:sz w:val="20"/>
                <w:szCs w:val="20"/>
                <w:color w:val="auto"/>
              </w:rPr>
            </w:pPr>
            <w:r>
              <w:rPr>
                <w:rFonts w:ascii="Times New Roman" w:cs="Times New Roman" w:eastAsia="Times New Roman" w:hAnsi="Times New Roman"/>
                <w:sz w:val="14"/>
                <w:szCs w:val="14"/>
                <w:color w:val="auto"/>
              </w:rPr>
              <w:t>54,007</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18,399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18,399</w:t>
            </w:r>
          </w:p>
        </w:tc>
        <w:tc>
          <w:tcPr>
            <w:tcW w:w="0" w:type="dxa"/>
            <w:vAlign w:val="bottom"/>
          </w:tcPr>
          <w:p>
            <w:pPr>
              <w:spacing w:after="0"/>
              <w:rPr>
                <w:sz w:val="1"/>
                <w:szCs w:val="1"/>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4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269,376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5"/>
              </w:rPr>
              <w:t>125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269,209</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97,709</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97,762</w:t>
            </w:r>
          </w:p>
        </w:tc>
        <w:tc>
          <w:tcPr>
            <w:tcW w:w="0" w:type="dxa"/>
            <w:vAlign w:val="bottom"/>
          </w:tcPr>
          <w:p>
            <w:pPr>
              <w:spacing w:after="0"/>
              <w:rPr>
                <w:sz w:val="1"/>
                <w:szCs w:val="1"/>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101,959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102,003</w:t>
            </w:r>
          </w:p>
        </w:tc>
        <w:tc>
          <w:tcPr>
            <w:tcW w:w="0" w:type="dxa"/>
            <w:vAlign w:val="bottom"/>
          </w:tcPr>
          <w:p>
            <w:pPr>
              <w:spacing w:after="0"/>
              <w:rPr>
                <w:sz w:val="1"/>
                <w:szCs w:val="1"/>
                <w:color w:val="auto"/>
              </w:rPr>
            </w:pPr>
          </w:p>
        </w:tc>
      </w:tr>
      <w:tr>
        <w:trPr>
          <w:trHeight w:val="23"/>
        </w:trPr>
        <w:tc>
          <w:tcPr>
            <w:tcW w:w="5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5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541,450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95"/>
              </w:rPr>
              <w:t>246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541,380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January 31, 2019</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960" w:type="dxa"/>
            <w:vAlign w:val="bottom"/>
          </w:tcPr>
          <w:p>
            <w:pPr>
              <w:jc w:val="center"/>
              <w:ind w:left="317"/>
              <w:spacing w:after="0" w:line="116" w:lineRule="exact"/>
              <w:rPr>
                <w:sz w:val="20"/>
                <w:szCs w:val="20"/>
                <w:color w:val="auto"/>
              </w:rPr>
            </w:pPr>
            <w:r>
              <w:rPr>
                <w:rFonts w:ascii="Times New Roman" w:cs="Times New Roman" w:eastAsia="Times New Roman" w:hAnsi="Times New Roman"/>
                <w:sz w:val="11"/>
                <w:szCs w:val="11"/>
                <w:b w:val="1"/>
                <w:bCs w:val="1"/>
                <w:color w:val="auto"/>
              </w:rPr>
              <w:t>Gross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jc w:val="center"/>
              <w:ind w:right="500"/>
              <w:spacing w:after="0" w:line="116"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10"/>
                <w:szCs w:val="10"/>
                <w:color w:val="auto"/>
              </w:rPr>
            </w:pPr>
          </w:p>
        </w:tc>
        <w:tc>
          <w:tcPr>
            <w:tcW w:w="1100" w:type="dxa"/>
            <w:vAlign w:val="bottom"/>
          </w:tcPr>
          <w:p>
            <w:pPr>
              <w:jc w:val="center"/>
              <w:ind w:right="172"/>
              <w:spacing w:after="0" w:line="116"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tcPr>
          <w:p>
            <w:pPr>
              <w:jc w:val="center"/>
              <w:ind w:left="317"/>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jc w:val="center"/>
              <w:ind w:right="500"/>
              <w:spacing w:after="0" w:line="119"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0"/>
                <w:szCs w:val="10"/>
                <w:color w:val="auto"/>
              </w:rPr>
            </w:pPr>
          </w:p>
        </w:tc>
        <w:tc>
          <w:tcPr>
            <w:tcW w:w="1100" w:type="dxa"/>
            <w:vAlign w:val="bottom"/>
          </w:tcPr>
          <w:p>
            <w:pPr>
              <w:jc w:val="center"/>
              <w:ind w:right="172"/>
              <w:spacing w:after="0" w:line="119" w:lineRule="exact"/>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4"/>
        </w:trPr>
        <w:tc>
          <w:tcPr>
            <w:tcW w:w="5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53,267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53,214</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32,675</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32,604</w:t>
            </w:r>
          </w:p>
        </w:tc>
        <w:tc>
          <w:tcPr>
            <w:tcW w:w="0" w:type="dxa"/>
            <w:vAlign w:val="bottom"/>
          </w:tcPr>
          <w:p>
            <w:pPr>
              <w:spacing w:after="0"/>
              <w:rPr>
                <w:sz w:val="1"/>
                <w:szCs w:val="1"/>
                <w:color w:val="auto"/>
              </w:rPr>
            </w:pPr>
          </w:p>
        </w:tc>
      </w:tr>
      <w:tr>
        <w:trPr>
          <w:trHeight w:val="19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24,028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24,017</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1,699</w:t>
            </w:r>
          </w:p>
        </w:tc>
        <w:tc>
          <w:tcPr>
            <w:tcW w:w="0" w:type="dxa"/>
            <w:vAlign w:val="bottom"/>
          </w:tcPr>
          <w:p>
            <w:pPr>
              <w:spacing w:after="0"/>
              <w:rPr>
                <w:sz w:val="1"/>
                <w:szCs w:val="1"/>
                <w:color w:val="auto"/>
              </w:rPr>
            </w:pPr>
          </w:p>
        </w:tc>
      </w:tr>
      <w:tr>
        <w:trPr>
          <w:trHeight w:val="184"/>
        </w:trPr>
        <w:tc>
          <w:tcPr>
            <w:tcW w:w="5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112,912</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112,777</w:t>
            </w:r>
          </w:p>
        </w:tc>
        <w:tc>
          <w:tcPr>
            <w:tcW w:w="0" w:type="dxa"/>
            <w:vAlign w:val="bottom"/>
          </w:tcPr>
          <w:p>
            <w:pPr>
              <w:spacing w:after="0"/>
              <w:rPr>
                <w:sz w:val="1"/>
                <w:szCs w:val="1"/>
                <w:color w:val="auto"/>
              </w:rPr>
            </w:pPr>
          </w:p>
        </w:tc>
      </w:tr>
      <w:tr>
        <w:trPr>
          <w:trHeight w:val="23"/>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40" w:firstLine="388"/>
        <w:spacing w:after="0" w:line="266" w:lineRule="auto"/>
        <w:rPr>
          <w:sz w:val="20"/>
          <w:szCs w:val="20"/>
          <w:color w:val="auto"/>
        </w:rPr>
      </w:pPr>
      <w:r>
        <w:rPr>
          <w:rFonts w:ascii="Times New Roman" w:cs="Times New Roman" w:eastAsia="Times New Roman" w:hAnsi="Times New Roman"/>
          <w:sz w:val="14"/>
          <w:szCs w:val="14"/>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July 31, 2019 and January 31, 2019, are temporary in nature. There were no material realized gains or losses from available-for-sale securities that were reclassified out of accumulated other comprehensive loss for the three and six months ended July 31, 2019 and 2018.</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our marketable securities as of July 31, 2019 and January 31, 2019:</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240" w:type="dxa"/>
            <w:vAlign w:val="bottom"/>
            <w:tcBorders>
              <w:bottom w:val="single" w:sz="8" w:color="auto"/>
            </w:tcBorders>
          </w:tcPr>
          <w:p>
            <w:pPr>
              <w:spacing w:after="0"/>
              <w:rPr>
                <w:sz w:val="13"/>
                <w:szCs w:val="13"/>
                <w:color w:val="auto"/>
              </w:rPr>
            </w:pPr>
          </w:p>
        </w:tc>
      </w:tr>
      <w:tr>
        <w:trPr>
          <w:trHeight w:val="116"/>
        </w:trPr>
        <w:tc>
          <w:tcPr>
            <w:tcW w:w="8000" w:type="dxa"/>
            <w:vAlign w:val="bottom"/>
          </w:tcPr>
          <w:p>
            <w:pPr>
              <w:spacing w:after="0"/>
              <w:rPr>
                <w:sz w:val="10"/>
                <w:szCs w:val="10"/>
                <w:color w:val="auto"/>
              </w:rPr>
            </w:pPr>
          </w:p>
        </w:tc>
        <w:tc>
          <w:tcPr>
            <w:tcW w:w="10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July 31,</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jc w:val="right"/>
              <w:ind w:right="474"/>
              <w:spacing w:after="0" w:line="116" w:lineRule="exact"/>
              <w:rPr>
                <w:sz w:val="20"/>
                <w:szCs w:val="20"/>
                <w:color w:val="auto"/>
              </w:rPr>
            </w:pPr>
            <w:r>
              <w:rPr>
                <w:rFonts w:ascii="Times New Roman" w:cs="Times New Roman" w:eastAsia="Times New Roman" w:hAnsi="Times New Roman"/>
                <w:sz w:val="11"/>
                <w:szCs w:val="11"/>
                <w:b w:val="1"/>
                <w:bCs w:val="1"/>
                <w:color w:val="auto"/>
              </w:rPr>
              <w:t>January 31,</w:t>
            </w:r>
          </w:p>
        </w:tc>
      </w:tr>
      <w:tr>
        <w:trPr>
          <w:trHeight w:val="155"/>
        </w:trPr>
        <w:tc>
          <w:tcPr>
            <w:tcW w:w="8000" w:type="dxa"/>
            <w:vAlign w:val="bottom"/>
          </w:tcPr>
          <w:p>
            <w:pPr>
              <w:spacing w:after="0"/>
              <w:rPr>
                <w:sz w:val="13"/>
                <w:szCs w:val="13"/>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85"/>
        </w:trPr>
        <w:tc>
          <w:tcPr>
            <w:tcW w:w="8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40" w:type="dxa"/>
            <w:vAlign w:val="bottom"/>
          </w:tcPr>
          <w:p>
            <w:pPr>
              <w:spacing w:after="0"/>
              <w:rPr>
                <w:sz w:val="16"/>
                <w:szCs w:val="16"/>
                <w:color w:val="auto"/>
              </w:rPr>
            </w:pPr>
          </w:p>
        </w:tc>
      </w:tr>
      <w:tr>
        <w:trPr>
          <w:trHeight w:val="200"/>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than one year</w:t>
            </w:r>
          </w:p>
        </w:tc>
        <w:tc>
          <w:tcPr>
            <w:tcW w:w="1020" w:type="dxa"/>
            <w:vAlign w:val="bottom"/>
            <w:tcBorders>
              <w:bottom w:val="single" w:sz="8" w:color="CFF0FC"/>
            </w:tcBorders>
            <w:shd w:val="clear" w:color="auto" w:fill="CFF0FC"/>
          </w:tcPr>
          <w:p>
            <w:pPr>
              <w:jc w:val="right"/>
              <w:ind w:right="87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421,166</w:t>
            </w:r>
          </w:p>
        </w:tc>
        <w:tc>
          <w:tcPr>
            <w:tcW w:w="640" w:type="dxa"/>
            <w:vAlign w:val="bottom"/>
            <w:tcBorders>
              <w:bottom w:val="single" w:sz="8" w:color="CFF0FC"/>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FF0FC"/>
            </w:tcBorders>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85,077</w:t>
            </w: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in one to five years</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27,700</w:t>
            </w:r>
          </w:p>
        </w:tc>
      </w:tr>
      <w:tr>
        <w:trPr>
          <w:trHeight w:val="23"/>
        </w:trPr>
        <w:tc>
          <w:tcPr>
            <w:tcW w:w="80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1"/>
        </w:trPr>
        <w:tc>
          <w:tcPr>
            <w:tcW w:w="8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CFF0FC"/>
            </w:tcBorders>
            <w:shd w:val="clear" w:color="auto" w:fill="CFF0FC"/>
          </w:tcPr>
          <w:p>
            <w:pPr>
              <w:jc w:val="right"/>
              <w:ind w:right="87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541,380</w:t>
            </w:r>
          </w:p>
        </w:tc>
        <w:tc>
          <w:tcPr>
            <w:tcW w:w="640" w:type="dxa"/>
            <w:vAlign w:val="bottom"/>
            <w:tcBorders>
              <w:bottom w:val="single" w:sz="8" w:color="CFF0FC"/>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FF0FC"/>
            </w:tcBorders>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112,777</w:t>
            </w: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20"/>
          </w:cols>
          <w:pgMar w:left="220" w:top="125" w:right="2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4. Fair Value Measurements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presents information about our financial instruments that are measured at fair value on a recurring basis using the input categories further discussed in Note 1. “Summary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and Significant Accounting Policies” in the Notes to Consolidated Financial Statements in our Prospectus: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1"/>
                <w:szCs w:val="11"/>
                <w:b w:val="1"/>
                <w:bCs w:val="1"/>
                <w:color w:val="auto"/>
              </w:rPr>
              <w:t>July 31, 2019</w:t>
            </w: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5"/>
          </w:tcPr>
          <w:p>
            <w:pPr>
              <w:ind w:left="7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95,577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95,577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14,239</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14,239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19,487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19,487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Cash equivalents</w:t>
            </w:r>
          </w:p>
        </w:tc>
        <w:tc>
          <w:tcPr>
            <w:tcW w:w="1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134,203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95,577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38,626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54,007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54,007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18,399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18,399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269,209</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269,209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97,762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97,762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102,003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102,003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Marketable securities</w:t>
            </w:r>
          </w:p>
        </w:tc>
        <w:tc>
          <w:tcPr>
            <w:tcW w:w="1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541,380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541,380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 of deposit</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2,044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2,044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 assets, non-current</w:t>
            </w:r>
          </w:p>
        </w:tc>
        <w:tc>
          <w:tcPr>
            <w:tcW w:w="1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677,727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95,577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582,150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January 31, 2019</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5"/>
          </w:tcPr>
          <w:p>
            <w:pPr>
              <w:ind w:left="7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6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equivalents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1,243</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53,214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32,604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24,017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Marketable securities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112,777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112,777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of deposit</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2,144</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assets, non-current</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2,144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1480" w:type="dxa"/>
            <w:vAlign w:val="bottom"/>
            <w:gridSpan w:val="2"/>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115,199</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115,121</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42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Financial Liabilities:</w:t>
            </w: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promissory notes – derivative liabilities</w:t>
            </w:r>
          </w:p>
        </w:tc>
        <w:tc>
          <w:tcPr>
            <w:tcW w:w="16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financial liabilities</w:t>
            </w:r>
          </w:p>
        </w:tc>
        <w:tc>
          <w:tcPr>
            <w:tcW w:w="1480" w:type="dxa"/>
            <w:vAlign w:val="bottom"/>
            <w:gridSpan w:val="2"/>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3"/>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5" w:right="21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4"/>
          <w:szCs w:val="14"/>
          <w:color w:val="auto"/>
        </w:rPr>
        <w:t>We classify our highly liquid money market funds within Level 1 of the fair value hierarchy because they are valued based on quoted market prices in active markets. We classify our commercial paper, agency bonds, corporate bonds, corporate debt securities, U.S. government agency securities, treasury bills, and certificates of deposit within Level 2 because they are valued using inputs other than quoted prices which are directly or indirectly observable in the market, including readily-available pricing sources for the identical underlying security which may not be actively traded. We classify the derivative liabilities as Level 3 due to the lack of relevant observable market data over fair value inputs such as the probability-weighting of the various scenarios that can impact settlement of the arrangement.</w:t>
      </w:r>
    </w:p>
    <w:p>
      <w:pPr>
        <w:spacing w:after="0" w:line="56" w:lineRule="exact"/>
        <w:rPr>
          <w:sz w:val="20"/>
          <w:szCs w:val="20"/>
          <w:color w:val="auto"/>
        </w:rPr>
      </w:pPr>
    </w:p>
    <w:p>
      <w:pPr>
        <w:ind w:right="180" w:firstLine="388"/>
        <w:spacing w:after="0" w:line="285" w:lineRule="auto"/>
        <w:rPr>
          <w:sz w:val="20"/>
          <w:szCs w:val="20"/>
          <w:color w:val="auto"/>
        </w:rPr>
      </w:pPr>
      <w:r>
        <w:rPr>
          <w:rFonts w:ascii="Times New Roman" w:cs="Times New Roman" w:eastAsia="Times New Roman" w:hAnsi="Times New Roman"/>
          <w:sz w:val="14"/>
          <w:szCs w:val="14"/>
          <w:color w:val="auto"/>
        </w:rPr>
        <w:t>As discussed in Note 6 below, in connection with the IPO, the fair value of our derivative liabilities associated with our convertible promissory notes were extinguished. The following table sets forth a summary of the changes in the fair value of our Level 3 financial instruments as follows:</w:t>
      </w:r>
    </w:p>
    <w:tbl>
      <w:tblPr>
        <w:tblLayout w:type="fixed"/>
        <w:tblInd w:w="0" w:type="dxa"/>
        <w:tblCellMar>
          <w:top w:w="0" w:type="dxa"/>
          <w:left w:w="0" w:type="dxa"/>
          <w:bottom w:w="0" w:type="dxa"/>
          <w:right w:w="0" w:type="dxa"/>
        </w:tblCellMar>
      </w:tblPr>
      <w:tr>
        <w:trPr>
          <w:trHeight w:val="119"/>
        </w:trPr>
        <w:tc>
          <w:tcPr>
            <w:tcW w:w="8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jc w:val="center"/>
              <w:ind w:right="473"/>
              <w:spacing w:after="0" w:line="120" w:lineRule="exact"/>
              <w:rPr>
                <w:sz w:val="20"/>
                <w:szCs w:val="20"/>
                <w:color w:val="auto"/>
              </w:rPr>
            </w:pPr>
            <w:r>
              <w:rPr>
                <w:rFonts w:ascii="Times New Roman" w:cs="Times New Roman" w:eastAsia="Times New Roman" w:hAnsi="Times New Roman"/>
                <w:sz w:val="11"/>
                <w:szCs w:val="11"/>
                <w:b w:val="1"/>
                <w:bCs w:val="1"/>
                <w:color w:val="auto"/>
              </w:rPr>
              <w:t>Derivative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473"/>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right="47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January 31, 2019</w:t>
            </w:r>
          </w:p>
        </w:tc>
        <w:tc>
          <w:tcPr>
            <w:tcW w:w="10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Extinguishment of derivative liabilities from the convertible promissory notes in connection with the IPO</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July 31, 2019</w:t>
            </w:r>
          </w:p>
        </w:tc>
        <w:tc>
          <w:tcPr>
            <w:tcW w:w="10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5. Balance Sheet Components</w:t>
            </w:r>
          </w:p>
        </w:tc>
        <w:tc>
          <w:tcPr>
            <w:tcW w:w="10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80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0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Property and Equipment, Net</w:t>
            </w: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0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80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00" w:type="dxa"/>
            <w:vAlign w:val="bottom"/>
          </w:tcPr>
          <w:p>
            <w:pPr>
              <w:spacing w:after="0"/>
              <w:rPr>
                <w:sz w:val="10"/>
                <w:szCs w:val="10"/>
                <w:color w:val="auto"/>
              </w:rPr>
            </w:pPr>
          </w:p>
        </w:tc>
        <w:tc>
          <w:tcPr>
            <w:tcW w:w="10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July 31,</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jc w:val="right"/>
              <w:ind w:right="433"/>
              <w:spacing w:after="0" w:line="116" w:lineRule="exact"/>
              <w:rPr>
                <w:sz w:val="20"/>
                <w:szCs w:val="20"/>
                <w:color w:val="auto"/>
              </w:rPr>
            </w:pPr>
            <w:r>
              <w:rPr>
                <w:rFonts w:ascii="Times New Roman" w:cs="Times New Roman" w:eastAsia="Times New Roman" w:hAnsi="Times New Roman"/>
                <w:sz w:val="11"/>
                <w:szCs w:val="11"/>
                <w:b w:val="1"/>
                <w:bCs w:val="1"/>
                <w:color w:val="auto"/>
              </w:rPr>
              <w:t>January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000" w:type="dxa"/>
            <w:vAlign w:val="bottom"/>
          </w:tcPr>
          <w:p>
            <w:pPr>
              <w:spacing w:after="0"/>
              <w:rPr>
                <w:sz w:val="13"/>
                <w:szCs w:val="13"/>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2019</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2019</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40" w:type="dxa"/>
            <w:vAlign w:val="bottom"/>
            <w:gridSpan w:val="6"/>
          </w:tcPr>
          <w:p>
            <w:pPr>
              <w:jc w:val="right"/>
              <w:ind w:right="125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1040" w:type="dxa"/>
            <w:vAlign w:val="bottom"/>
            <w:tcBorders>
              <w:bottom w:val="single" w:sz="8" w:color="CFF0FC"/>
            </w:tcBorders>
            <w:shd w:val="clear" w:color="auto" w:fill="CFF0FC"/>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43,877</w:t>
            </w:r>
          </w:p>
        </w:tc>
        <w:tc>
          <w:tcPr>
            <w:tcW w:w="38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32,515</w:t>
            </w:r>
          </w:p>
        </w:tc>
        <w:tc>
          <w:tcPr>
            <w:tcW w:w="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15,290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7,660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0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7,941</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6,575</w:t>
            </w:r>
          </w:p>
        </w:tc>
        <w:tc>
          <w:tcPr>
            <w:tcW w:w="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0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0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70,566</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48,743</w:t>
            </w:r>
          </w:p>
        </w:tc>
        <w:tc>
          <w:tcPr>
            <w:tcW w:w="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04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(18,579)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(11,468)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40" w:type="dxa"/>
            <w:vAlign w:val="bottom"/>
            <w:shd w:val="clear" w:color="auto" w:fill="CFF0FC"/>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51,987</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37,275</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right="20" w:firstLine="388"/>
        <w:spacing w:after="0" w:line="294" w:lineRule="auto"/>
        <w:rPr>
          <w:sz w:val="20"/>
          <w:szCs w:val="20"/>
          <w:color w:val="auto"/>
        </w:rPr>
      </w:pPr>
      <w:r>
        <w:rPr>
          <w:rFonts w:ascii="Times New Roman" w:cs="Times New Roman" w:eastAsia="Times New Roman" w:hAnsi="Times New Roman"/>
          <w:sz w:val="14"/>
          <w:szCs w:val="14"/>
          <w:color w:val="auto"/>
        </w:rPr>
        <w:t>Depreciation and amortization expense was $3.8 million and $1.5 million for the three months ended July 31, 2019 and 2018, respectively, and $7.2 million and $2.6 million for the six months ended July 31, 2019 and 2018,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Accrued Expenses and Other Current Liabilities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3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July 31,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jc w:val="right"/>
              <w:ind w:right="471"/>
              <w:spacing w:after="0" w:line="116" w:lineRule="exact"/>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2019</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4700" w:type="dxa"/>
            <w:vAlign w:val="bottom"/>
            <w:tcBorders>
              <w:bottom w:val="single" w:sz="8" w:color="CCEEFF"/>
            </w:tcBorders>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30,339</w:t>
            </w:r>
          </w:p>
        </w:tc>
        <w:tc>
          <w:tcPr>
            <w:tcW w:w="6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12,004</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3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13,596</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6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tax liabilities</w:t>
            </w:r>
          </w:p>
        </w:tc>
        <w:tc>
          <w:tcPr>
            <w:tcW w:w="3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for early exercise of common stock options</w:t>
            </w:r>
          </w:p>
        </w:tc>
        <w:tc>
          <w:tcPr>
            <w:tcW w:w="36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3,692</w:t>
            </w:r>
          </w:p>
        </w:tc>
        <w:tc>
          <w:tcPr>
            <w:tcW w:w="0" w:type="dxa"/>
            <w:vAlign w:val="bottom"/>
          </w:tcPr>
          <w:p>
            <w:pPr>
              <w:spacing w:after="0"/>
              <w:rPr>
                <w:sz w:val="1"/>
                <w:szCs w:val="1"/>
                <w:color w:val="auto"/>
              </w:rPr>
            </w:pPr>
          </w:p>
        </w:tc>
      </w:tr>
      <w:tr>
        <w:trPr>
          <w:trHeight w:val="23"/>
        </w:trPr>
        <w:tc>
          <w:tcPr>
            <w:tcW w:w="43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700" w:type="dxa"/>
            <w:vAlign w:val="bottom"/>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64,586</w:t>
            </w:r>
          </w:p>
        </w:tc>
        <w:tc>
          <w:tcPr>
            <w:tcW w:w="6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32,256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128"/>
              <w:spacing w:after="0"/>
              <w:rPr>
                <w:sz w:val="20"/>
                <w:szCs w:val="20"/>
                <w:color w:val="auto"/>
              </w:rPr>
            </w:pPr>
            <w:r>
              <w:rPr>
                <w:rFonts w:ascii="Times New Roman" w:cs="Times New Roman" w:eastAsia="Times New Roman" w:hAnsi="Times New Roman"/>
                <w:sz w:val="14"/>
                <w:szCs w:val="14"/>
                <w:color w:val="auto"/>
              </w:rPr>
              <w:t>15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3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125" w:right="25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Liabilities, Non-Current</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Other liabilities, non-current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240" w:type="dxa"/>
            <w:vAlign w:val="bottom"/>
            <w:tcBorders>
              <w:bottom w:val="single" w:sz="8" w:color="auto"/>
            </w:tcBorders>
          </w:tcPr>
          <w:p>
            <w:pPr>
              <w:spacing w:after="0"/>
              <w:rPr>
                <w:sz w:val="13"/>
                <w:szCs w:val="13"/>
                <w:color w:val="auto"/>
              </w:rPr>
            </w:pPr>
          </w:p>
        </w:tc>
      </w:tr>
      <w:tr>
        <w:trPr>
          <w:trHeight w:val="116"/>
        </w:trPr>
        <w:tc>
          <w:tcPr>
            <w:tcW w:w="8000" w:type="dxa"/>
            <w:vAlign w:val="bottom"/>
          </w:tcPr>
          <w:p>
            <w:pPr>
              <w:spacing w:after="0"/>
              <w:rPr>
                <w:sz w:val="10"/>
                <w:szCs w:val="10"/>
                <w:color w:val="auto"/>
              </w:rPr>
            </w:pPr>
          </w:p>
        </w:tc>
        <w:tc>
          <w:tcPr>
            <w:tcW w:w="10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July 31,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jc w:val="right"/>
              <w:ind w:right="472"/>
              <w:spacing w:after="0" w:line="116" w:lineRule="exact"/>
              <w:rPr>
                <w:sz w:val="20"/>
                <w:szCs w:val="20"/>
                <w:color w:val="auto"/>
              </w:rPr>
            </w:pPr>
            <w:r>
              <w:rPr>
                <w:rFonts w:ascii="Times New Roman" w:cs="Times New Roman" w:eastAsia="Times New Roman" w:hAnsi="Times New Roman"/>
                <w:sz w:val="11"/>
                <w:szCs w:val="11"/>
                <w:b w:val="1"/>
                <w:bCs w:val="1"/>
                <w:color w:val="auto"/>
              </w:rPr>
              <w:t>January 31,</w:t>
            </w:r>
          </w:p>
        </w:tc>
      </w:tr>
      <w:tr>
        <w:trPr>
          <w:trHeight w:val="155"/>
        </w:trPr>
        <w:tc>
          <w:tcPr>
            <w:tcW w:w="8000" w:type="dxa"/>
            <w:vAlign w:val="bottom"/>
          </w:tcPr>
          <w:p>
            <w:pPr>
              <w:spacing w:after="0"/>
              <w:rPr>
                <w:sz w:val="13"/>
                <w:szCs w:val="13"/>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2019</w:t>
            </w:r>
          </w:p>
        </w:tc>
      </w:tr>
      <w:tr>
        <w:trPr>
          <w:trHeight w:val="185"/>
        </w:trPr>
        <w:tc>
          <w:tcPr>
            <w:tcW w:w="8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gridSpan w:val="4"/>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40" w:type="dxa"/>
            <w:vAlign w:val="bottom"/>
          </w:tcPr>
          <w:p>
            <w:pPr>
              <w:spacing w:after="0"/>
              <w:rPr>
                <w:sz w:val="16"/>
                <w:szCs w:val="16"/>
                <w:color w:val="auto"/>
              </w:rPr>
            </w:pPr>
          </w:p>
        </w:tc>
      </w:tr>
      <w:tr>
        <w:trPr>
          <w:trHeight w:val="20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tax liabilities</w:t>
            </w:r>
          </w:p>
        </w:tc>
        <w:tc>
          <w:tcPr>
            <w:tcW w:w="1060" w:type="dxa"/>
            <w:vAlign w:val="bottom"/>
            <w:tcBorders>
              <w:bottom w:val="single" w:sz="8" w:color="CCEEFF"/>
            </w:tcBorders>
            <w:shd w:val="clear" w:color="auto" w:fill="CCEEFF"/>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29,182</w:t>
            </w:r>
          </w:p>
        </w:tc>
        <w:tc>
          <w:tcPr>
            <w:tcW w:w="6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20,817</w:t>
            </w: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promissory notes, net of debt discount</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14,858</w:t>
            </w:r>
          </w:p>
        </w:tc>
      </w:tr>
      <w:tr>
        <w:trPr>
          <w:trHeight w:val="23"/>
        </w:trPr>
        <w:tc>
          <w:tcPr>
            <w:tcW w:w="8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rent liabilities</w:t>
            </w: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2,314</w:t>
            </w: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163</w:t>
            </w:r>
          </w:p>
        </w:tc>
      </w:tr>
      <w:tr>
        <w:trPr>
          <w:trHeight w:val="23"/>
        </w:trPr>
        <w:tc>
          <w:tcPr>
            <w:tcW w:w="8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1,308</w:t>
            </w:r>
          </w:p>
        </w:tc>
      </w:tr>
      <w:tr>
        <w:trPr>
          <w:trHeight w:val="206"/>
        </w:trPr>
        <w:tc>
          <w:tcPr>
            <w:tcW w:w="8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06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31,211</w:t>
            </w: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39,460</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6. Convertible Promissory Notes</w:t>
      </w:r>
    </w:p>
    <w:p>
      <w:pPr>
        <w:spacing w:after="0" w:line="102" w:lineRule="exact"/>
        <w:rPr>
          <w:sz w:val="20"/>
          <w:szCs w:val="20"/>
          <w:color w:val="auto"/>
        </w:rPr>
      </w:pPr>
    </w:p>
    <w:p>
      <w:pPr>
        <w:ind w:right="80" w:firstLine="388"/>
        <w:spacing w:after="0" w:line="264" w:lineRule="auto"/>
        <w:rPr>
          <w:sz w:val="20"/>
          <w:szCs w:val="20"/>
          <w:color w:val="auto"/>
        </w:rPr>
      </w:pPr>
      <w:r>
        <w:rPr>
          <w:rFonts w:ascii="Times New Roman" w:cs="Times New Roman" w:eastAsia="Times New Roman" w:hAnsi="Times New Roman"/>
          <w:sz w:val="14"/>
          <w:szCs w:val="14"/>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convertible notes” throughout the notes to the condensed consolidated financial statements, unless otherwise stated. The terms of the convertible notes provided that they would automatically convert into shares of Class A common stock upon an IPO at a conversion price equal to the IPO price.</w:t>
      </w:r>
    </w:p>
    <w:p>
      <w:pPr>
        <w:spacing w:after="0" w:line="144" w:lineRule="exact"/>
        <w:rPr>
          <w:sz w:val="20"/>
          <w:szCs w:val="20"/>
          <w:color w:val="auto"/>
        </w:rPr>
      </w:pPr>
    </w:p>
    <w:p>
      <w:pPr>
        <w:ind w:firstLine="388"/>
        <w:spacing w:after="0" w:line="275" w:lineRule="auto"/>
        <w:rPr>
          <w:sz w:val="20"/>
          <w:szCs w:val="20"/>
          <w:color w:val="auto"/>
        </w:rPr>
      </w:pPr>
      <w:r>
        <w:rPr>
          <w:rFonts w:ascii="Times New Roman" w:cs="Times New Roman" w:eastAsia="Times New Roman" w:hAnsi="Times New Roman"/>
          <w:sz w:val="14"/>
          <w:szCs w:val="14"/>
          <w:color w:val="auto"/>
        </w:rPr>
        <w:t>In connection with the IPO, the convertible notes and accrued interest automatically converted into 426,223 shares of Class A common stock based on the IPO price of $36.00 per share. As a result of the conversion, the related $0.2 million derivative liabilities and the $0.1 million unamortized debt discount of the convertible notes were recognized in other income, net and interest income, net, respectively, on the condensed consolidated statements of operations during the six months ended July 31, 2019.</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7. Operating Leases</w:t>
      </w:r>
    </w:p>
    <w:p>
      <w:pPr>
        <w:spacing w:after="0" w:line="102" w:lineRule="exact"/>
        <w:rPr>
          <w:sz w:val="20"/>
          <w:szCs w:val="20"/>
          <w:color w:val="auto"/>
        </w:rPr>
      </w:pPr>
    </w:p>
    <w:p>
      <w:pPr>
        <w:jc w:val="both"/>
        <w:ind w:right="180" w:firstLine="388"/>
        <w:spacing w:after="0" w:line="275" w:lineRule="auto"/>
        <w:rPr>
          <w:sz w:val="20"/>
          <w:szCs w:val="20"/>
          <w:color w:val="auto"/>
        </w:rPr>
      </w:pPr>
      <w:r>
        <w:rPr>
          <w:rFonts w:ascii="Times New Roman" w:cs="Times New Roman" w:eastAsia="Times New Roman" w:hAnsi="Times New Roman"/>
          <w:sz w:val="14"/>
          <w:szCs w:val="14"/>
          <w:color w:val="auto"/>
        </w:rPr>
        <w:t>We have entered into various operating lease agreements for office space, with remaining contractual periods of up to 10 years. Many of our leases contain one or more options to extend. As leases approach maturity, we consider various factors such as market conditions and the terms of any renewal options that may exist to determine whether we will renew the lease. Operating lease expense for the three and six months ended July 31, 2019 was $2.5 million and $4.9 million, respectively, including short-term lease expense of $0.3 million and $0.5 million, respectively.</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Supplemental balance sheet information as of July 31, 2019, related to operating leases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As of July 31, 2019</w:t>
            </w:r>
          </w:p>
        </w:tc>
        <w:tc>
          <w:tcPr>
            <w:tcW w:w="0" w:type="dxa"/>
            <w:vAlign w:val="bottom"/>
          </w:tcPr>
          <w:p>
            <w:pPr>
              <w:spacing w:after="0"/>
              <w:rPr>
                <w:sz w:val="1"/>
                <w:szCs w:val="1"/>
                <w:color w:val="auto"/>
              </w:rPr>
            </w:pPr>
          </w:p>
        </w:tc>
      </w:tr>
      <w:tr>
        <w:trPr>
          <w:trHeight w:val="152"/>
        </w:trPr>
        <w:tc>
          <w:tcPr>
            <w:tcW w:w="9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51,126</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9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5,277</w:t>
            </w:r>
          </w:p>
        </w:tc>
        <w:tc>
          <w:tcPr>
            <w:tcW w:w="0" w:type="dxa"/>
            <w:vAlign w:val="bottom"/>
          </w:tcPr>
          <w:p>
            <w:pPr>
              <w:spacing w:after="0"/>
              <w:rPr>
                <w:sz w:val="1"/>
                <w:szCs w:val="1"/>
                <w:color w:val="auto"/>
              </w:rPr>
            </w:pPr>
          </w:p>
        </w:tc>
      </w:tr>
      <w:tr>
        <w:trPr>
          <w:trHeight w:val="193"/>
        </w:trPr>
        <w:tc>
          <w:tcPr>
            <w:tcW w:w="9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20" w:type="dxa"/>
            <w:vAlign w:val="bottom"/>
          </w:tcPr>
          <w:p>
            <w:pPr>
              <w:spacing w:after="0"/>
              <w:rPr>
                <w:sz w:val="16"/>
                <w:szCs w:val="16"/>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48,104</w:t>
            </w:r>
          </w:p>
        </w:tc>
        <w:tc>
          <w:tcPr>
            <w:tcW w:w="0" w:type="dxa"/>
            <w:vAlign w:val="bottom"/>
          </w:tcPr>
          <w:p>
            <w:pPr>
              <w:spacing w:after="0"/>
              <w:rPr>
                <w:sz w:val="1"/>
                <w:szCs w:val="1"/>
                <w:color w:val="auto"/>
              </w:rPr>
            </w:pPr>
          </w:p>
        </w:tc>
      </w:tr>
      <w:tr>
        <w:trPr>
          <w:trHeight w:val="23"/>
        </w:trPr>
        <w:tc>
          <w:tcPr>
            <w:tcW w:w="9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9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53,381</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As of July 31, 2019, the weighted-average remaining lease term is 7.2 years and the weighted-average discount rate is 5.1%.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Supplemental cash flow and other information for the six months ended July 31, 2019, related to operating leases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Six Months Ended</w:t>
            </w:r>
          </w:p>
        </w:tc>
      </w:tr>
      <w:tr>
        <w:trPr>
          <w:trHeight w:val="155"/>
        </w:trPr>
        <w:tc>
          <w:tcPr>
            <w:tcW w:w="97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July 31, 2019</w:t>
            </w:r>
          </w:p>
        </w:tc>
      </w:tr>
      <w:tr>
        <w:trPr>
          <w:trHeight w:val="152"/>
        </w:trPr>
        <w:tc>
          <w:tcPr>
            <w:tcW w:w="9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0"/>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within operating cash flows</w:t>
            </w: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4,446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recognized in exchange for new operating lease obligations</w:t>
            </w: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13,770</w:t>
            </w:r>
          </w:p>
        </w:tc>
        <w:tc>
          <w:tcPr>
            <w:tcW w:w="20" w:type="dxa"/>
            <w:vAlign w:val="bottom"/>
          </w:tcPr>
          <w:p>
            <w:pPr>
              <w:spacing w:after="0"/>
              <w:rPr>
                <w:sz w:val="16"/>
                <w:szCs w:val="16"/>
                <w:color w:val="auto"/>
              </w:rPr>
            </w:pPr>
          </w:p>
        </w:tc>
      </w:tr>
      <w:tr>
        <w:trPr>
          <w:trHeight w:val="560"/>
        </w:trPr>
        <w:tc>
          <w:tcPr>
            <w:tcW w:w="9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As of July 31, 2019, the future minimum lease payments included in the measurement of our operating lease liabilities are as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As of July 31,</w:t>
            </w:r>
          </w:p>
        </w:tc>
      </w:tr>
      <w:tr>
        <w:trPr>
          <w:trHeight w:val="155"/>
        </w:trPr>
        <w:tc>
          <w:tcPr>
            <w:tcW w:w="9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 w:type="dxa"/>
            <w:vAlign w:val="bottom"/>
          </w:tcPr>
          <w:p>
            <w:pPr>
              <w:spacing w:after="0"/>
              <w:rPr>
                <w:sz w:val="13"/>
                <w:szCs w:val="13"/>
                <w:color w:val="auto"/>
              </w:rPr>
            </w:pPr>
          </w:p>
        </w:tc>
      </w:tr>
      <w:tr>
        <w:trPr>
          <w:trHeight w:val="152"/>
        </w:trPr>
        <w:tc>
          <w:tcPr>
            <w:tcW w:w="9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0"/>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January 31,</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3,725</w:t>
            </w:r>
          </w:p>
        </w:tc>
        <w:tc>
          <w:tcPr>
            <w:tcW w:w="20" w:type="dxa"/>
            <w:vAlign w:val="bottom"/>
          </w:tcPr>
          <w:p>
            <w:pPr>
              <w:spacing w:after="0"/>
              <w:rPr>
                <w:sz w:val="16"/>
                <w:szCs w:val="16"/>
                <w:color w:val="auto"/>
              </w:rPr>
            </w:pPr>
          </w:p>
        </w:tc>
      </w:tr>
      <w:tr>
        <w:trPr>
          <w:trHeight w:val="23"/>
        </w:trPr>
        <w:tc>
          <w:tcPr>
            <w:tcW w:w="9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8,249</w:t>
            </w:r>
          </w:p>
        </w:tc>
        <w:tc>
          <w:tcPr>
            <w:tcW w:w="20" w:type="dxa"/>
            <w:vAlign w:val="bottom"/>
          </w:tcPr>
          <w:p>
            <w:pPr>
              <w:spacing w:after="0"/>
              <w:rPr>
                <w:sz w:val="17"/>
                <w:szCs w:val="17"/>
                <w:color w:val="auto"/>
              </w:rPr>
            </w:pPr>
          </w:p>
        </w:tc>
      </w:tr>
      <w:tr>
        <w:trPr>
          <w:trHeight w:val="19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7,916</w:t>
            </w:r>
          </w:p>
        </w:tc>
        <w:tc>
          <w:tcPr>
            <w:tcW w:w="20" w:type="dxa"/>
            <w:vAlign w:val="bottom"/>
          </w:tcPr>
          <w:p>
            <w:pPr>
              <w:spacing w:after="0"/>
              <w:rPr>
                <w:sz w:val="16"/>
                <w:szCs w:val="16"/>
                <w:color w:val="auto"/>
              </w:rPr>
            </w:pPr>
          </w:p>
        </w:tc>
      </w:tr>
      <w:tr>
        <w:trPr>
          <w:trHeight w:val="23"/>
        </w:trPr>
        <w:tc>
          <w:tcPr>
            <w:tcW w:w="9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7,954</w:t>
            </w:r>
          </w:p>
        </w:tc>
        <w:tc>
          <w:tcPr>
            <w:tcW w:w="20" w:type="dxa"/>
            <w:vAlign w:val="bottom"/>
          </w:tcPr>
          <w:p>
            <w:pPr>
              <w:spacing w:after="0"/>
              <w:rPr>
                <w:sz w:val="17"/>
                <w:szCs w:val="17"/>
                <w:color w:val="auto"/>
              </w:rPr>
            </w:pPr>
          </w:p>
        </w:tc>
      </w:tr>
      <w:tr>
        <w:trPr>
          <w:trHeight w:val="193"/>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7,543</w:t>
            </w:r>
          </w:p>
        </w:tc>
        <w:tc>
          <w:tcPr>
            <w:tcW w:w="20" w:type="dxa"/>
            <w:vAlign w:val="bottom"/>
          </w:tcPr>
          <w:p>
            <w:pPr>
              <w:spacing w:after="0"/>
              <w:rPr>
                <w:sz w:val="16"/>
                <w:szCs w:val="16"/>
                <w:color w:val="auto"/>
              </w:rPr>
            </w:pPr>
          </w:p>
        </w:tc>
      </w:tr>
      <w:tr>
        <w:trPr>
          <w:trHeight w:val="23"/>
        </w:trPr>
        <w:tc>
          <w:tcPr>
            <w:tcW w:w="9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30,551</w:t>
            </w:r>
          </w:p>
        </w:tc>
        <w:tc>
          <w:tcPr>
            <w:tcW w:w="20" w:type="dxa"/>
            <w:vAlign w:val="bottom"/>
          </w:tcPr>
          <w:p>
            <w:pPr>
              <w:spacing w:after="0"/>
              <w:rPr>
                <w:sz w:val="18"/>
                <w:szCs w:val="18"/>
                <w:color w:val="auto"/>
              </w:rPr>
            </w:pPr>
          </w:p>
        </w:tc>
      </w:tr>
      <w:tr>
        <w:trPr>
          <w:trHeight w:val="184"/>
        </w:trPr>
        <w:tc>
          <w:tcPr>
            <w:tcW w:w="9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6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65,938</w:t>
            </w:r>
          </w:p>
        </w:tc>
        <w:tc>
          <w:tcPr>
            <w:tcW w:w="20" w:type="dxa"/>
            <w:vAlign w:val="bottom"/>
          </w:tcPr>
          <w:p>
            <w:pPr>
              <w:spacing w:after="0"/>
              <w:rPr>
                <w:sz w:val="15"/>
                <w:szCs w:val="15"/>
                <w:color w:val="auto"/>
              </w:rPr>
            </w:pPr>
          </w:p>
        </w:tc>
      </w:tr>
      <w:tr>
        <w:trPr>
          <w:trHeight w:val="23"/>
        </w:trPr>
        <w:tc>
          <w:tcPr>
            <w:tcW w:w="9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Less: imputed interest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(12,557)</w:t>
            </w:r>
          </w:p>
        </w:tc>
        <w:tc>
          <w:tcPr>
            <w:tcW w:w="20" w:type="dxa"/>
            <w:vAlign w:val="bottom"/>
          </w:tcPr>
          <w:p>
            <w:pPr>
              <w:spacing w:after="0"/>
              <w:rPr>
                <w:sz w:val="18"/>
                <w:szCs w:val="18"/>
                <w:color w:val="auto"/>
              </w:rPr>
            </w:pPr>
          </w:p>
        </w:tc>
      </w:tr>
      <w:tr>
        <w:trPr>
          <w:trHeight w:val="206"/>
        </w:trPr>
        <w:tc>
          <w:tcPr>
            <w:tcW w:w="9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53,381</w:t>
            </w:r>
          </w:p>
        </w:tc>
        <w:tc>
          <w:tcPr>
            <w:tcW w:w="20" w:type="dxa"/>
            <w:vAlign w:val="bottom"/>
          </w:tcPr>
          <w:p>
            <w:pPr>
              <w:spacing w:after="0"/>
              <w:rPr>
                <w:sz w:val="17"/>
                <w:szCs w:val="17"/>
                <w:color w:val="auto"/>
              </w:rPr>
            </w:pPr>
          </w:p>
        </w:tc>
      </w:tr>
      <w:tr>
        <w:trPr>
          <w:trHeight w:val="20"/>
        </w:trPr>
        <w:tc>
          <w:tcPr>
            <w:tcW w:w="9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 w:lineRule="exact"/>
        <w:rPr>
          <w:sz w:val="20"/>
          <w:szCs w:val="20"/>
          <w:color w:val="auto"/>
        </w:rPr>
      </w:pPr>
    </w:p>
    <w:p>
      <w:pPr>
        <w:ind w:right="180" w:firstLine="388"/>
        <w:spacing w:after="0" w:line="294" w:lineRule="auto"/>
        <w:rPr>
          <w:sz w:val="20"/>
          <w:szCs w:val="20"/>
          <w:color w:val="auto"/>
        </w:rPr>
      </w:pPr>
      <w:r>
        <w:rPr>
          <w:rFonts w:ascii="Times New Roman" w:cs="Times New Roman" w:eastAsia="Times New Roman" w:hAnsi="Times New Roman"/>
          <w:sz w:val="14"/>
          <w:szCs w:val="14"/>
          <w:color w:val="auto"/>
        </w:rPr>
        <w:t>As of July 31, 2019, we have additional operating leases for office space that have not yet commenced with undiscounted cash flows of $25.5 million. These operating leases will commence between 2019 and 2020.</w:t>
      </w:r>
    </w:p>
    <w:p>
      <w:pPr>
        <w:spacing w:after="0" w:line="123" w:lineRule="exact"/>
        <w:rPr>
          <w:sz w:val="20"/>
          <w:szCs w:val="20"/>
          <w:color w:val="auto"/>
        </w:rPr>
      </w:pPr>
    </w:p>
    <w:p>
      <w:pPr>
        <w:ind w:right="20" w:firstLine="388"/>
        <w:spacing w:after="0" w:line="285" w:lineRule="auto"/>
        <w:rPr>
          <w:sz w:val="20"/>
          <w:szCs w:val="20"/>
          <w:color w:val="auto"/>
        </w:rPr>
      </w:pPr>
      <w:r>
        <w:rPr>
          <w:rFonts w:ascii="Times New Roman" w:cs="Times New Roman" w:eastAsia="Times New Roman" w:hAnsi="Times New Roman"/>
          <w:sz w:val="14"/>
          <w:szCs w:val="14"/>
          <w:color w:val="auto"/>
        </w:rPr>
        <w:t>As previously disclosed in "Note 6. Commitments and Contingencies" to Notes to Consolidated Financial Statements in our Prospectus and under the previous lease accounting standard, future minimum payments related to operating leases as of January 31, 2019 are as follows:</w:t>
      </w:r>
    </w:p>
    <w:tbl>
      <w:tblPr>
        <w:tblLayout w:type="fixed"/>
        <w:tblInd w:w="0" w:type="dxa"/>
        <w:tblCellMar>
          <w:top w:w="0" w:type="dxa"/>
          <w:left w:w="0" w:type="dxa"/>
          <w:bottom w:w="0" w:type="dxa"/>
          <w:right w:w="0" w:type="dxa"/>
        </w:tblCellMar>
      </w:tblPr>
      <w:tr>
        <w:trPr>
          <w:trHeight w:val="119"/>
        </w:trPr>
        <w:tc>
          <w:tcPr>
            <w:tcW w:w="9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jc w:val="center"/>
              <w:ind w:right="172"/>
              <w:spacing w:after="0" w:line="120" w:lineRule="exact"/>
              <w:rPr>
                <w:sz w:val="20"/>
                <w:szCs w:val="20"/>
                <w:color w:val="auto"/>
              </w:rPr>
            </w:pPr>
            <w:r>
              <w:rPr>
                <w:rFonts w:ascii="Times New Roman" w:cs="Times New Roman" w:eastAsia="Times New Roman" w:hAnsi="Times New Roman"/>
                <w:sz w:val="11"/>
                <w:szCs w:val="11"/>
                <w:b w:val="1"/>
                <w:bCs w:val="1"/>
                <w:color w:val="auto"/>
              </w:rPr>
              <w:t>As of January 31,</w:t>
            </w:r>
          </w:p>
        </w:tc>
      </w:tr>
      <w:tr>
        <w:trPr>
          <w:trHeight w:val="155"/>
        </w:trPr>
        <w:tc>
          <w:tcPr>
            <w:tcW w:w="9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w w:val="99"/>
              </w:rPr>
              <w:t>2019</w:t>
            </w:r>
          </w:p>
        </w:tc>
      </w:tr>
      <w:tr>
        <w:trPr>
          <w:trHeight w:val="152"/>
        </w:trPr>
        <w:tc>
          <w:tcPr>
            <w:tcW w:w="9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0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January 31,</w:t>
            </w: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193"/>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7,609</w:t>
            </w:r>
          </w:p>
        </w:tc>
      </w:tr>
      <w:tr>
        <w:trPr>
          <w:trHeight w:val="23"/>
        </w:trPr>
        <w:tc>
          <w:tcPr>
            <w:tcW w:w="9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7,837</w:t>
            </w:r>
          </w:p>
        </w:tc>
      </w:tr>
      <w:tr>
        <w:trPr>
          <w:trHeight w:val="193"/>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6"/>
                <w:szCs w:val="16"/>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7,888</w:t>
            </w:r>
          </w:p>
        </w:tc>
      </w:tr>
      <w:tr>
        <w:trPr>
          <w:trHeight w:val="23"/>
        </w:trPr>
        <w:tc>
          <w:tcPr>
            <w:tcW w:w="9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7,514</w:t>
            </w:r>
          </w:p>
        </w:tc>
      </w:tr>
      <w:tr>
        <w:trPr>
          <w:trHeight w:val="193"/>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6"/>
                <w:szCs w:val="16"/>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7,174</w:t>
            </w:r>
          </w:p>
        </w:tc>
      </w:tr>
      <w:tr>
        <w:trPr>
          <w:trHeight w:val="23"/>
        </w:trPr>
        <w:tc>
          <w:tcPr>
            <w:tcW w:w="9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18,635</w:t>
            </w:r>
          </w:p>
        </w:tc>
      </w:tr>
      <w:tr>
        <w:trPr>
          <w:trHeight w:val="206"/>
        </w:trPr>
        <w:tc>
          <w:tcPr>
            <w:tcW w:w="9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future minimum payments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56,657</w:t>
            </w:r>
          </w:p>
        </w:tc>
      </w:tr>
      <w:tr>
        <w:trPr>
          <w:trHeight w:val="20"/>
        </w:trPr>
        <w:tc>
          <w:tcPr>
            <w:tcW w:w="9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Rent expense during the three and six months ended July 31, 2018 was $1.6 million and $3.0 million, respectively.</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8. Commitments and Contingencies</w:t>
      </w:r>
    </w:p>
    <w:p>
      <w:pPr>
        <w:spacing w:after="0" w:line="102" w:lineRule="exact"/>
        <w:rPr>
          <w:sz w:val="20"/>
          <w:szCs w:val="20"/>
          <w:color w:val="auto"/>
        </w:rPr>
      </w:pPr>
    </w:p>
    <w:p>
      <w:pPr>
        <w:ind w:right="60" w:firstLine="388"/>
        <w:spacing w:after="0" w:line="264" w:lineRule="auto"/>
        <w:rPr>
          <w:sz w:val="20"/>
          <w:szCs w:val="20"/>
          <w:color w:val="auto"/>
        </w:rPr>
      </w:pPr>
      <w:r>
        <w:rPr>
          <w:rFonts w:ascii="Times New Roman" w:cs="Times New Roman" w:eastAsia="Times New Roman" w:hAnsi="Times New Roman"/>
          <w:sz w:val="14"/>
          <w:szCs w:val="14"/>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460"/>
          </w:cols>
          <w:pgMar w:left="220" w:top="125" w:right="21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the OFAC and the U.S. Department of Commerce’s Bureau of Industry and Security (BIS). As of July 31,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w:t>
      </w:r>
    </w:p>
    <w:p>
      <w:pPr>
        <w:spacing w:after="0" w:line="3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9. Convertible Preferred Stock, Stockholders’ Equity (Deficit) and Equity Incentive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Preferred Stock</w:t>
      </w:r>
    </w:p>
    <w:p>
      <w:pPr>
        <w:spacing w:after="0" w:line="100" w:lineRule="exact"/>
        <w:rPr>
          <w:sz w:val="20"/>
          <w:szCs w:val="20"/>
          <w:color w:val="auto"/>
        </w:rPr>
      </w:pPr>
    </w:p>
    <w:p>
      <w:pPr>
        <w:ind w:right="220" w:firstLine="388"/>
        <w:spacing w:after="0" w:line="275" w:lineRule="auto"/>
        <w:rPr>
          <w:sz w:val="20"/>
          <w:szCs w:val="20"/>
          <w:color w:val="auto"/>
        </w:rPr>
      </w:pPr>
      <w:r>
        <w:rPr>
          <w:rFonts w:ascii="Times New Roman" w:cs="Times New Roman" w:eastAsia="Times New Roman" w:hAnsi="Times New Roman"/>
          <w:sz w:val="14"/>
          <w:szCs w:val="14"/>
          <w:color w:val="auto"/>
        </w:rPr>
        <w:t>Upon completion of the IPO, all shares of convertible preferred stock outstanding, totaling 152,665,804 shares, were automatically converted into an equivalent number of shares of Class B common stock on a one-to-one basis and their carrying value of $159.6 million was reclassified into stockholders’ equity. As of July 31, 2019, there were no shares of convertible preferred stock issued and outstanding.</w:t>
      </w:r>
    </w:p>
    <w:p>
      <w:pPr>
        <w:spacing w:after="0" w:line="136" w:lineRule="exact"/>
        <w:rPr>
          <w:sz w:val="20"/>
          <w:szCs w:val="20"/>
          <w:color w:val="auto"/>
        </w:rPr>
      </w:pPr>
    </w:p>
    <w:p>
      <w:pPr>
        <w:ind w:right="260" w:firstLine="388"/>
        <w:spacing w:after="0" w:line="294" w:lineRule="auto"/>
        <w:rPr>
          <w:sz w:val="20"/>
          <w:szCs w:val="20"/>
          <w:color w:val="auto"/>
        </w:rPr>
      </w:pPr>
      <w:r>
        <w:rPr>
          <w:rFonts w:ascii="Times New Roman" w:cs="Times New Roman" w:eastAsia="Times New Roman" w:hAnsi="Times New Roman"/>
          <w:sz w:val="14"/>
          <w:szCs w:val="14"/>
          <w:color w:val="auto"/>
        </w:rPr>
        <w:t>In connection with the IPO, our Amended and Restated Certificate of Incorporation (COI) became effective, which authorized the issuance of 200,000,000 shares of undesignated preferred stock with a par value of $0.001 with rights and preferences, including voting rights, designated from time to time by our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100" w:lineRule="exact"/>
        <w:rPr>
          <w:sz w:val="20"/>
          <w:szCs w:val="20"/>
          <w:color w:val="auto"/>
        </w:rPr>
      </w:pPr>
    </w:p>
    <w:p>
      <w:pPr>
        <w:ind w:right="80" w:firstLine="388"/>
        <w:spacing w:after="0" w:line="294" w:lineRule="auto"/>
        <w:rPr>
          <w:sz w:val="20"/>
          <w:szCs w:val="20"/>
          <w:color w:val="auto"/>
        </w:rPr>
      </w:pPr>
      <w:r>
        <w:rPr>
          <w:rFonts w:ascii="Times New Roman" w:cs="Times New Roman" w:eastAsia="Times New Roman" w:hAnsi="Times New Roman"/>
          <w:sz w:val="14"/>
          <w:szCs w:val="14"/>
          <w:color w:val="auto"/>
        </w:rPr>
        <w:t>Our Amended and Restated COI also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Incentive Plans</w:t>
      </w:r>
    </w:p>
    <w:p>
      <w:pPr>
        <w:spacing w:after="0" w:line="100"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4"/>
          <w:szCs w:val="14"/>
          <w:color w:val="auto"/>
        </w:rPr>
        <w:t>In 2011, we adopted the 2011 Global Share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 As of January 31, 2019, our board of directors had authorized 71,240,000 shares of common stock to be reserved for grants of awards under the 2011 Plan. As of January 31, 2019, stock options covering 35,064,465 shares of our Class B common stock were outstanding and the remaining number of shares available for future issuance was 1,848,100 under the 2011 Plan. In connection with the IPO, the shares of Class B common stock remaining available for issuance under the 2011 Plan became available for issuance for a corresponding number of shares of our Class A common stock under the 2019 Equity Incentive Plan (2019 Plan).</w:t>
      </w:r>
    </w:p>
    <w:p>
      <w:pPr>
        <w:spacing w:after="0" w:line="145" w:lineRule="exact"/>
        <w:rPr>
          <w:sz w:val="20"/>
          <w:szCs w:val="20"/>
          <w:color w:val="auto"/>
        </w:rPr>
      </w:pPr>
    </w:p>
    <w:p>
      <w:pPr>
        <w:ind w:right="80" w:firstLine="388"/>
        <w:spacing w:after="0" w:line="261" w:lineRule="auto"/>
        <w:rPr>
          <w:sz w:val="20"/>
          <w:szCs w:val="20"/>
          <w:color w:val="auto"/>
        </w:rPr>
      </w:pPr>
      <w:r>
        <w:rPr>
          <w:rFonts w:ascii="Times New Roman" w:cs="Times New Roman" w:eastAsia="Times New Roman" w:hAnsi="Times New Roman"/>
          <w:sz w:val="14"/>
          <w:szCs w:val="14"/>
          <w:color w:val="auto"/>
        </w:rPr>
        <w:t>In April 2019, we adopted the 2019 Plan, which is a successor to and continuation of our 2011 Plan. Our 2019 Plan provides for the grant of stock options, stock appreciation rights, restricted stock awards, restricted stock unit awards, performance awards, and other forms of awards.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 summary of stock option activity under our equity incentive plan and related information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683"/>
              <w:spacing w:after="0"/>
              <w:rPr>
                <w:sz w:val="20"/>
                <w:szCs w:val="20"/>
                <w:color w:val="auto"/>
              </w:rPr>
            </w:pPr>
            <w:r>
              <w:rPr>
                <w:rFonts w:ascii="Times New Roman" w:cs="Times New Roman" w:eastAsia="Times New Roman" w:hAnsi="Times New Roman"/>
                <w:sz w:val="11"/>
                <w:szCs w:val="11"/>
                <w:b w:val="1"/>
                <w:bCs w:val="1"/>
                <w:color w:val="auto"/>
              </w:rPr>
              <w:t>Options Outstanding</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5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left="163"/>
              <w:spacing w:after="0" w:line="11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left="143"/>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left="403"/>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left="163"/>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4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980" w:type="dxa"/>
            <w:vAlign w:val="bottom"/>
          </w:tcPr>
          <w:p>
            <w:pPr>
              <w:jc w:val="center"/>
              <w:ind w:left="423"/>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left="143"/>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center"/>
              <w:ind w:right="215"/>
              <w:spacing w:after="0" w:line="119"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center"/>
              <w:ind w:left="163"/>
              <w:spacing w:after="0"/>
              <w:rPr>
                <w:sz w:val="20"/>
                <w:szCs w:val="20"/>
                <w:color w:val="auto"/>
              </w:rPr>
            </w:pPr>
            <w:r>
              <w:rPr>
                <w:rFonts w:ascii="Times New Roman" w:cs="Times New Roman" w:eastAsia="Times New Roman" w:hAnsi="Times New Roman"/>
                <w:sz w:val="11"/>
                <w:szCs w:val="11"/>
                <w:b w:val="1"/>
                <w:bCs w:val="1"/>
                <w:color w:val="auto"/>
              </w:rPr>
              <w:t>Life (Years)</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(in thousands, except share, life, and per share data)</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31, 2019</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35,064,465</w:t>
            </w:r>
          </w:p>
        </w:tc>
        <w:tc>
          <w:tcPr>
            <w:tcW w:w="1080" w:type="dxa"/>
            <w:vAlign w:val="bottom"/>
            <w:tcBorders>
              <w:bottom w:val="single" w:sz="8" w:color="CCEEFF"/>
            </w:tcBorders>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534,572</w:t>
            </w:r>
          </w:p>
        </w:tc>
        <w:tc>
          <w:tcPr>
            <w:tcW w:w="0" w:type="dxa"/>
            <w:vAlign w:val="bottom"/>
          </w:tcPr>
          <w:p>
            <w:pPr>
              <w:spacing w:after="0"/>
              <w:rPr>
                <w:sz w:val="1"/>
                <w:szCs w:val="1"/>
                <w:color w:val="auto"/>
              </w:rPr>
            </w:pPr>
          </w:p>
        </w:tc>
      </w:tr>
      <w:tr>
        <w:trPr>
          <w:trHeight w:val="193"/>
        </w:trPr>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1,537,900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5"/>
              </w:rPr>
              <w:t>36.77</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Exercised</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(14,272,059)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Canceled/forfeited/expired</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(284,118)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July 31, 2019</w:t>
            </w:r>
          </w:p>
        </w:tc>
        <w:tc>
          <w:tcPr>
            <w:tcW w:w="14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22,046,188</w:t>
            </w:r>
          </w:p>
        </w:tc>
        <w:tc>
          <w:tcPr>
            <w:tcW w:w="1080" w:type="dxa"/>
            <w:vAlign w:val="bottom"/>
            <w:tcBorders>
              <w:bottom w:val="single" w:sz="8" w:color="CCEEFF"/>
            </w:tcBorders>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2,001,410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as of July 31, 2019</w:t>
            </w:r>
          </w:p>
        </w:tc>
        <w:tc>
          <w:tcPr>
            <w:tcW w:w="1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8,692,345</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821,380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right="260" w:firstLine="388"/>
        <w:spacing w:after="0" w:line="294" w:lineRule="auto"/>
        <w:rPr>
          <w:sz w:val="20"/>
          <w:szCs w:val="20"/>
          <w:color w:val="auto"/>
        </w:rPr>
      </w:pPr>
      <w:r>
        <w:rPr>
          <w:rFonts w:ascii="Times New Roman" w:cs="Times New Roman" w:eastAsia="Times New Roman" w:hAnsi="Times New Roman"/>
          <w:sz w:val="14"/>
          <w:szCs w:val="14"/>
          <w:color w:val="auto"/>
        </w:rPr>
        <w:t>As of July 31, 2019, unrecognized stock-based compensation expense related to outstanding unvested stock options was $94.3 million, which is expected to be recognized over a weighted-average period of 3.3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restricted stock units (RSUs) activity under our equity incentive plan and related information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80" w:type="dxa"/>
            <w:vAlign w:val="bottom"/>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RSUs Outstanding</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7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jc w:val="center"/>
              <w:ind w:right="374"/>
              <w:spacing w:after="0" w:line="11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9"/>
        </w:trPr>
        <w:tc>
          <w:tcPr>
            <w:tcW w:w="7980" w:type="dxa"/>
            <w:vAlign w:val="bottom"/>
          </w:tcPr>
          <w:p>
            <w:pPr>
              <w:spacing w:after="0"/>
              <w:rPr>
                <w:sz w:val="10"/>
                <w:szCs w:val="10"/>
                <w:color w:val="auto"/>
              </w:rPr>
            </w:pP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440" w:type="dxa"/>
            <w:vAlign w:val="bottom"/>
          </w:tcPr>
          <w:p>
            <w:pPr>
              <w:spacing w:after="0"/>
              <w:rPr>
                <w:sz w:val="10"/>
                <w:szCs w:val="10"/>
                <w:color w:val="auto"/>
              </w:rPr>
            </w:pPr>
          </w:p>
        </w:tc>
        <w:tc>
          <w:tcPr>
            <w:tcW w:w="1000" w:type="dxa"/>
            <w:vAlign w:val="bottom"/>
          </w:tcPr>
          <w:p>
            <w:pPr>
              <w:jc w:val="center"/>
              <w:ind w:right="374"/>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9"/>
        </w:trPr>
        <w:tc>
          <w:tcPr>
            <w:tcW w:w="79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Grant Date Fair Value Per</w:t>
            </w:r>
          </w:p>
        </w:tc>
        <w:tc>
          <w:tcPr>
            <w:tcW w:w="0" w:type="dxa"/>
            <w:vAlign w:val="bottom"/>
          </w:tcPr>
          <w:p>
            <w:pPr>
              <w:spacing w:after="0"/>
              <w:rPr>
                <w:sz w:val="1"/>
                <w:szCs w:val="1"/>
                <w:color w:val="auto"/>
              </w:rPr>
            </w:pPr>
          </w:p>
        </w:tc>
      </w:tr>
      <w:tr>
        <w:trPr>
          <w:trHeight w:val="155"/>
        </w:trPr>
        <w:tc>
          <w:tcPr>
            <w:tcW w:w="79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RSUs</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91"/>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31, 2019</w:t>
            </w: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376,786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93.89</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Canceled/forfeited</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(5,926)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94.52</w:t>
            </w:r>
          </w:p>
        </w:tc>
        <w:tc>
          <w:tcPr>
            <w:tcW w:w="0" w:type="dxa"/>
            <w:vAlign w:val="bottom"/>
          </w:tcPr>
          <w:p>
            <w:pPr>
              <w:spacing w:after="0"/>
              <w:rPr>
                <w:sz w:val="1"/>
                <w:szCs w:val="1"/>
                <w:color w:val="auto"/>
              </w:rPr>
            </w:pPr>
          </w:p>
        </w:tc>
      </w:tr>
      <w:tr>
        <w:trPr>
          <w:trHeight w:val="20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July 31, 2019</w:t>
            </w:r>
          </w:p>
        </w:tc>
        <w:tc>
          <w:tcPr>
            <w:tcW w:w="14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370,860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93.88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right="240" w:firstLine="388"/>
        <w:spacing w:after="0" w:line="294" w:lineRule="auto"/>
        <w:rPr>
          <w:sz w:val="20"/>
          <w:szCs w:val="20"/>
          <w:color w:val="auto"/>
        </w:rPr>
      </w:pPr>
      <w:r>
        <w:rPr>
          <w:rFonts w:ascii="Times New Roman" w:cs="Times New Roman" w:eastAsia="Times New Roman" w:hAnsi="Times New Roman"/>
          <w:sz w:val="14"/>
          <w:szCs w:val="14"/>
          <w:color w:val="auto"/>
        </w:rPr>
        <w:t>As of July 31, 2019, unrecognized stock-based compensation expense related to outstanding unvested RSUs was $33.9 million, which is expected to be recognized over a weighted-average period of 3.9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2019 Employee Stock Purchase Plan</w:t>
      </w:r>
    </w:p>
    <w:p>
      <w:pPr>
        <w:spacing w:after="0" w:line="100"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4"/>
          <w:szCs w:val="14"/>
          <w:color w:val="auto"/>
        </w:rPr>
        <w:t>In April 2019, we adopted the 2019 Employee Stock Purchase Plan (ESPP), which became effective in connection with the IPO. A total of 9,000,000 shares of our Class A common stock were initially reserved for issuance under the ESPP.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164" w:lineRule="exact"/>
        <w:rPr>
          <w:sz w:val="20"/>
          <w:szCs w:val="20"/>
          <w:color w:val="auto"/>
        </w:rPr>
      </w:pPr>
    </w:p>
    <w:p>
      <w:pPr>
        <w:ind w:firstLine="388"/>
        <w:spacing w:after="0" w:line="247" w:lineRule="auto"/>
        <w:rPr>
          <w:sz w:val="20"/>
          <w:szCs w:val="20"/>
          <w:color w:val="auto"/>
        </w:rPr>
      </w:pPr>
      <w:r>
        <w:rPr>
          <w:rFonts w:ascii="Times New Roman" w:cs="Times New Roman" w:eastAsia="Times New Roman" w:hAnsi="Times New Roman"/>
          <w:sz w:val="14"/>
          <w:szCs w:val="14"/>
          <w:color w:val="auto"/>
        </w:rPr>
        <w:t>Generally, all regular employees, including executive officers, employed by us or by any of our designated affiliates, except for those holding 5% or more of the total combined voting power or value of all classes of our stock, may 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of each year. The first offering period began on April 18, 2019. As of July 31, 2019, no shares of our Class A common stock have been purchased under the ESPP.</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As of July 31, 2019, unrecognized stock-based compensation expense related to the ESPP was $78.5 million, which is expected to be recognized over a weighted-average period of 1.9 years.</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 stock-based compensation expense related to the ESPP was recognized during the three months ended April 30, 2019 as the grant dates of the ESPP offerings were in May and June 2019.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estimated the fair value of ESPP purchase rights using a Black-Scholes option-pricing model with the following assumptions: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40" w:type="dxa"/>
            <w:vAlign w:val="bottom"/>
          </w:tcPr>
          <w:p>
            <w:pPr>
              <w:spacing w:after="0"/>
              <w:rPr>
                <w:sz w:val="11"/>
                <w:szCs w:val="11"/>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55"/>
        </w:trPr>
        <w:tc>
          <w:tcPr>
            <w:tcW w:w="9240" w:type="dxa"/>
            <w:vAlign w:val="bottom"/>
            <w:tcBorders>
              <w:bottom w:val="single" w:sz="8" w:color="CCEEFF"/>
            </w:tcBorders>
          </w:tcPr>
          <w:p>
            <w:pPr>
              <w:spacing w:after="0"/>
              <w:rPr>
                <w:sz w:val="13"/>
                <w:szCs w:val="13"/>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July 31, 2019</w:t>
            </w:r>
          </w:p>
        </w:tc>
      </w:tr>
      <w:tr>
        <w:trPr>
          <w:trHeight w:val="191"/>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purchase price</w:t>
            </w:r>
          </w:p>
        </w:tc>
        <w:tc>
          <w:tcPr>
            <w:tcW w:w="22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$30.60 - $83.39</w:t>
            </w:r>
          </w:p>
        </w:tc>
      </w:tr>
      <w:tr>
        <w:trPr>
          <w:trHeight w:val="193"/>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- 56.2%</w:t>
            </w:r>
          </w:p>
        </w:tc>
      </w:tr>
      <w:tr>
        <w:trPr>
          <w:trHeight w:val="23"/>
        </w:trPr>
        <w:tc>
          <w:tcPr>
            <w:tcW w:w="9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- 2.1</w:t>
            </w:r>
          </w:p>
        </w:tc>
      </w:tr>
      <w:tr>
        <w:trPr>
          <w:trHeight w:val="193"/>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- 2.5%</w:t>
            </w:r>
          </w:p>
        </w:tc>
      </w:tr>
      <w:tr>
        <w:trPr>
          <w:trHeight w:val="23"/>
        </w:trPr>
        <w:tc>
          <w:tcPr>
            <w:tcW w:w="9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r>
      <w:tr>
        <w:trPr>
          <w:trHeight w:val="19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92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Early Exercise of Common Stock Options</w:t>
      </w:r>
    </w:p>
    <w:p>
      <w:pPr>
        <w:spacing w:after="0" w:line="100" w:lineRule="exact"/>
        <w:rPr>
          <w:sz w:val="20"/>
          <w:szCs w:val="20"/>
          <w:color w:val="auto"/>
        </w:rPr>
      </w:pPr>
    </w:p>
    <w:p>
      <w:pPr>
        <w:ind w:right="220" w:firstLine="388"/>
        <w:spacing w:after="0" w:line="269" w:lineRule="auto"/>
        <w:rPr>
          <w:sz w:val="20"/>
          <w:szCs w:val="20"/>
          <w:color w:val="auto"/>
        </w:rPr>
      </w:pPr>
      <w:r>
        <w:rPr>
          <w:rFonts w:ascii="Times New Roman" w:cs="Times New Roman" w:eastAsia="Times New Roman" w:hAnsi="Times New Roman"/>
          <w:sz w:val="14"/>
          <w:szCs w:val="14"/>
          <w:color w:val="auto"/>
        </w:rPr>
        <w:t>Our board of directors authorized certain stock option holders to exercise unvested options to purchase shares of common stock. Shares received from such early exercises are subject to repurchase in the event of the optionee’s termination of service, at the original issuance price, until the options are fully vested. As of July 31, 2019 and January 31, 2019, 663,826 and 1,261,230 shares of Class B common stock, respectively, were subject to repurchase at a weighted-average price of $2.71 and $1.41 per share, respectively. The cash proceeds received for unvested shares of common stock recorded within accrued expenses and other current liabilities in the condensed consolidated balance sheets was $1.8 million as of July 31, 2019 and January 31,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Award</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In October 2015, we issued 1,202,720 shares of common stock to a member of our board of directors under a restricted stock agreement at a grant date fair value of $0.14 per share, totaling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$0.2 million. Of the total shares issued, 481,088 shares vested on the grant date and the remaining shares vest over four years from the grant date. The unvested shares are subject to a repurchase right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held by us at the original purchase price. As of July 31, 2019, 180,408 shares of common stock were unvested and subject to repurchase.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Shares Reserved for Charitable Donations</w:t>
      </w:r>
    </w:p>
    <w:p>
      <w:pPr>
        <w:spacing w:after="0" w:line="100" w:lineRule="exact"/>
        <w:rPr>
          <w:sz w:val="20"/>
          <w:szCs w:val="20"/>
          <w:color w:val="auto"/>
        </w:rPr>
      </w:pPr>
    </w:p>
    <w:p>
      <w:pPr>
        <w:ind w:right="120" w:firstLine="388"/>
        <w:spacing w:after="0" w:line="294" w:lineRule="auto"/>
        <w:rPr>
          <w:sz w:val="20"/>
          <w:szCs w:val="20"/>
          <w:color w:val="auto"/>
        </w:rPr>
      </w:pPr>
      <w:r>
        <w:rPr>
          <w:rFonts w:ascii="Times New Roman" w:cs="Times New Roman" w:eastAsia="Times New Roman" w:hAnsi="Times New Roman"/>
          <w:sz w:val="14"/>
          <w:szCs w:val="14"/>
          <w:color w:val="auto"/>
        </w:rPr>
        <w:t>During the three months ended July 31, 2019, our board of directors approved the issuance of 500,000 shares of Class A common stock for the sole purpose of being transferred to a nonprofit organization to be formed or identified by us at a future time. As of July 31, 2019, no shares have been transferred to a nonprofit organization. As a result, no expense has been recognized to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stock-based compensation expense by line item in the accompanying condensed consolidated statements of operations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020" w:type="dxa"/>
            <w:vAlign w:val="bottom"/>
            <w:tcBorders>
              <w:bottom w:val="single" w:sz="8" w:color="auto"/>
            </w:tcBorders>
          </w:tcPr>
          <w:p>
            <w:pPr>
              <w:spacing w:after="0"/>
              <w:rPr>
                <w:sz w:val="13"/>
                <w:szCs w:val="13"/>
                <w:color w:val="auto"/>
              </w:rPr>
            </w:pPr>
          </w:p>
        </w:tc>
      </w:tr>
      <w:tr>
        <w:trPr>
          <w:trHeight w:val="152"/>
        </w:trPr>
        <w:tc>
          <w:tcPr>
            <w:tcW w:w="452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2018</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2019</w:t>
            </w:r>
          </w:p>
        </w:tc>
        <w:tc>
          <w:tcPr>
            <w:tcW w:w="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5"/>
        </w:trPr>
        <w:tc>
          <w:tcPr>
            <w:tcW w:w="4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gridSpan w:val="3"/>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6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2,732</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225</w:t>
            </w: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3,674</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322</w:t>
            </w:r>
          </w:p>
        </w:tc>
      </w:tr>
      <w:tr>
        <w:trPr>
          <w:trHeight w:val="23"/>
        </w:trPr>
        <w:tc>
          <w:tcPr>
            <w:tcW w:w="4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10,439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13,066</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888</w:t>
            </w: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3,224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5,265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540</w:t>
            </w:r>
          </w:p>
        </w:tc>
      </w:tr>
      <w:tr>
        <w:trPr>
          <w:trHeight w:val="23"/>
        </w:trPr>
        <w:tc>
          <w:tcPr>
            <w:tcW w:w="4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1"/>
        </w:trPr>
        <w:tc>
          <w:tcPr>
            <w:tcW w:w="4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18,075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24,737</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1,975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10. Income Taxes</w:t>
      </w:r>
    </w:p>
    <w:p>
      <w:pPr>
        <w:spacing w:after="0" w:line="166" w:lineRule="exact"/>
        <w:rPr>
          <w:sz w:val="20"/>
          <w:szCs w:val="20"/>
          <w:color w:val="auto"/>
        </w:rPr>
      </w:pPr>
    </w:p>
    <w:p>
      <w:pPr>
        <w:ind w:firstLine="388"/>
        <w:spacing w:after="0" w:line="269" w:lineRule="auto"/>
        <w:rPr>
          <w:sz w:val="20"/>
          <w:szCs w:val="20"/>
          <w:color w:val="auto"/>
        </w:rPr>
      </w:pPr>
      <w:r>
        <w:rPr>
          <w:rFonts w:ascii="Times New Roman" w:cs="Times New Roman" w:eastAsia="Times New Roman" w:hAnsi="Times New Roman"/>
          <w:sz w:val="14"/>
          <w:szCs w:val="14"/>
          <w:color w:val="auto"/>
        </w:rPr>
        <w:t>Income tax expense was $1.2 million and $0.1 million for the three months ended July 31, 2019 and 2018, respectively, and $1.5 million and $0.2 million for the six months ended July 31, 2019 and 2018, respectively. Income tax expense for the three and six months ended July 31, 2019 are related to foreign income taxes and state taxes. Based on the available objective evidence during the three and six months ended July 31, 2019, we believe it is more likely than not that the tax benefits of the U.S. losses incurred may not be realized. Accordingly, we recorded a full valuation allowance against the tax benefits of the U.S. losses incurred.</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11. Net Income Per Share Attributable to Common Stockholders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 attributable to common stockholders for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2018</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2019</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2018</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232"/>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8"/>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5,541</w:t>
            </w: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FF0FC"/>
            </w:tcBorders>
            <w:gridSpan w:val="3"/>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3,825</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7,755</w:t>
            </w: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FF0FC"/>
            </w:tcBorders>
            <w:gridSpan w:val="3"/>
            <w:shd w:val="clear" w:color="auto" w:fill="CFF0FC"/>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rPr>
              <w:t>2,485</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undistributed earnings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attributable to participating securities</w:t>
            </w:r>
          </w:p>
        </w:tc>
        <w:tc>
          <w:tcPr>
            <w:tcW w:w="2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(3,329)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(2,794)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(2,485)</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Reallocation of net income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attributable to common stockholders</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751</w:t>
            </w: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(751)</w:t>
            </w: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592</w:t>
            </w: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w:t>
            </w:r>
          </w:p>
        </w:tc>
        <w:tc>
          <w:tcPr>
            <w:tcW w:w="2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751</w:t>
            </w:r>
          </w:p>
        </w:tc>
        <w:tc>
          <w:tcPr>
            <w:tcW w:w="60" w:type="dxa"/>
            <w:vAlign w:val="bottom"/>
            <w:tcBorders>
              <w:top w:val="single" w:sz="8" w:color="auto"/>
            </w:tcBorders>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4,770</w:t>
            </w:r>
          </w:p>
        </w:tc>
        <w:tc>
          <w:tcPr>
            <w:tcW w:w="10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592</w:t>
            </w:r>
          </w:p>
        </w:tc>
        <w:tc>
          <w:tcPr>
            <w:tcW w:w="60" w:type="dxa"/>
            <w:vAlign w:val="bottom"/>
            <w:tcBorders>
              <w:top w:val="single" w:sz="8" w:color="auto"/>
            </w:tcBorders>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4,369</w:t>
            </w:r>
          </w:p>
        </w:tc>
        <w:tc>
          <w:tcPr>
            <w:tcW w:w="10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basic</w:t>
            </w: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98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3"/>
                <w:szCs w:val="13"/>
                <w:color w:val="auto"/>
              </w:rPr>
              <w:t>Reallocation of net income</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attributable to common stockholders</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w:t>
            </w:r>
          </w:p>
        </w:tc>
        <w:tc>
          <w:tcPr>
            <w:tcW w:w="2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701</w:t>
            </w:r>
          </w:p>
        </w:tc>
        <w:tc>
          <w:tcPr>
            <w:tcW w:w="60" w:type="dxa"/>
            <w:vAlign w:val="bottom"/>
            <w:tcBorders>
              <w:top w:val="single" w:sz="8" w:color="auto"/>
            </w:tcBorders>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4,820</w:t>
            </w:r>
          </w:p>
        </w:tc>
        <w:tc>
          <w:tcPr>
            <w:tcW w:w="10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528</w:t>
            </w:r>
          </w:p>
        </w:tc>
        <w:tc>
          <w:tcPr>
            <w:tcW w:w="60" w:type="dxa"/>
            <w:vAlign w:val="bottom"/>
            <w:tcBorders>
              <w:top w:val="single" w:sz="8" w:color="auto"/>
            </w:tcBorders>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4,433</w:t>
            </w:r>
          </w:p>
        </w:tc>
        <w:tc>
          <w:tcPr>
            <w:tcW w:w="10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diluted</w:t>
            </w: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267575" cy="143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14351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p>
      <w:pPr>
        <w:sectPr>
          <w:pgSz w:w="11900" w:h="16838" w:orient="portrait"/>
          <w:cols w:equalWidth="0" w:num="1">
            <w:col w:w="11460"/>
          </w:cols>
          <w:pgMar w:left="220" w:top="125" w:right="219" w:bottom="1440" w:gutter="0" w:footer="0" w:header="0"/>
        </w:sectPr>
      </w:pPr>
    </w:p>
    <w:p>
      <w:pPr>
        <w:spacing w:after="0" w:line="46" w:lineRule="exact"/>
        <w:rPr>
          <w:sz w:val="20"/>
          <w:szCs w:val="20"/>
          <w:color w:val="auto"/>
        </w:rPr>
      </w:pPr>
    </w:p>
    <w:p>
      <w:pPr>
        <w:ind w:left="20"/>
        <w:spacing w:after="0" w:line="222" w:lineRule="auto"/>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 common stockholders, basic</w:t>
      </w:r>
    </w:p>
    <w:p>
      <w:pPr>
        <w:spacing w:after="0" w:line="7" w:lineRule="exact"/>
        <w:rPr>
          <w:sz w:val="20"/>
          <w:szCs w:val="20"/>
          <w:color w:val="auto"/>
        </w:rPr>
      </w:pPr>
    </w:p>
    <w:p>
      <w:pPr>
        <w:ind w:left="20"/>
        <w:spacing w:after="0" w:line="222" w:lineRule="auto"/>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 common stockholders, diluted</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w w:val="95"/>
              </w:rPr>
              <w:t>36,950,454</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rPr>
              <w:t>234,862,687</w:t>
            </w:r>
          </w:p>
        </w:tc>
        <w:tc>
          <w:tcPr>
            <w:tcW w:w="9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83,330,741</w:t>
            </w: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22,908,474</w:t>
            </w: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rPr>
              <w:t>169,222,036</w:t>
            </w:r>
          </w:p>
        </w:tc>
        <w:tc>
          <w:tcPr>
            <w:tcW w:w="9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81,999,734</w:t>
            </w:r>
          </w:p>
        </w:tc>
      </w:tr>
      <w:tr>
        <w:trPr>
          <w:trHeight w:val="560"/>
        </w:trPr>
        <w:tc>
          <w:tcPr>
            <w:tcW w:w="88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w w:val="95"/>
              </w:rPr>
              <w:t>37,120,969</w:t>
            </w:r>
          </w:p>
        </w:tc>
        <w:tc>
          <w:tcPr>
            <w:tcW w:w="144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rPr>
              <w:t>255,064,696</w:t>
            </w:r>
          </w:p>
        </w:tc>
        <w:tc>
          <w:tcPr>
            <w:tcW w:w="9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108,454,323</w:t>
            </w: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22,977,562</w:t>
            </w: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3"/>
                <w:szCs w:val="13"/>
                <w:color w:val="auto"/>
              </w:rPr>
              <w:t>192,797,057</w:t>
            </w:r>
          </w:p>
        </w:tc>
        <w:tc>
          <w:tcPr>
            <w:tcW w:w="9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107,584,379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-338455</wp:posOffset>
            </wp:positionV>
            <wp:extent cx="7267575" cy="35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5560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1940" w:space="380"/>
            <w:col w:w="9140"/>
          </w:cols>
          <w:pgMar w:left="220" w:top="125" w:right="2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w:t>
            </w:r>
          </w:p>
        </w:tc>
        <w:tc>
          <w:tcPr>
            <w:tcW w:w="38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0.03</w:t>
            </w:r>
          </w:p>
        </w:tc>
        <w:tc>
          <w:tcPr>
            <w:tcW w:w="100" w:type="dxa"/>
            <w:vAlign w:val="bottom"/>
          </w:tcPr>
          <w:p>
            <w:pPr>
              <w:spacing w:after="0"/>
              <w:rPr>
                <w:sz w:val="17"/>
                <w:szCs w:val="17"/>
                <w:color w:val="auto"/>
              </w:rPr>
            </w:pPr>
          </w:p>
        </w:tc>
        <w:tc>
          <w:tcPr>
            <w:tcW w:w="4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0.03</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tcPr>
          <w:p>
            <w:pPr>
              <w:spacing w:after="0"/>
              <w:rPr>
                <w:sz w:val="17"/>
                <w:szCs w:val="17"/>
                <w:color w:val="auto"/>
              </w:rPr>
            </w:pPr>
          </w:p>
        </w:tc>
        <w:tc>
          <w:tcPr>
            <w:tcW w:w="4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0.00</w:t>
            </w:r>
          </w:p>
        </w:tc>
      </w:tr>
      <w:tr>
        <w:trPr>
          <w:trHeight w:val="65"/>
        </w:trPr>
        <w:tc>
          <w:tcPr>
            <w:tcW w:w="198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auto"/>
              </w:rPr>
              <w:t>common stockholders, basic</w:t>
            </w: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
        </w:trPr>
        <w:tc>
          <w:tcPr>
            <w:tcW w:w="198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7"/>
        </w:trPr>
        <w:tc>
          <w:tcPr>
            <w:tcW w:w="1980" w:type="dxa"/>
            <w:vAlign w:val="bottom"/>
            <w:shd w:val="clear" w:color="auto" w:fill="CFF0FC"/>
          </w:tcPr>
          <w:p>
            <w:pPr>
              <w:ind w:left="20"/>
              <w:spacing w:after="0" w:line="147" w:lineRule="exact"/>
              <w:rPr>
                <w:sz w:val="20"/>
                <w:szCs w:val="20"/>
                <w:color w:val="auto"/>
              </w:rPr>
            </w:pPr>
            <w:r>
              <w:rPr>
                <w:rFonts w:ascii="Times New Roman" w:cs="Times New Roman" w:eastAsia="Times New Roman" w:hAnsi="Times New Roman"/>
                <w:sz w:val="13"/>
                <w:szCs w:val="13"/>
                <w:color w:val="auto"/>
              </w:rPr>
              <w:t>Net income per share attributable to</w:t>
            </w:r>
          </w:p>
        </w:tc>
        <w:tc>
          <w:tcPr>
            <w:tcW w:w="38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3"/>
                <w:szCs w:val="13"/>
                <w:color w:val="auto"/>
              </w:rPr>
              <w:t>0.00</w:t>
            </w:r>
          </w:p>
        </w:tc>
      </w:tr>
      <w:tr>
        <w:trPr>
          <w:trHeight w:val="90"/>
        </w:trPr>
        <w:tc>
          <w:tcPr>
            <w:tcW w:w="1980" w:type="dxa"/>
            <w:vAlign w:val="bottom"/>
            <w:tcBorders>
              <w:bottom w:val="single" w:sz="8" w:color="CFF0FC"/>
            </w:tcBorders>
            <w:shd w:val="clear" w:color="auto" w:fill="CFF0FC"/>
          </w:tcPr>
          <w:p>
            <w:pPr>
              <w:ind w:left="20"/>
              <w:spacing w:after="0" w:line="65" w:lineRule="exact"/>
              <w:rPr>
                <w:sz w:val="20"/>
                <w:szCs w:val="20"/>
                <w:color w:val="auto"/>
              </w:rPr>
            </w:pPr>
            <w:r>
              <w:rPr>
                <w:rFonts w:ascii="Times New Roman" w:cs="Times New Roman" w:eastAsia="Times New Roman" w:hAnsi="Times New Roman"/>
                <w:sz w:val="6"/>
                <w:szCs w:val="6"/>
                <w:color w:val="auto"/>
              </w:rPr>
              <w:t>common stockholders, diluted</w:t>
            </w:r>
          </w:p>
        </w:tc>
        <w:tc>
          <w:tcPr>
            <w:tcW w:w="380" w:type="dxa"/>
            <w:vAlign w:val="bottom"/>
            <w:tcBorders>
              <w:bottom w:val="single" w:sz="8" w:color="auto"/>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spacing w:after="0"/>
              <w:rPr>
                <w:sz w:val="7"/>
                <w:szCs w:val="7"/>
                <w:color w:val="auto"/>
              </w:rPr>
            </w:pPr>
          </w:p>
        </w:tc>
        <w:tc>
          <w:tcPr>
            <w:tcW w:w="70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380" w:type="dxa"/>
            <w:vAlign w:val="bottom"/>
            <w:tcBorders>
              <w:bottom w:val="single" w:sz="8" w:color="auto"/>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spacing w:after="0"/>
              <w:rPr>
                <w:sz w:val="7"/>
                <w:szCs w:val="7"/>
                <w:color w:val="auto"/>
              </w:rPr>
            </w:pPr>
          </w:p>
        </w:tc>
        <w:tc>
          <w:tcPr>
            <w:tcW w:w="70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380" w:type="dxa"/>
            <w:vAlign w:val="bottom"/>
            <w:tcBorders>
              <w:bottom w:val="single" w:sz="8" w:color="auto"/>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spacing w:after="0"/>
              <w:rPr>
                <w:sz w:val="7"/>
                <w:szCs w:val="7"/>
                <w:color w:val="auto"/>
              </w:rPr>
            </w:pPr>
          </w:p>
        </w:tc>
        <w:tc>
          <w:tcPr>
            <w:tcW w:w="72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380" w:type="dxa"/>
            <w:vAlign w:val="bottom"/>
            <w:tcBorders>
              <w:bottom w:val="single" w:sz="8" w:color="auto"/>
            </w:tcBorders>
            <w:shd w:val="clear" w:color="auto" w:fill="CFF0FC"/>
          </w:tcPr>
          <w:p>
            <w:pPr>
              <w:spacing w:after="0"/>
              <w:rPr>
                <w:sz w:val="7"/>
                <w:szCs w:val="7"/>
                <w:color w:val="auto"/>
              </w:rPr>
            </w:pPr>
          </w:p>
        </w:tc>
        <w:tc>
          <w:tcPr>
            <w:tcW w:w="700" w:type="dxa"/>
            <w:vAlign w:val="bottom"/>
            <w:tcBorders>
              <w:bottom w:val="single" w:sz="8" w:color="auto"/>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spacing w:after="0"/>
              <w:rPr>
                <w:sz w:val="7"/>
                <w:szCs w:val="7"/>
                <w:color w:val="auto"/>
              </w:rPr>
            </w:pPr>
          </w:p>
        </w:tc>
        <w:tc>
          <w:tcPr>
            <w:tcW w:w="740" w:type="dxa"/>
            <w:vAlign w:val="bottom"/>
            <w:tcBorders>
              <w:bottom w:val="single" w:sz="8" w:color="auto"/>
            </w:tcBorders>
            <w:shd w:val="clear" w:color="auto" w:fill="CFF0FC"/>
          </w:tcPr>
          <w:p>
            <w:pPr>
              <w:spacing w:after="0"/>
              <w:rPr>
                <w:sz w:val="7"/>
                <w:szCs w:val="7"/>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440" w:firstLine="517"/>
        <w:spacing w:after="0" w:line="294" w:lineRule="auto"/>
        <w:rPr>
          <w:sz w:val="20"/>
          <w:szCs w:val="20"/>
          <w:color w:val="auto"/>
        </w:rPr>
      </w:pPr>
      <w:r>
        <w:rPr>
          <w:rFonts w:ascii="Times New Roman" w:cs="Times New Roman" w:eastAsia="Times New Roman" w:hAnsi="Times New Roman"/>
          <w:sz w:val="14"/>
          <w:szCs w:val="14"/>
          <w:color w:val="auto"/>
        </w:rPr>
        <w:t>The potential shares of common stock that were excluded from the computation of diluted net income per share attributable to common stockholders for the periods presented because including them would have been antidilutive are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60"/>
          </w:cols>
          <w:pgMar w:left="220" w:top="125" w:right="21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998"/>
              <w:spacing w:after="0"/>
              <w:rPr>
                <w:sz w:val="20"/>
                <w:szCs w:val="20"/>
                <w:color w:val="auto"/>
              </w:rPr>
            </w:pPr>
            <w:r>
              <w:rPr>
                <w:rFonts w:ascii="Times New Roman" w:cs="Times New Roman" w:eastAsia="Times New Roman" w:hAnsi="Times New Roman"/>
                <w:sz w:val="11"/>
                <w:szCs w:val="11"/>
                <w:b w:val="1"/>
                <w:bCs w:val="1"/>
                <w:color w:val="auto"/>
              </w:rPr>
              <w:t>2018</w:t>
            </w:r>
          </w:p>
        </w:tc>
        <w:tc>
          <w:tcPr>
            <w:tcW w:w="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18"/>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52"/>
        </w:trPr>
        <w:tc>
          <w:tcPr>
            <w:tcW w:w="18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18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14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152,665,804</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152,665,804</w:t>
            </w:r>
          </w:p>
        </w:tc>
        <w:tc>
          <w:tcPr>
            <w:tcW w:w="0" w:type="dxa"/>
            <w:vAlign w:val="bottom"/>
          </w:tcPr>
          <w:p>
            <w:pPr>
              <w:spacing w:after="0"/>
              <w:rPr>
                <w:sz w:val="1"/>
                <w:szCs w:val="1"/>
                <w:color w:val="auto"/>
              </w:rPr>
            </w:pPr>
          </w:p>
        </w:tc>
      </w:tr>
      <w:tr>
        <w:trPr>
          <w:trHeight w:val="178"/>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Outstanding stock options</w:t>
            </w: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116,649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3"/>
          </w:tcPr>
          <w:p>
            <w:pPr>
              <w:jc w:val="right"/>
              <w:ind w:right="78"/>
              <w:spacing w:after="0"/>
              <w:rPr>
                <w:sz w:val="20"/>
                <w:szCs w:val="20"/>
                <w:color w:val="auto"/>
              </w:rPr>
            </w:pPr>
            <w:r>
              <w:rPr>
                <w:rFonts w:ascii="Times New Roman" w:cs="Times New Roman" w:eastAsia="Times New Roman" w:hAnsi="Times New Roman"/>
                <w:sz w:val="13"/>
                <w:szCs w:val="13"/>
                <w:color w:val="auto"/>
              </w:rPr>
              <w:t>3,026,985</w:t>
            </w:r>
          </w:p>
        </w:tc>
        <w:tc>
          <w:tcPr>
            <w:tcW w:w="80" w:type="dxa"/>
            <w:vAlign w:val="bottom"/>
          </w:tcPr>
          <w:p>
            <w:pPr>
              <w:spacing w:after="0"/>
              <w:rPr>
                <w:sz w:val="15"/>
                <w:szCs w:val="15"/>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59,291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3"/>
          </w:tcPr>
          <w:p>
            <w:pPr>
              <w:jc w:val="right"/>
              <w:ind w:right="98"/>
              <w:spacing w:after="0"/>
              <w:rPr>
                <w:sz w:val="20"/>
                <w:szCs w:val="20"/>
                <w:color w:val="auto"/>
              </w:rPr>
            </w:pPr>
            <w:r>
              <w:rPr>
                <w:rFonts w:ascii="Times New Roman" w:cs="Times New Roman" w:eastAsia="Times New Roman" w:hAnsi="Times New Roman"/>
                <w:sz w:val="13"/>
                <w:szCs w:val="13"/>
                <w:color w:val="auto"/>
              </w:rPr>
              <w:t>2,250,724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Unvested RSUs</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153,751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78,150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rights committed under</w:t>
            </w: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23,509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11"/>
                <w:szCs w:val="11"/>
                <w:color w:val="auto"/>
              </w:rPr>
            </w:pPr>
          </w:p>
        </w:tc>
        <w:tc>
          <w:tcPr>
            <w:tcW w:w="760" w:type="dxa"/>
            <w:vAlign w:val="bottom"/>
            <w:vMerge w:val="restart"/>
          </w:tcPr>
          <w:p>
            <w:pPr>
              <w:spacing w:after="0"/>
              <w:rPr>
                <w:sz w:val="11"/>
                <w:szCs w:val="11"/>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11"/>
                <w:szCs w:val="11"/>
                <w:color w:val="auto"/>
              </w:rPr>
            </w:pPr>
          </w:p>
        </w:tc>
        <w:tc>
          <w:tcPr>
            <w:tcW w:w="11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11,949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11"/>
                <w:szCs w:val="11"/>
                <w:color w:val="auto"/>
              </w:rPr>
            </w:pPr>
          </w:p>
        </w:tc>
        <w:tc>
          <w:tcPr>
            <w:tcW w:w="780" w:type="dxa"/>
            <w:vAlign w:val="bottom"/>
            <w:vMerge w:val="restart"/>
          </w:tcPr>
          <w:p>
            <w:pPr>
              <w:spacing w:after="0"/>
              <w:rPr>
                <w:sz w:val="11"/>
                <w:szCs w:val="11"/>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 ESPP</w:t>
            </w: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w:t>
            </w: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293,909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155,692,789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149,390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154,916,528</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jc w:val="both"/>
        <w:ind w:right="100" w:firstLine="517"/>
        <w:spacing w:after="0" w:line="278" w:lineRule="auto"/>
        <w:rPr>
          <w:sz w:val="20"/>
          <w:szCs w:val="20"/>
          <w:color w:val="auto"/>
        </w:rPr>
      </w:pPr>
      <w:r>
        <w:rPr>
          <w:rFonts w:ascii="Times New Roman" w:cs="Times New Roman" w:eastAsia="Times New Roman" w:hAnsi="Times New Roman"/>
          <w:sz w:val="14"/>
          <w:szCs w:val="14"/>
          <w:color w:val="auto"/>
        </w:rPr>
        <w:t>The table above does not include 500,000 shares of Class A common stock reserved for the sole purpose of being transferred to a nonprofit organization to be formed or identified by us at a future time.</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12. Related Party Transactions</w:t>
      </w:r>
    </w:p>
    <w:p>
      <w:pPr>
        <w:spacing w:after="0" w:line="102" w:lineRule="exact"/>
        <w:rPr>
          <w:sz w:val="20"/>
          <w:szCs w:val="20"/>
          <w:color w:val="auto"/>
        </w:rPr>
      </w:pPr>
    </w:p>
    <w:p>
      <w:pPr>
        <w:jc w:val="both"/>
        <w:ind w:right="120" w:firstLine="388"/>
        <w:spacing w:after="0" w:line="275" w:lineRule="auto"/>
        <w:rPr>
          <w:sz w:val="20"/>
          <w:szCs w:val="20"/>
          <w:color w:val="auto"/>
        </w:rPr>
      </w:pPr>
      <w:r>
        <w:rPr>
          <w:rFonts w:ascii="Times New Roman" w:cs="Times New Roman" w:eastAsia="Times New Roman" w:hAnsi="Times New Roman"/>
          <w:sz w:val="14"/>
          <w:szCs w:val="14"/>
          <w:color w:val="auto"/>
        </w:rPr>
        <w:t>In September 2016, we entered into a service agreement with Veeva Systems Inc. (Veeva), a cloud-based business solutions company. The chief executive officer of Veeva serves as a director on our board of directors. Revenue recognized from services provided to Veeva was $0.3 million and $0.3 million for the three months ended July 31, 2019 and 2018, respectively, and $0.7 million and $0.6 million for the six months ended July 31, 2019 and 2018,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8" w:lineRule="exact"/>
        <w:rPr>
          <w:sz w:val="20"/>
          <w:szCs w:val="20"/>
          <w:color w:val="auto"/>
        </w:rPr>
      </w:pPr>
    </w:p>
    <w:p>
      <w:pPr>
        <w:ind w:right="60" w:firstLine="388"/>
        <w:spacing w:after="0" w:line="270"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Our mission is to make video communications frictionless.</w:t>
      </w:r>
    </w:p>
    <w:p>
      <w:pPr>
        <w:spacing w:after="0" w:line="184" w:lineRule="exact"/>
        <w:rPr>
          <w:sz w:val="20"/>
          <w:szCs w:val="20"/>
          <w:color w:val="auto"/>
        </w:rPr>
      </w:pPr>
    </w:p>
    <w:p>
      <w:pPr>
        <w:ind w:right="100" w:firstLine="388"/>
        <w:spacing w:after="0" w:line="266" w:lineRule="auto"/>
        <w:rPr>
          <w:sz w:val="20"/>
          <w:szCs w:val="20"/>
          <w:color w:val="auto"/>
        </w:rPr>
      </w:pPr>
      <w:r>
        <w:rPr>
          <w:rFonts w:ascii="Times New Roman" w:cs="Times New Roman" w:eastAsia="Times New Roman" w:hAnsi="Times New Roman"/>
          <w:sz w:val="14"/>
          <w:szCs w:val="14"/>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42" w:lineRule="exact"/>
        <w:rPr>
          <w:sz w:val="20"/>
          <w:szCs w:val="20"/>
          <w:color w:val="auto"/>
        </w:rPr>
      </w:pPr>
    </w:p>
    <w:p>
      <w:pPr>
        <w:ind w:right="60" w:firstLine="388"/>
        <w:spacing w:after="0" w:line="264" w:lineRule="auto"/>
        <w:rPr>
          <w:sz w:val="20"/>
          <w:szCs w:val="20"/>
          <w:color w:val="auto"/>
        </w:rPr>
      </w:pPr>
      <w:r>
        <w:rPr>
          <w:rFonts w:ascii="Times New Roman" w:cs="Times New Roman" w:eastAsia="Times New Roman" w:hAnsi="Times New Roman"/>
          <w:sz w:val="14"/>
          <w:szCs w:val="14"/>
          <w:color w:val="auto"/>
        </w:rPr>
        <w:t>We generate revenue from the sale of subscriptions to our video-first communications platform. Subscription revenue is driven primarily by the number of paid hosts, as well as purchases of additional products including Zoom Rooms, Zoom Video Webinars, and Zoom Phone.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12" w:lineRule="exact"/>
        <w:rPr>
          <w:sz w:val="20"/>
          <w:szCs w:val="20"/>
          <w:color w:val="auto"/>
        </w:rPr>
      </w:pPr>
    </w:p>
    <w:p>
      <w:pPr>
        <w:ind w:right="60" w:firstLine="388"/>
        <w:spacing w:after="0" w:line="269" w:lineRule="auto"/>
        <w:rPr>
          <w:sz w:val="20"/>
          <w:szCs w:val="20"/>
          <w:color w:val="auto"/>
        </w:rPr>
      </w:pPr>
      <w:r>
        <w:rPr>
          <w:rFonts w:ascii="Times New Roman" w:cs="Times New Roman" w:eastAsia="Times New Roman" w:hAnsi="Times New Roman"/>
          <w:sz w:val="14"/>
          <w:szCs w:val="14"/>
          <w:color w:val="auto"/>
        </w:rPr>
        <w:t>Our revenue was $145.8 million and $74.5 million for the three months ended July 31, 2019 and 2018, respectively, representing period-over-period growth rate of 96%. We had net income of $5.5 million and $3.8 million for the three months ended July 31, 2019 and 2018, respectively. Our revenue was $267.8 million and $134.6 million for the six months ended July 31, 2019 and 2018, respectively, representing period-over-period growth rate of 99%. We had net income of $7.8 million and $2.5 million for the six months ended July 31, 2019 and 2018, respectively. Net cash provided by operating activities was $53.4 million and $17.1 million for the six months ended July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Acquiring New Customers</w:t>
      </w:r>
    </w:p>
    <w:p>
      <w:pPr>
        <w:spacing w:after="0" w:line="102" w:lineRule="exact"/>
        <w:rPr>
          <w:sz w:val="20"/>
          <w:szCs w:val="20"/>
          <w:color w:val="auto"/>
        </w:rPr>
      </w:pPr>
    </w:p>
    <w:p>
      <w:pPr>
        <w:ind w:right="220" w:firstLine="388"/>
        <w:spacing w:after="0" w:line="269" w:lineRule="auto"/>
        <w:rPr>
          <w:sz w:val="20"/>
          <w:szCs w:val="20"/>
          <w:color w:val="auto"/>
        </w:rPr>
      </w:pPr>
      <w:r>
        <w:rPr>
          <w:rFonts w:ascii="Times New Roman" w:cs="Times New Roman" w:eastAsia="Times New Roman" w:hAnsi="Times New Roman"/>
          <w:sz w:val="14"/>
          <w:szCs w:val="14"/>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Expansion of Zoom across existing customers</w:t>
      </w:r>
    </w:p>
    <w:p>
      <w:pPr>
        <w:spacing w:after="0" w:line="102" w:lineRule="exact"/>
        <w:rPr>
          <w:sz w:val="20"/>
          <w:szCs w:val="20"/>
          <w:color w:val="auto"/>
        </w:rPr>
      </w:pPr>
    </w:p>
    <w:p>
      <w:pPr>
        <w:ind w:right="120" w:firstLine="388"/>
        <w:spacing w:after="0" w:line="264" w:lineRule="auto"/>
        <w:rPr>
          <w:sz w:val="20"/>
          <w:szCs w:val="20"/>
          <w:color w:val="auto"/>
        </w:rPr>
      </w:pPr>
      <w:r>
        <w:rPr>
          <w:rFonts w:ascii="Times New Roman" w:cs="Times New Roman" w:eastAsia="Times New Roman" w:hAnsi="Times New Roman"/>
          <w:sz w:val="14"/>
          <w:szCs w:val="14"/>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12"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was over 130% as of July 31, 2019 and 2018.</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Innovation and Expansion of Our Platform</w:t>
      </w:r>
    </w:p>
    <w:p>
      <w:pPr>
        <w:spacing w:after="0" w:line="102" w:lineRule="exact"/>
        <w:rPr>
          <w:sz w:val="20"/>
          <w:szCs w:val="20"/>
          <w:color w:val="auto"/>
        </w:rPr>
      </w:pPr>
    </w:p>
    <w:p>
      <w:pPr>
        <w:ind w:right="40" w:firstLine="388"/>
        <w:spacing w:after="0" w:line="266" w:lineRule="auto"/>
        <w:rPr>
          <w:sz w:val="20"/>
          <w:szCs w:val="20"/>
          <w:color w:val="auto"/>
        </w:rPr>
      </w:pPr>
      <w:r>
        <w:rPr>
          <w:rFonts w:ascii="Times New Roman" w:cs="Times New Roman" w:eastAsia="Times New Roman" w:hAnsi="Times New Roman"/>
          <w:sz w:val="14"/>
          <w:szCs w:val="14"/>
          <w:color w:val="auto"/>
        </w:rPr>
        <w:t>We continue to invest resources to enhance the capabilities of our platform. For example, we have recently introduced a number of product enhancements, including new features for Zoom Phone, Zoom Meetings, and Zoom Video Webinars.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International Expansion</w:t>
      </w:r>
    </w:p>
    <w:p>
      <w:pPr>
        <w:spacing w:after="0" w:line="166" w:lineRule="exact"/>
        <w:rPr>
          <w:sz w:val="20"/>
          <w:szCs w:val="20"/>
          <w:color w:val="auto"/>
        </w:rPr>
      </w:pPr>
    </w:p>
    <w:p>
      <w:pPr>
        <w:ind w:right="120" w:firstLine="388"/>
        <w:spacing w:after="0" w:line="264" w:lineRule="auto"/>
        <w:rPr>
          <w:sz w:val="20"/>
          <w:szCs w:val="20"/>
          <w:color w:val="auto"/>
        </w:rPr>
      </w:pPr>
      <w:r>
        <w:rPr>
          <w:rFonts w:ascii="Times New Roman" w:cs="Times New Roman" w:eastAsia="Times New Roman" w:hAnsi="Times New Roman"/>
          <w:sz w:val="14"/>
          <w:szCs w:val="14"/>
          <w:color w:val="auto"/>
        </w:rPr>
        <w:t>Our platform addresses the communications needs of users worldwide, and we see international expansion as a major opportunity. Our revenue from the rest of world (APAC and EMEA) represented 20% and 18% of our revenue for the three months ended July 31, 2019 and 2018, respectively, and 20% and 18% of our revenue for the six months ended July 31, 2019 and 2018, respectively.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We review the following key business metrics to measure our performance, identify trends, formulate financial projections, and make strategic decisions.</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Customers with More Than 10 Employees</w:t>
      </w:r>
    </w:p>
    <w:p>
      <w:pPr>
        <w:spacing w:after="0" w:line="156" w:lineRule="exact"/>
        <w:rPr>
          <w:sz w:val="20"/>
          <w:szCs w:val="20"/>
          <w:color w:val="auto"/>
        </w:rPr>
      </w:pPr>
    </w:p>
    <w:p>
      <w:pPr>
        <w:ind w:right="140" w:firstLine="388"/>
        <w:spacing w:after="0" w:line="269" w:lineRule="auto"/>
        <w:rPr>
          <w:sz w:val="20"/>
          <w:szCs w:val="20"/>
          <w:color w:val="auto"/>
        </w:rPr>
      </w:pPr>
      <w:r>
        <w:rPr>
          <w:rFonts w:ascii="Times New Roman" w:cs="Times New Roman" w:eastAsia="Times New Roman" w:hAnsi="Times New Roman"/>
          <w:sz w:val="14"/>
          <w:szCs w:val="14"/>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July 31, 2019 and 2018, we had approximately 66,300 and 37,200 customers with more than 10 employees, respectively. When disclosing the number of customers, we round down to the nearest hundred.</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Customers Contributing More Than $100,000 of Trailing 12 Months Revenue</w:t>
      </w:r>
    </w:p>
    <w:p>
      <w:pPr>
        <w:spacing w:after="0" w:line="166" w:lineRule="exact"/>
        <w:rPr>
          <w:sz w:val="20"/>
          <w:szCs w:val="20"/>
          <w:color w:val="auto"/>
        </w:rPr>
      </w:pPr>
    </w:p>
    <w:p>
      <w:pPr>
        <w:ind w:right="40" w:firstLine="388"/>
        <w:spacing w:after="0" w:line="269" w:lineRule="auto"/>
        <w:rPr>
          <w:sz w:val="20"/>
          <w:szCs w:val="20"/>
          <w:color w:val="auto"/>
        </w:rPr>
      </w:pPr>
      <w:r>
        <w:rPr>
          <w:rFonts w:ascii="Times New Roman" w:cs="Times New Roman" w:eastAsia="Times New Roman" w:hAnsi="Times New Roman"/>
          <w:sz w:val="14"/>
          <w:szCs w:val="14"/>
          <w:color w:val="auto"/>
        </w:rPr>
        <w:t>We focus on growing the number of customers that contribute more than $100,000 of trailing 12 months revenue as a measure of our ability to scale with our customers and attract larger organizations to Zoom. Revenue from these customers represented 30% and 25% of revenue for the three months ended July 31, 2019 and 2018, respectively, and 30% and 25% of revenue for the six months ended July 31, 2019 and 2018, respectively. As of July 31, 2019 and 2018, we had 466 and 228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In addition to our results determined in accordance with GAAP, we believe that free cash flow (FCF), a non-GAAP financial measure, is useful in evaluating our liquidity.</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102"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4"/>
          <w:szCs w:val="14"/>
          <w:color w:val="auto"/>
        </w:rPr>
        <w:t>We define FCF as GAAP net cash provided by operating activities less purchases of property and equipment. We believe that FCF is a liquidity measure that provides useful information regarding cash provided by operating activities and cash used for investments in property and equipment required to maintain and grow our business. FCF is presented for supplemental informational purposes only, has limitations as an analytical tool, and it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is a reconciliation of FCF to the most comparable GAAP measure, net cash provided by operating activities:</w:t>
      </w:r>
    </w:p>
    <w:p>
      <w:pPr>
        <w:spacing w:after="0" w:line="5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1"/>
          <w:szCs w:val="11"/>
          <w:b w:val="1"/>
          <w:bCs w:val="1"/>
          <w:color w:val="auto"/>
        </w:rPr>
        <w:t>July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9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7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2018</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3"/>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Borders>
              <w:bottom w:val="single" w:sz="8" w:color="CFF0FC"/>
            </w:tcBorders>
            <w:shd w:val="clear" w:color="auto" w:fill="CFF0FC"/>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53,408</w:t>
            </w:r>
          </w:p>
        </w:tc>
        <w:tc>
          <w:tcPr>
            <w:tcW w:w="1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17,110</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purchases of property and equipment</w:t>
            </w:r>
          </w:p>
        </w:tc>
        <w:tc>
          <w:tcPr>
            <w:tcW w:w="960" w:type="dxa"/>
            <w:vAlign w:val="bottom"/>
          </w:tcPr>
          <w:p>
            <w:pPr>
              <w:spacing w:after="0"/>
              <w:rPr>
                <w:sz w:val="16"/>
                <w:szCs w:val="16"/>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(20,937)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(10,027)</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Free cash flow (non-GAAP)</w:t>
            </w:r>
          </w:p>
        </w:tc>
        <w:tc>
          <w:tcPr>
            <w:tcW w:w="960" w:type="dxa"/>
            <w:vAlign w:val="bottom"/>
            <w:tcBorders>
              <w:bottom w:val="single" w:sz="8" w:color="CFF0FC"/>
            </w:tcBorders>
            <w:shd w:val="clear" w:color="auto" w:fill="CFF0FC"/>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32,471</w:t>
            </w: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7,083</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vMerge w:val="continue"/>
          </w:tcPr>
          <w:p>
            <w:pPr>
              <w:spacing w:after="0"/>
              <w:rPr>
                <w:sz w:val="13"/>
                <w:szCs w:val="13"/>
                <w:color w:val="auto"/>
              </w:rPr>
            </w:pPr>
          </w:p>
        </w:tc>
        <w:tc>
          <w:tcPr>
            <w:tcW w:w="960" w:type="dxa"/>
            <w:vAlign w:val="bottom"/>
          </w:tcPr>
          <w:p>
            <w:pPr>
              <w:jc w:val="right"/>
              <w:ind w:right="8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31"/>
              <w:spacing w:after="0" w:line="156" w:lineRule="exact"/>
              <w:rPr>
                <w:sz w:val="20"/>
                <w:szCs w:val="20"/>
                <w:color w:val="auto"/>
              </w:rPr>
            </w:pPr>
            <w:r>
              <w:rPr>
                <w:rFonts w:ascii="Times New Roman" w:cs="Times New Roman" w:eastAsia="Times New Roman" w:hAnsi="Times New Roman"/>
                <w:sz w:val="14"/>
                <w:szCs w:val="14"/>
                <w:color w:val="auto"/>
              </w:rPr>
              <w:t>(448,484)</w:t>
            </w:r>
          </w:p>
        </w:tc>
        <w:tc>
          <w:tcPr>
            <w:tcW w:w="100" w:type="dxa"/>
            <w:vAlign w:val="bottom"/>
          </w:tcPr>
          <w:p>
            <w:pPr>
              <w:spacing w:after="0"/>
              <w:rPr>
                <w:sz w:val="13"/>
                <w:szCs w:val="13"/>
                <w:color w:val="auto"/>
              </w:rPr>
            </w:pPr>
          </w:p>
        </w:tc>
        <w:tc>
          <w:tcPr>
            <w:tcW w:w="520" w:type="dxa"/>
            <w:vAlign w:val="bottom"/>
          </w:tcPr>
          <w:p>
            <w:pPr>
              <w:jc w:val="right"/>
              <w:ind w:right="3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1"/>
              <w:spacing w:after="0" w:line="156" w:lineRule="exact"/>
              <w:rPr>
                <w:sz w:val="20"/>
                <w:szCs w:val="20"/>
                <w:color w:val="auto"/>
              </w:rPr>
            </w:pPr>
            <w:r>
              <w:rPr>
                <w:rFonts w:ascii="Times New Roman" w:cs="Times New Roman" w:eastAsia="Times New Roman" w:hAnsi="Times New Roman"/>
                <w:sz w:val="14"/>
                <w:szCs w:val="14"/>
                <w:color w:val="auto"/>
              </w:rPr>
              <w:t>(16,548)</w:t>
            </w:r>
          </w:p>
        </w:tc>
        <w:tc>
          <w:tcPr>
            <w:tcW w:w="0" w:type="dxa"/>
            <w:vAlign w:val="bottom"/>
          </w:tcPr>
          <w:p>
            <w:pPr>
              <w:spacing w:after="0"/>
              <w:rPr>
                <w:sz w:val="1"/>
                <w:szCs w:val="1"/>
                <w:color w:val="auto"/>
              </w:rPr>
            </w:pPr>
          </w:p>
        </w:tc>
      </w:tr>
      <w:tr>
        <w:trPr>
          <w:trHeight w:val="23"/>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bottom w:val="single" w:sz="8" w:color="CFF0FC"/>
            </w:tcBorders>
            <w:shd w:val="clear" w:color="auto" w:fill="CFF0FC"/>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ind w:right="71"/>
              <w:spacing w:after="0"/>
              <w:rPr>
                <w:sz w:val="20"/>
                <w:szCs w:val="20"/>
                <w:color w:val="auto"/>
              </w:rPr>
            </w:pPr>
            <w:r>
              <w:rPr>
                <w:rFonts w:ascii="Times New Roman" w:cs="Times New Roman" w:eastAsia="Times New Roman" w:hAnsi="Times New Roman"/>
                <w:sz w:val="14"/>
                <w:szCs w:val="14"/>
                <w:color w:val="auto"/>
              </w:rPr>
              <w:t>545,138</w:t>
            </w: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2" w:lineRule="exact"/>
        <w:rPr>
          <w:sz w:val="20"/>
          <w:szCs w:val="20"/>
          <w:color w:val="auto"/>
        </w:rPr>
      </w:pPr>
    </w:p>
    <w:p>
      <w:pPr>
        <w:ind w:right="300" w:firstLine="388"/>
        <w:spacing w:after="0" w:line="294" w:lineRule="auto"/>
        <w:rPr>
          <w:sz w:val="20"/>
          <w:szCs w:val="20"/>
          <w:color w:val="auto"/>
        </w:rPr>
      </w:pPr>
      <w:r>
        <w:rPr>
          <w:rFonts w:ascii="Times New Roman" w:cs="Times New Roman" w:eastAsia="Times New Roman" w:hAnsi="Times New Roman"/>
          <w:sz w:val="14"/>
          <w:szCs w:val="14"/>
          <w:color w:val="auto"/>
        </w:rPr>
        <w:t>We derive our revenue from subscription agreements with customers for access to our video-first communications platform. Our customers do not have the ability to take possession of our software. We also provide services, which include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professional services, consulting services, and online event hosting, which are generally considered distinct from the access to our video-first communications platform.</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02" w:lineRule="exact"/>
        <w:rPr>
          <w:sz w:val="20"/>
          <w:szCs w:val="20"/>
          <w:color w:val="auto"/>
        </w:rPr>
      </w:pPr>
    </w:p>
    <w:p>
      <w:pPr>
        <w:ind w:right="220" w:firstLine="388"/>
        <w:spacing w:after="0" w:line="275" w:lineRule="auto"/>
        <w:rPr>
          <w:sz w:val="20"/>
          <w:szCs w:val="20"/>
          <w:color w:val="auto"/>
        </w:rPr>
      </w:pPr>
      <w:r>
        <w:rPr>
          <w:rFonts w:ascii="Times New Roman" w:cs="Times New Roman" w:eastAsia="Times New Roman" w:hAnsi="Times New Roman"/>
          <w:sz w:val="14"/>
          <w:szCs w:val="14"/>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00" w:lineRule="exact"/>
        <w:rPr>
          <w:sz w:val="20"/>
          <w:szCs w:val="20"/>
          <w:color w:val="auto"/>
        </w:rPr>
      </w:pPr>
    </w:p>
    <w:p>
      <w:pPr>
        <w:jc w:val="both"/>
        <w:ind w:right="220" w:firstLine="388"/>
        <w:spacing w:after="0" w:line="275" w:lineRule="auto"/>
        <w:rPr>
          <w:sz w:val="20"/>
          <w:szCs w:val="20"/>
          <w:color w:val="auto"/>
        </w:rPr>
      </w:pPr>
      <w:r>
        <w:rPr>
          <w:rFonts w:ascii="Times New Roman" w:cs="Times New Roman" w:eastAsia="Times New Roman" w:hAnsi="Times New Roman"/>
          <w:sz w:val="14"/>
          <w:szCs w:val="14"/>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00" w:lineRule="exact"/>
        <w:rPr>
          <w:sz w:val="20"/>
          <w:szCs w:val="20"/>
          <w:color w:val="auto"/>
        </w:rPr>
      </w:pPr>
    </w:p>
    <w:p>
      <w:pPr>
        <w:ind w:right="40" w:firstLine="388"/>
        <w:spacing w:after="0" w:line="269" w:lineRule="auto"/>
        <w:rPr>
          <w:sz w:val="20"/>
          <w:szCs w:val="20"/>
          <w:color w:val="auto"/>
        </w:rPr>
      </w:pPr>
      <w:r>
        <w:rPr>
          <w:rFonts w:ascii="Times New Roman" w:cs="Times New Roman" w:eastAsia="Times New Roman" w:hAnsi="Times New Roman"/>
          <w:sz w:val="14"/>
          <w:szCs w:val="14"/>
          <w:color w:val="auto"/>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 marketing efforts.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00" w:lineRule="exact"/>
        <w:rPr>
          <w:sz w:val="20"/>
          <w:szCs w:val="20"/>
          <w:color w:val="auto"/>
        </w:rPr>
      </w:pPr>
    </w:p>
    <w:p>
      <w:pPr>
        <w:ind w:firstLine="388"/>
        <w:spacing w:after="0" w:line="269" w:lineRule="auto"/>
        <w:rPr>
          <w:sz w:val="20"/>
          <w:szCs w:val="20"/>
          <w:color w:val="auto"/>
        </w:rPr>
      </w:pPr>
      <w:r>
        <w:rPr>
          <w:rFonts w:ascii="Times New Roman" w:cs="Times New Roman" w:eastAsia="Times New Roman" w:hAnsi="Times New Roman"/>
          <w:sz w:val="14"/>
          <w:szCs w:val="14"/>
          <w:color w:val="auto"/>
        </w:rPr>
        <w:t>General and administrative expenses primarily consist of personnel-related expenses associated with our finance, legal, and human resources organizations, professional fees for external legal, accounting and other consulting services, bad debt expense, insurance, and allocated overhead. We expect to increase the size of our general and administrative function to support the growth of our business. We also expect to incur additional expenses as a result of operating as a public company. We expect the dollar amount of our general and administrative expenses to increase for the foreseeable future.</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Net</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Interest income, net consists primarily of interest income earned on our cash equivalents and marketable securities.</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 xml:space="preserve">Other income, net consists primarily of the </w:t>
      </w:r>
      <w:r>
        <w:rPr>
          <w:rFonts w:ascii="Times New Roman" w:cs="Times New Roman" w:eastAsia="Times New Roman" w:hAnsi="Times New Roman"/>
          <w:sz w:val="14"/>
          <w:szCs w:val="14"/>
          <w:color w:val="231F20"/>
        </w:rPr>
        <w:t>net accretion on our investments in marketable securities and</w:t>
      </w:r>
      <w:r>
        <w:rPr>
          <w:rFonts w:ascii="Times New Roman" w:cs="Times New Roman" w:eastAsia="Times New Roman" w:hAnsi="Times New Roman"/>
          <w:sz w:val="14"/>
          <w:szCs w:val="14"/>
          <w:color w:val="auto"/>
        </w:rPr>
        <w:t xml:space="preserve"> miscellaneous nonoperational income and expenses.</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Provision for income taxes consists primarily of income taxes related to foreign and state jurisdictions where we conduct business.</w:t>
      </w: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400"/>
          </w:cols>
          <w:pgMar w:left="220" w:top="125" w:right="27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tables set forth selected condensed consolidated statements of operations data and such data as a percentage of total revenue for each of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gridSpan w:val="4"/>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4"/>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00" w:type="dxa"/>
            <w:vAlign w:val="bottom"/>
          </w:tcPr>
          <w:p>
            <w:pPr>
              <w:spacing w:after="0"/>
              <w:rPr>
                <w:sz w:val="11"/>
                <w:szCs w:val="11"/>
                <w:color w:val="auto"/>
              </w:rPr>
            </w:pPr>
          </w:p>
        </w:tc>
      </w:tr>
      <w:tr>
        <w:trPr>
          <w:trHeight w:val="155"/>
        </w:trPr>
        <w:tc>
          <w:tcPr>
            <w:tcW w:w="45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1"/>
                <w:szCs w:val="11"/>
                <w:b w:val="1"/>
                <w:bCs w:val="1"/>
                <w:color w:val="auto"/>
                <w:w w:val="98"/>
              </w:rPr>
              <w:t>July 31,</w:t>
            </w:r>
          </w:p>
        </w:tc>
        <w:tc>
          <w:tcPr>
            <w:tcW w:w="1100" w:type="dxa"/>
            <w:vAlign w:val="bottom"/>
            <w:tcBorders>
              <w:bottom w:val="single" w:sz="8" w:color="auto"/>
            </w:tcBorders>
          </w:tcPr>
          <w:p>
            <w:pPr>
              <w:spacing w:after="0"/>
              <w:rPr>
                <w:sz w:val="13"/>
                <w:szCs w:val="13"/>
                <w:color w:val="auto"/>
              </w:rPr>
            </w:pPr>
          </w:p>
        </w:tc>
      </w:tr>
      <w:tr>
        <w:trPr>
          <w:trHeight w:val="152"/>
        </w:trPr>
        <w:tc>
          <w:tcPr>
            <w:tcW w:w="45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5"/>
        </w:trPr>
        <w:tc>
          <w:tcPr>
            <w:tcW w:w="4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3"/>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0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145,826</w:t>
            </w:r>
          </w:p>
        </w:tc>
        <w:tc>
          <w:tcPr>
            <w:tcW w:w="840" w:type="dxa"/>
            <w:vAlign w:val="bottom"/>
            <w:tcBorders>
              <w:bottom w:val="single" w:sz="8" w:color="CFF0FC"/>
            </w:tcBorders>
            <w:gridSpan w:val="3"/>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74,526</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267,814</w:t>
            </w:r>
          </w:p>
        </w:tc>
        <w:tc>
          <w:tcPr>
            <w:tcW w:w="800" w:type="dxa"/>
            <w:vAlign w:val="bottom"/>
            <w:tcBorders>
              <w:bottom w:val="single" w:sz="8" w:color="CFF0FC"/>
            </w:tcBorders>
            <w:gridSpan w:val="3"/>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134,596</w:t>
            </w:r>
          </w:p>
        </w:tc>
      </w:tr>
      <w:tr>
        <w:trPr>
          <w:trHeight w:val="216"/>
        </w:trPr>
        <w:tc>
          <w:tcPr>
            <w:tcW w:w="4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12,973</w:t>
            </w:r>
          </w:p>
        </w:tc>
        <w:tc>
          <w:tcPr>
            <w:tcW w:w="1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52,004</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24,633</w:t>
            </w:r>
          </w:p>
        </w:tc>
      </w:tr>
      <w:tr>
        <w:trPr>
          <w:trHeight w:val="20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117,926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61,553</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215,810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109,963</w:t>
            </w:r>
          </w:p>
        </w:tc>
      </w:tr>
      <w:tr>
        <w:trPr>
          <w:trHeight w:val="17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4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 xml:space="preserve">Research and development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7,049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13,313</w:t>
            </w: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8"/>
                <w:szCs w:val="18"/>
                <w:color w:val="auto"/>
                <w:vertAlign w:val="superscript"/>
              </w:rPr>
              <w:t>(1)</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41,054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77,315</w:t>
            </w:r>
          </w:p>
        </w:tc>
      </w:tr>
      <w:tr>
        <w:trPr>
          <w:trHeight w:val="216"/>
        </w:trPr>
        <w:tc>
          <w:tcPr>
            <w:tcW w:w="4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20,955</w:t>
            </w:r>
          </w:p>
        </w:tc>
        <w:tc>
          <w:tcPr>
            <w:tcW w:w="1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10,028</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39,458</w:t>
            </w: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17,597</w:t>
            </w:r>
          </w:p>
        </w:tc>
      </w:tr>
      <w:tr>
        <w:trPr>
          <w:trHeight w:val="184"/>
        </w:trPr>
        <w:tc>
          <w:tcPr>
            <w:tcW w:w="4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115,661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58,131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108,225</w:t>
            </w:r>
          </w:p>
        </w:tc>
      </w:tr>
      <w:tr>
        <w:trPr>
          <w:trHeight w:val="23"/>
        </w:trPr>
        <w:tc>
          <w:tcPr>
            <w:tcW w:w="452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4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1,738</w:t>
            </w: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899</w:t>
            </w: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4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86</w:t>
            </w: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provision for income taxes</w:t>
            </w: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3,966</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2,723</w:t>
            </w:r>
          </w:p>
        </w:tc>
      </w:tr>
      <w:tr>
        <w:trPr>
          <w:trHeight w:val="23"/>
        </w:trPr>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(238)</w:t>
            </w:r>
          </w:p>
        </w:tc>
      </w:tr>
      <w:tr>
        <w:trPr>
          <w:trHeight w:val="20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5,541</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2,485</w:t>
            </w:r>
          </w:p>
        </w:tc>
      </w:tr>
      <w:tr>
        <w:trPr>
          <w:trHeight w:val="20"/>
        </w:trPr>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160" w:hanging="139"/>
        <w:spacing w:after="0"/>
        <w:tabs>
          <w:tab w:leader="none" w:pos="16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expense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60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225</w:t>
            </w: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322</w:t>
            </w:r>
          </w:p>
        </w:tc>
      </w:tr>
      <w:tr>
        <w:trPr>
          <w:trHeight w:val="23"/>
        </w:trPr>
        <w:tc>
          <w:tcPr>
            <w:tcW w:w="4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6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10,439</w:t>
            </w: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13,066</w:t>
            </w:r>
          </w:p>
        </w:tc>
        <w:tc>
          <w:tcPr>
            <w:tcW w:w="1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888</w:t>
            </w: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5,265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540</w:t>
            </w:r>
          </w:p>
        </w:tc>
      </w:tr>
      <w:tr>
        <w:trPr>
          <w:trHeight w:val="23"/>
        </w:trPr>
        <w:tc>
          <w:tcPr>
            <w:tcW w:w="45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1"/>
        </w:trPr>
        <w:tc>
          <w:tcPr>
            <w:tcW w:w="4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18,075</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24,737</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1,975</w:t>
            </w: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00" w:type="dxa"/>
            <w:vAlign w:val="bottom"/>
            <w:gridSpan w:val="3"/>
          </w:tcPr>
          <w:p>
            <w:pPr>
              <w:jc w:val="center"/>
              <w:ind w:right="32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20" w:type="dxa"/>
            <w:vAlign w:val="bottom"/>
          </w:tcPr>
          <w:p>
            <w:pPr>
              <w:spacing w:after="0"/>
              <w:rPr>
                <w:sz w:val="10"/>
                <w:szCs w:val="10"/>
                <w:color w:val="auto"/>
              </w:rPr>
            </w:pPr>
          </w:p>
        </w:tc>
      </w:tr>
      <w:tr>
        <w:trPr>
          <w:trHeight w:val="155"/>
        </w:trPr>
        <w:tc>
          <w:tcPr>
            <w:tcW w:w="44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right="343"/>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July 31,</w:t>
            </w:r>
          </w:p>
        </w:tc>
        <w:tc>
          <w:tcPr>
            <w:tcW w:w="1120" w:type="dxa"/>
            <w:vAlign w:val="bottom"/>
            <w:tcBorders>
              <w:bottom w:val="single" w:sz="8" w:color="auto"/>
            </w:tcBorders>
          </w:tcPr>
          <w:p>
            <w:pPr>
              <w:spacing w:after="0"/>
              <w:rPr>
                <w:sz w:val="13"/>
                <w:szCs w:val="13"/>
                <w:color w:val="auto"/>
              </w:rPr>
            </w:pPr>
          </w:p>
        </w:tc>
      </w:tr>
      <w:tr>
        <w:trPr>
          <w:trHeight w:val="152"/>
        </w:trPr>
        <w:tc>
          <w:tcPr>
            <w:tcW w:w="4440" w:type="dxa"/>
            <w:vAlign w:val="bottom"/>
          </w:tcPr>
          <w:p>
            <w:pPr>
              <w:spacing w:after="0"/>
              <w:rPr>
                <w:sz w:val="13"/>
                <w:szCs w:val="13"/>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2019</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2018</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5"/>
        </w:trPr>
        <w:tc>
          <w:tcPr>
            <w:tcW w:w="4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3"/>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(as a percentage of revenue)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0"/>
        </w:trPr>
        <w:tc>
          <w:tcPr>
            <w:tcW w:w="5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18</w:t>
            </w:r>
          </w:p>
        </w:tc>
      </w:tr>
      <w:tr>
        <w:trPr>
          <w:trHeight w:val="23"/>
        </w:trPr>
        <w:tc>
          <w:tcPr>
            <w:tcW w:w="444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5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82</w:t>
            </w:r>
          </w:p>
        </w:tc>
      </w:t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5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Sales and marketing</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57</w:t>
            </w:r>
          </w:p>
        </w:tc>
      </w:tr>
      <w:tr>
        <w:trPr>
          <w:trHeight w:val="23"/>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44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General administrative</w:t>
            </w:r>
          </w:p>
        </w:tc>
        <w:tc>
          <w:tcPr>
            <w:tcW w:w="10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13</w:t>
            </w:r>
          </w:p>
        </w:tc>
      </w:tr>
      <w:tr>
        <w:trPr>
          <w:trHeight w:val="184"/>
        </w:trPr>
        <w:tc>
          <w:tcPr>
            <w:tcW w:w="4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80</w:t>
            </w:r>
          </w:p>
        </w:tc>
      </w:tr>
      <w:tr>
        <w:trPr>
          <w:trHeight w:val="23"/>
        </w:trPr>
        <w:tc>
          <w:tcPr>
            <w:tcW w:w="444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5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6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3"/>
          </w:tcPr>
          <w:p>
            <w:pPr>
              <w:jc w:val="right"/>
              <w:ind w:right="132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CFF0FC"/>
            </w:tcBorders>
            <w:gridSpan w:val="3"/>
            <w:shd w:val="clear" w:color="auto" w:fill="CFF0FC"/>
          </w:tcPr>
          <w:p>
            <w:pPr>
              <w:jc w:val="right"/>
              <w:ind w:right="132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provision for income taxes</w:t>
            </w:r>
          </w:p>
        </w:tc>
        <w:tc>
          <w:tcPr>
            <w:tcW w:w="10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w:t>
            </w:r>
          </w:p>
        </w:tc>
      </w:tr>
      <w:tr>
        <w:trPr>
          <w:trHeight w:val="23"/>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CFF0FC"/>
            </w:tcBorders>
            <w:gridSpan w:val="3"/>
            <w:shd w:val="clear" w:color="auto" w:fill="CFF0FC"/>
          </w:tcPr>
          <w:p>
            <w:pPr>
              <w:jc w:val="right"/>
              <w:ind w:right="132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FF0FC"/>
            </w:tcBorders>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4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48"/>
        </w:trPr>
        <w:tc>
          <w:tcPr>
            <w:tcW w:w="4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60"/>
          </w:cols>
          <w:pgMar w:left="220" w:top="125" w:right="21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July 31, 2019 and 2018</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rPr>
              <w:t>145,826</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74,526</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96 %</w:t>
            </w:r>
          </w:p>
        </w:tc>
      </w:tr>
      <w:tr>
        <w:trPr>
          <w:trHeight w:val="23"/>
        </w:trPr>
        <w:tc>
          <w:tcPr>
            <w:tcW w:w="6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right="80" w:firstLine="388"/>
        <w:spacing w:after="0" w:line="287" w:lineRule="auto"/>
        <w:rPr>
          <w:sz w:val="20"/>
          <w:szCs w:val="20"/>
          <w:color w:val="auto"/>
        </w:rPr>
      </w:pPr>
      <w:r>
        <w:rPr>
          <w:rFonts w:ascii="Times New Roman" w:cs="Times New Roman" w:eastAsia="Times New Roman" w:hAnsi="Times New Roman"/>
          <w:sz w:val="14"/>
          <w:szCs w:val="14"/>
          <w:color w:val="231F20"/>
        </w:rPr>
        <w:t xml:space="preserve">Revenue for the three months ended July 31, 2019 increased by $71.3 million, or 96%, compared to the three months ended July 31, 2018. </w:t>
      </w:r>
      <w:r>
        <w:rPr>
          <w:rFonts w:ascii="Times New Roman" w:cs="Times New Roman" w:eastAsia="Times New Roman" w:hAnsi="Times New Roman"/>
          <w:sz w:val="14"/>
          <w:szCs w:val="14"/>
          <w:color w:val="000000"/>
        </w:rPr>
        <w:t>The increase was primarily due to subscription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services provided to new customers, which accounted for approximately 61% of the increase, and to subscription services provided to existing customers, which accounted for approximately 39% of the increase.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2"/>
        </w:trPr>
        <w:tc>
          <w:tcPr>
            <w:tcW w:w="6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60" w:type="dxa"/>
            <w:vAlign w:val="bottom"/>
            <w:tcBorders>
              <w:bottom w:val="single" w:sz="8" w:color="auto"/>
            </w:tcBorders>
          </w:tcPr>
          <w:p>
            <w:pPr>
              <w:spacing w:after="0"/>
              <w:rPr>
                <w:sz w:val="13"/>
                <w:szCs w:val="13"/>
                <w:color w:val="auto"/>
              </w:rPr>
            </w:pPr>
          </w:p>
        </w:tc>
      </w:tr>
      <w:tr>
        <w:trPr>
          <w:trHeight w:val="185"/>
        </w:trPr>
        <w:tc>
          <w:tcPr>
            <w:tcW w:w="6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ind w:left="8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0"/>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6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27,900</w:t>
            </w: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12,973</w:t>
            </w:r>
          </w:p>
        </w:tc>
        <w:tc>
          <w:tcPr>
            <w:tcW w:w="1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tcPr>
          <w:p>
            <w:pPr>
              <w:spacing w:after="0"/>
              <w:rPr>
                <w:sz w:val="16"/>
                <w:szCs w:val="16"/>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117,926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61,553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3"/>
        </w:trPr>
        <w:tc>
          <w:tcPr>
            <w:tcW w:w="68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125" w:lineRule="exact"/>
        <w:rPr>
          <w:sz w:val="20"/>
          <w:szCs w:val="20"/>
          <w:color w:val="auto"/>
        </w:rPr>
      </w:pPr>
    </w:p>
    <w:p>
      <w:pPr>
        <w:ind w:right="40" w:firstLine="388"/>
        <w:spacing w:after="0" w:line="269" w:lineRule="auto"/>
        <w:rPr>
          <w:sz w:val="20"/>
          <w:szCs w:val="20"/>
          <w:color w:val="auto"/>
        </w:rPr>
      </w:pPr>
      <w:r>
        <w:rPr>
          <w:rFonts w:ascii="Times New Roman" w:cs="Times New Roman" w:eastAsia="Times New Roman" w:hAnsi="Times New Roman"/>
          <w:sz w:val="14"/>
          <w:szCs w:val="14"/>
          <w:color w:val="231F20"/>
        </w:rPr>
        <w:t xml:space="preserve">Cost of revenue for the three months ended July 31, 2019 increased by $14.9 million, or 115%, compared to the three months ended July 31, 2018. The increase in cost of revenue was primarily due to an increase of $7.9 million in costs related to our co-located data centers, third-party cloud hosting, and integrated third-party PSTN services to support the increase in customers and expanded use of our video-first communications platform by existing customers, an increase of $5.1 million in personnel-related expenses mainly driven by increased headcount, which includes a $1.8 million </w:t>
      </w:r>
      <w:r>
        <w:rPr>
          <w:rFonts w:ascii="Times New Roman" w:cs="Times New Roman" w:eastAsia="Times New Roman" w:hAnsi="Times New Roman"/>
          <w:sz w:val="14"/>
          <w:szCs w:val="14"/>
          <w:color w:val="000000"/>
        </w:rPr>
        <w:t>increase in stock-based compensation expense</w:t>
      </w:r>
      <w:r>
        <w:rPr>
          <w:rFonts w:ascii="Times New Roman" w:cs="Times New Roman" w:eastAsia="Times New Roman" w:hAnsi="Times New Roman"/>
          <w:sz w:val="14"/>
          <w:szCs w:val="14"/>
          <w:color w:val="231F20"/>
        </w:rPr>
        <w:t>, and an increase in allocated overhead of $1.2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15,054</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7,049</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114 %</w:t>
            </w:r>
          </w:p>
        </w:tc>
      </w:tr>
      <w:tr>
        <w:trPr>
          <w:trHeight w:val="23"/>
        </w:trPr>
        <w:tc>
          <w:tcPr>
            <w:tcW w:w="69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25" w:lineRule="exact"/>
        <w:rPr>
          <w:sz w:val="20"/>
          <w:szCs w:val="20"/>
          <w:color w:val="auto"/>
        </w:rPr>
      </w:pPr>
    </w:p>
    <w:p>
      <w:pPr>
        <w:jc w:val="both"/>
        <w:ind w:right="160" w:firstLine="388"/>
        <w:spacing w:after="0" w:line="275" w:lineRule="auto"/>
        <w:rPr>
          <w:sz w:val="20"/>
          <w:szCs w:val="20"/>
          <w:color w:val="auto"/>
        </w:rPr>
      </w:pPr>
      <w:r>
        <w:rPr>
          <w:rFonts w:ascii="Times New Roman" w:cs="Times New Roman" w:eastAsia="Times New Roman" w:hAnsi="Times New Roman"/>
          <w:sz w:val="14"/>
          <w:szCs w:val="14"/>
          <w:color w:val="231F20"/>
        </w:rPr>
        <w:t xml:space="preserve">Research and development expense for the three months ended July 31, 2019 increased by $8.0 million, or 114%, compared to the three months ended July 31, 2018, as we continued to add new features and functionalities to our video-first communications platform. </w:t>
      </w:r>
      <w:r>
        <w:rPr>
          <w:rFonts w:ascii="Times New Roman" w:cs="Times New Roman" w:eastAsia="Times New Roman" w:hAnsi="Times New Roman"/>
          <w:sz w:val="14"/>
          <w:szCs w:val="14"/>
          <w:color w:val="000000"/>
        </w:rPr>
        <w:t>The increase was primarily due to an increase in personnel-related expenses of</w:t>
      </w:r>
      <w:r>
        <w:rPr>
          <w:rFonts w:ascii="Times New Roman" w:cs="Times New Roman" w:eastAsia="Times New Roman" w:hAnsi="Times New Roman"/>
          <w:sz w:val="14"/>
          <w:szCs w:val="14"/>
          <w:color w:val="231F20"/>
        </w:rPr>
        <w:t xml:space="preserve"> $8.8 million </w:t>
      </w:r>
      <w:r>
        <w:rPr>
          <w:rFonts w:ascii="Times New Roman" w:cs="Times New Roman" w:eastAsia="Times New Roman" w:hAnsi="Times New Roman"/>
          <w:sz w:val="14"/>
          <w:szCs w:val="14"/>
          <w:color w:val="000000"/>
        </w:rPr>
        <w:t>mainly driven by increased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headcount, which includes a </w:t>
      </w:r>
      <w:r>
        <w:rPr>
          <w:rFonts w:ascii="Times New Roman" w:cs="Times New Roman" w:eastAsia="Times New Roman" w:hAnsi="Times New Roman"/>
          <w:sz w:val="14"/>
          <w:szCs w:val="14"/>
          <w:color w:val="231F20"/>
        </w:rPr>
        <w:t>$2.3 million</w:t>
      </w:r>
      <w:r>
        <w:rPr>
          <w:rFonts w:ascii="Times New Roman" w:cs="Times New Roman" w:eastAsia="Times New Roman" w:hAnsi="Times New Roman"/>
          <w:sz w:val="14"/>
          <w:szCs w:val="14"/>
          <w:color w:val="000000"/>
        </w:rPr>
        <w:t xml:space="preserve"> increase in stock-based compensation expense, partially offset by an increase in capitalized software development costs of </w:t>
      </w:r>
      <w:r>
        <w:rPr>
          <w:rFonts w:ascii="Times New Roman" w:cs="Times New Roman" w:eastAsia="Times New Roman" w:hAnsi="Times New Roman"/>
          <w:sz w:val="14"/>
          <w:szCs w:val="14"/>
          <w:color w:val="231F20"/>
        </w:rPr>
        <w:t>$1.1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79,652</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41,054</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23"/>
        </w:trPr>
        <w:tc>
          <w:tcPr>
            <w:tcW w:w="69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right="200" w:firstLine="388"/>
        <w:spacing w:after="0" w:line="269" w:lineRule="auto"/>
        <w:rPr>
          <w:sz w:val="20"/>
          <w:szCs w:val="20"/>
          <w:color w:val="auto"/>
        </w:rPr>
      </w:pPr>
      <w:r>
        <w:rPr>
          <w:rFonts w:ascii="Times New Roman" w:cs="Times New Roman" w:eastAsia="Times New Roman" w:hAnsi="Times New Roman"/>
          <w:sz w:val="14"/>
          <w:szCs w:val="14"/>
          <w:color w:val="231F20"/>
        </w:rPr>
        <w:t xml:space="preserve">Sales and marketing expense for the three months ended July 31, 2019 increased by $38.6 million, or 94%, compared to the three months ended July 31, 2018. The increase in sales and marketing expense was primarily due to an increase in personnel-related expenses of $25.7 million mainly driven by increased headcount to support the growth in our sales force, which includes a $9.9 million </w:t>
      </w:r>
      <w:r>
        <w:rPr>
          <w:rFonts w:ascii="Times New Roman" w:cs="Times New Roman" w:eastAsia="Times New Roman" w:hAnsi="Times New Roman"/>
          <w:sz w:val="14"/>
          <w:szCs w:val="14"/>
          <w:color w:val="000000"/>
        </w:rPr>
        <w:t>increase in stock-based compensation expense, of which</w:t>
      </w:r>
      <w:r>
        <w:rPr>
          <w:rFonts w:ascii="Times New Roman" w:cs="Times New Roman" w:eastAsia="Times New Roman" w:hAnsi="Times New Roman"/>
          <w:sz w:val="14"/>
          <w:szCs w:val="14"/>
          <w:color w:val="231F20"/>
        </w:rPr>
        <w:t xml:space="preserve"> $6.7 million </w:t>
      </w:r>
      <w:r>
        <w:rPr>
          <w:rFonts w:ascii="Times New Roman" w:cs="Times New Roman" w:eastAsia="Times New Roman" w:hAnsi="Times New Roman"/>
          <w:sz w:val="14"/>
          <w:szCs w:val="14"/>
          <w:color w:val="000000"/>
        </w:rPr>
        <w:t>is related to the ESPP,</w:t>
      </w:r>
      <w:r>
        <w:rPr>
          <w:rFonts w:ascii="Times New Roman" w:cs="Times New Roman" w:eastAsia="Times New Roman" w:hAnsi="Times New Roman"/>
          <w:sz w:val="14"/>
          <w:szCs w:val="14"/>
          <w:color w:val="231F20"/>
        </w:rPr>
        <w:t xml:space="preserve"> and a $3.6 million increase in sales commissions driven by our increase in revenue</w:t>
      </w:r>
      <w:r>
        <w:rPr>
          <w:rFonts w:ascii="Times New Roman" w:cs="Times New Roman" w:eastAsia="Times New Roman" w:hAnsi="Times New Roman"/>
          <w:sz w:val="14"/>
          <w:szCs w:val="14"/>
          <w:color w:val="000000"/>
        </w:rPr>
        <w:t>.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remaining increase was primarily due to </w:t>
      </w:r>
      <w:r>
        <w:rPr>
          <w:rFonts w:ascii="Times New Roman" w:cs="Times New Roman" w:eastAsia="Times New Roman" w:hAnsi="Times New Roman"/>
          <w:sz w:val="14"/>
          <w:szCs w:val="14"/>
          <w:color w:val="231F20"/>
        </w:rPr>
        <w:t>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440"/>
          </w:cols>
          <w:pgMar w:left="220" w:top="125"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increase in marketing and sales event-related costs of $6.7 million as a result of increased costs related to digital and awareness programs, and an increase in allocated overhead of $4.3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20,955</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10,028</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23"/>
        </w:trPr>
        <w:tc>
          <w:tcPr>
            <w:tcW w:w="69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firstLine="388"/>
        <w:spacing w:after="0" w:line="269" w:lineRule="auto"/>
        <w:rPr>
          <w:sz w:val="20"/>
          <w:szCs w:val="20"/>
          <w:color w:val="auto"/>
        </w:rPr>
      </w:pPr>
      <w:r>
        <w:rPr>
          <w:rFonts w:ascii="Times New Roman" w:cs="Times New Roman" w:eastAsia="Times New Roman" w:hAnsi="Times New Roman"/>
          <w:sz w:val="14"/>
          <w:szCs w:val="14"/>
          <w:color w:val="231F20"/>
        </w:rPr>
        <w:t xml:space="preserve">General and administrative expense for the three months ended July 31, 2019 increased by $10.9 million, or 109%, compared to the three months ended July 31, 2018. The increase in general and administrative expense was primarily </w:t>
      </w:r>
      <w:r>
        <w:rPr>
          <w:rFonts w:ascii="Times New Roman" w:cs="Times New Roman" w:eastAsia="Times New Roman" w:hAnsi="Times New Roman"/>
          <w:sz w:val="14"/>
          <w:szCs w:val="14"/>
          <w:color w:val="000000"/>
        </w:rPr>
        <w:t>due to an increase in personnel-related expenses of</w:t>
      </w:r>
      <w:r>
        <w:rPr>
          <w:rFonts w:ascii="Times New Roman" w:cs="Times New Roman" w:eastAsia="Times New Roman" w:hAnsi="Times New Roman"/>
          <w:sz w:val="14"/>
          <w:szCs w:val="14"/>
          <w:color w:val="231F20"/>
        </w:rPr>
        <w:t xml:space="preserve"> $6.9 million </w:t>
      </w:r>
      <w:r>
        <w:rPr>
          <w:rFonts w:ascii="Times New Roman" w:cs="Times New Roman" w:eastAsia="Times New Roman" w:hAnsi="Times New Roman"/>
          <w:sz w:val="14"/>
          <w:szCs w:val="14"/>
          <w:color w:val="000000"/>
        </w:rPr>
        <w:t>mainly driven by increased headcount, which includes a</w:t>
      </w:r>
      <w:r>
        <w:rPr>
          <w:rFonts w:ascii="Times New Roman" w:cs="Times New Roman" w:eastAsia="Times New Roman" w:hAnsi="Times New Roman"/>
          <w:sz w:val="14"/>
          <w:szCs w:val="14"/>
          <w:color w:val="231F20"/>
        </w:rPr>
        <w:t xml:space="preserve"> $2.9 million </w:t>
      </w:r>
      <w:r>
        <w:rPr>
          <w:rFonts w:ascii="Times New Roman" w:cs="Times New Roman" w:eastAsia="Times New Roman" w:hAnsi="Times New Roman"/>
          <w:sz w:val="14"/>
          <w:szCs w:val="14"/>
          <w:color w:val="000000"/>
        </w:rPr>
        <w:t>increase in stock-based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compensation expense, of which </w:t>
      </w:r>
      <w:r>
        <w:rPr>
          <w:rFonts w:ascii="Times New Roman" w:cs="Times New Roman" w:eastAsia="Times New Roman" w:hAnsi="Times New Roman"/>
          <w:sz w:val="14"/>
          <w:szCs w:val="14"/>
          <w:color w:val="231F20"/>
        </w:rPr>
        <w:t>$1.1 million</w:t>
      </w:r>
      <w:r>
        <w:rPr>
          <w:rFonts w:ascii="Times New Roman" w:cs="Times New Roman" w:eastAsia="Times New Roman" w:hAnsi="Times New Roman"/>
          <w:sz w:val="14"/>
          <w:szCs w:val="14"/>
          <w:color w:val="000000"/>
        </w:rPr>
        <w:t xml:space="preserve"> is related to the ESPP. </w:t>
      </w:r>
      <w:r>
        <w:rPr>
          <w:rFonts w:ascii="Times New Roman" w:cs="Times New Roman" w:eastAsia="Times New Roman" w:hAnsi="Times New Roman"/>
          <w:sz w:val="14"/>
          <w:szCs w:val="14"/>
          <w:color w:val="231F20"/>
        </w:rPr>
        <w:t>The remaining increase was primarily due to an</w:t>
      </w:r>
      <w:r>
        <w:rPr>
          <w:rFonts w:ascii="Times New Roman" w:cs="Times New Roman" w:eastAsia="Times New Roman" w:hAnsi="Times New Roman"/>
          <w:sz w:val="14"/>
          <w:szCs w:val="14"/>
          <w:color w:val="000000"/>
        </w:rPr>
        <w:t xml:space="preserve"> increase in insurance expenses of </w:t>
      </w:r>
      <w:r>
        <w:rPr>
          <w:rFonts w:ascii="Times New Roman" w:cs="Times New Roman" w:eastAsia="Times New Roman" w:hAnsi="Times New Roman"/>
          <w:sz w:val="14"/>
          <w:szCs w:val="14"/>
          <w:color w:val="231F20"/>
        </w:rPr>
        <w:t>$1.8 million, and an increase in external</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accounting and consulting services of $1.5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90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2,864</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519 %</w:t>
            </w:r>
          </w:p>
        </w:tc>
      </w:tr>
      <w:tr>
        <w:trPr>
          <w:trHeight w:val="23"/>
        </w:trPr>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25" w:lineRule="exact"/>
        <w:rPr>
          <w:sz w:val="20"/>
          <w:szCs w:val="20"/>
          <w:color w:val="auto"/>
        </w:rPr>
      </w:pPr>
    </w:p>
    <w:p>
      <w:pPr>
        <w:jc w:val="both"/>
        <w:ind w:right="40" w:firstLine="388"/>
        <w:spacing w:after="0" w:line="294" w:lineRule="auto"/>
        <w:rPr>
          <w:sz w:val="20"/>
          <w:szCs w:val="20"/>
          <w:color w:val="auto"/>
        </w:rPr>
      </w:pPr>
      <w:r>
        <w:rPr>
          <w:rFonts w:ascii="Times New Roman" w:cs="Times New Roman" w:eastAsia="Times New Roman" w:hAnsi="Times New Roman"/>
          <w:sz w:val="14"/>
          <w:szCs w:val="14"/>
          <w:color w:val="231F20"/>
        </w:rPr>
        <w:t>Interest income, net for the three months ended July 31, 2019 increased by $2.4 million, or 519%, compared to the three months ended July 31, 2018. The increase was primarily attributable to an increase in interest income earned from our investments in marketable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90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1,910 %</w:t>
            </w:r>
          </w:p>
        </w:tc>
      </w:tr>
      <w:tr>
        <w:trPr>
          <w:trHeight w:val="23"/>
        </w:trPr>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58" w:lineRule="exact"/>
        <w:rPr>
          <w:sz w:val="20"/>
          <w:szCs w:val="20"/>
          <w:color w:val="auto"/>
        </w:rPr>
      </w:pPr>
    </w:p>
    <w:p>
      <w:pPr>
        <w:ind w:right="180" w:firstLine="517"/>
        <w:spacing w:after="0" w:line="294" w:lineRule="auto"/>
        <w:rPr>
          <w:sz w:val="20"/>
          <w:szCs w:val="20"/>
          <w:color w:val="auto"/>
        </w:rPr>
      </w:pPr>
      <w:r>
        <w:rPr>
          <w:rFonts w:ascii="Times New Roman" w:cs="Times New Roman" w:eastAsia="Times New Roman" w:hAnsi="Times New Roman"/>
          <w:sz w:val="14"/>
          <w:szCs w:val="14"/>
          <w:color w:val="231F20"/>
        </w:rPr>
        <w:t>Other income, net for the three months ended July 31, 2019 increased by $1.5 million, or 1910%, compared to the three months ended July 31, 2018. The increase was primarily due to net accretion on our investments in marketable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7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762 %</w:t>
            </w:r>
          </w:p>
        </w:tc>
      </w:tr>
      <w:tr>
        <w:trPr>
          <w:trHeight w:val="23"/>
        </w:trPr>
        <w:tc>
          <w:tcPr>
            <w:tcW w:w="67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25" w:lineRule="exact"/>
        <w:rPr>
          <w:sz w:val="20"/>
          <w:szCs w:val="20"/>
          <w:color w:val="auto"/>
        </w:rPr>
      </w:pPr>
    </w:p>
    <w:p>
      <w:pPr>
        <w:ind w:right="440" w:firstLine="388"/>
        <w:spacing w:after="0" w:line="294" w:lineRule="auto"/>
        <w:rPr>
          <w:sz w:val="20"/>
          <w:szCs w:val="20"/>
          <w:color w:val="auto"/>
        </w:rPr>
      </w:pPr>
      <w:r>
        <w:rPr>
          <w:rFonts w:ascii="Times New Roman" w:cs="Times New Roman" w:eastAsia="Times New Roman" w:hAnsi="Times New Roman"/>
          <w:sz w:val="14"/>
          <w:szCs w:val="14"/>
          <w:color w:val="231F20"/>
        </w:rPr>
        <w:t xml:space="preserve">Provision for income taxes for the three months ended July 31, 2019 increased </w:t>
      </w:r>
      <w:r>
        <w:rPr>
          <w:rFonts w:ascii="Times New Roman" w:cs="Times New Roman" w:eastAsia="Times New Roman" w:hAnsi="Times New Roman"/>
          <w:sz w:val="14"/>
          <w:szCs w:val="14"/>
          <w:color w:val="000000"/>
        </w:rPr>
        <w:t>by</w:t>
      </w:r>
      <w:r>
        <w:rPr>
          <w:rFonts w:ascii="Times New Roman" w:cs="Times New Roman" w:eastAsia="Times New Roman" w:hAnsi="Times New Roman"/>
          <w:sz w:val="14"/>
          <w:szCs w:val="14"/>
          <w:color w:val="231F20"/>
        </w:rPr>
        <w:t xml:space="preserve"> $1.1 million</w:t>
      </w:r>
      <w:r>
        <w:rPr>
          <w:rFonts w:ascii="Times New Roman" w:cs="Times New Roman" w:eastAsia="Times New Roman" w:hAnsi="Times New Roman"/>
          <w:sz w:val="14"/>
          <w:szCs w:val="14"/>
          <w:color w:val="000000"/>
        </w:rPr>
        <w:t>, or 762%, compared to the three months ended July 31, 2018. The change in provision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income taxes was </w:t>
      </w:r>
      <w:r>
        <w:rPr>
          <w:rFonts w:ascii="Times New Roman" w:cs="Times New Roman" w:eastAsia="Times New Roman" w:hAnsi="Times New Roman"/>
          <w:sz w:val="14"/>
          <w:szCs w:val="14"/>
          <w:color w:val="231F20"/>
        </w:rPr>
        <w:t>primarily due to international operations and U.S. state taxes.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July 31, 2019 and 2018</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31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31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0"/>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1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rPr>
              <w:t>267,814</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134,596</w:t>
            </w:r>
          </w:p>
        </w:tc>
        <w:tc>
          <w:tcPr>
            <w:tcW w:w="1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99 %</w:t>
            </w:r>
          </w:p>
        </w:tc>
      </w:tr>
      <w:tr>
        <w:trPr>
          <w:trHeight w:val="753"/>
        </w:trPr>
        <w:tc>
          <w:tcPr>
            <w:tcW w:w="3100" w:type="dxa"/>
            <w:vAlign w:val="bottom"/>
          </w:tcPr>
          <w:p>
            <w:pPr>
              <w:spacing w:after="0"/>
              <w:rPr>
                <w:sz w:val="24"/>
                <w:szCs w:val="24"/>
                <w:color w:val="auto"/>
              </w:rPr>
            </w:pPr>
          </w:p>
        </w:tc>
        <w:tc>
          <w:tcPr>
            <w:tcW w:w="38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right="40" w:firstLine="388"/>
        <w:spacing w:after="0" w:line="287" w:lineRule="auto"/>
        <w:rPr>
          <w:sz w:val="20"/>
          <w:szCs w:val="20"/>
          <w:color w:val="auto"/>
        </w:rPr>
      </w:pPr>
      <w:r>
        <w:rPr>
          <w:rFonts w:ascii="Times New Roman" w:cs="Times New Roman" w:eastAsia="Times New Roman" w:hAnsi="Times New Roman"/>
          <w:sz w:val="14"/>
          <w:szCs w:val="14"/>
          <w:color w:val="231F20"/>
        </w:rPr>
        <w:t xml:space="preserve">Revenue for the six months ended July 31, 2019 increased by $133.2 million, or 99%, compared to the six months ended July 31, 2018. </w:t>
      </w:r>
      <w:r>
        <w:rPr>
          <w:rFonts w:ascii="Times New Roman" w:cs="Times New Roman" w:eastAsia="Times New Roman" w:hAnsi="Times New Roman"/>
          <w:sz w:val="14"/>
          <w:szCs w:val="14"/>
          <w:color w:val="000000"/>
        </w:rPr>
        <w:t>The increase was primarily due to subscription services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provided to new customers, which accounted for approximately 62% of the increase, and to subscription services provided to existing customers, which accounted for approximately 38% of the increase.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2"/>
        </w:trPr>
        <w:tc>
          <w:tcPr>
            <w:tcW w:w="6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3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60" w:type="dxa"/>
            <w:vAlign w:val="bottom"/>
            <w:tcBorders>
              <w:bottom w:val="single" w:sz="8" w:color="auto"/>
            </w:tcBorders>
          </w:tcPr>
          <w:p>
            <w:pPr>
              <w:spacing w:after="0"/>
              <w:rPr>
                <w:sz w:val="13"/>
                <w:szCs w:val="13"/>
                <w:color w:val="auto"/>
              </w:rPr>
            </w:pPr>
          </w:p>
        </w:tc>
      </w:tr>
      <w:tr>
        <w:trPr>
          <w:trHeight w:val="185"/>
        </w:trPr>
        <w:tc>
          <w:tcPr>
            <w:tcW w:w="6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0"/>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6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4"/>
                <w:szCs w:val="14"/>
                <w:color w:val="auto"/>
              </w:rPr>
              <w:t>52,004</w:t>
            </w: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4"/>
                <w:szCs w:val="14"/>
                <w:color w:val="auto"/>
              </w:rPr>
              <w:t>24,633</w:t>
            </w:r>
          </w:p>
        </w:tc>
        <w:tc>
          <w:tcPr>
            <w:tcW w:w="1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tcPr>
          <w:p>
            <w:pPr>
              <w:spacing w:after="0"/>
              <w:rPr>
                <w:sz w:val="16"/>
                <w:szCs w:val="16"/>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215,810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109,963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3"/>
        </w:trPr>
        <w:tc>
          <w:tcPr>
            <w:tcW w:w="68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right="200" w:firstLine="388"/>
        <w:spacing w:after="0" w:line="269" w:lineRule="auto"/>
        <w:rPr>
          <w:sz w:val="20"/>
          <w:szCs w:val="20"/>
          <w:color w:val="auto"/>
        </w:rPr>
      </w:pPr>
      <w:r>
        <w:rPr>
          <w:rFonts w:ascii="Times New Roman" w:cs="Times New Roman" w:eastAsia="Times New Roman" w:hAnsi="Times New Roman"/>
          <w:sz w:val="14"/>
          <w:szCs w:val="14"/>
          <w:color w:val="231F20"/>
        </w:rPr>
        <w:t>Cost of revenue for the six months ended July 31, 2019 increased by $27.4 million, or 111%, compared to the six months ended July 31, 2018. The increase in cost of revenue was primarily due to an increase of $15.8 million in costs related to our co-located data centers, third-party cloud hosting, and integrated third-party PSTN services to support the increase in customers and expanded use of our video-first communications platform by existing customers, an increase of $8.3 million in personnel-related expenses mainly driven by increased headcount, which includes a $2.5 million increase in stock-based compensation expense, and an increase in allocated overhead of $2.1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28,837</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13,313</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117 %</w:t>
            </w:r>
          </w:p>
        </w:tc>
      </w:tr>
      <w:tr>
        <w:trPr>
          <w:trHeight w:val="23"/>
        </w:trPr>
        <w:tc>
          <w:tcPr>
            <w:tcW w:w="69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25" w:lineRule="exact"/>
        <w:rPr>
          <w:sz w:val="20"/>
          <w:szCs w:val="20"/>
          <w:color w:val="auto"/>
        </w:rPr>
      </w:pPr>
    </w:p>
    <w:p>
      <w:pPr>
        <w:ind w:right="80" w:firstLine="388"/>
        <w:spacing w:after="0" w:line="269" w:lineRule="auto"/>
        <w:rPr>
          <w:sz w:val="20"/>
          <w:szCs w:val="20"/>
          <w:color w:val="auto"/>
        </w:rPr>
      </w:pPr>
      <w:r>
        <w:rPr>
          <w:rFonts w:ascii="Times New Roman" w:cs="Times New Roman" w:eastAsia="Times New Roman" w:hAnsi="Times New Roman"/>
          <w:sz w:val="14"/>
          <w:szCs w:val="14"/>
          <w:color w:val="231F20"/>
        </w:rPr>
        <w:t xml:space="preserve">Research and development expense for the six months ended July 31, 2019 increased by $15.5 million, or 117%, compared to the six months ended July 31, 2018, as we continued to add new features and functionalities to our video-first communications platform. </w:t>
      </w:r>
      <w:r>
        <w:rPr>
          <w:rFonts w:ascii="Times New Roman" w:cs="Times New Roman" w:eastAsia="Times New Roman" w:hAnsi="Times New Roman"/>
          <w:sz w:val="14"/>
          <w:szCs w:val="14"/>
          <w:color w:val="000000"/>
        </w:rPr>
        <w:t>The increase was primarily due to an increase in personnel-related expenses of</w:t>
      </w:r>
      <w:r>
        <w:rPr>
          <w:rFonts w:ascii="Times New Roman" w:cs="Times New Roman" w:eastAsia="Times New Roman" w:hAnsi="Times New Roman"/>
          <w:sz w:val="14"/>
          <w:szCs w:val="14"/>
          <w:color w:val="231F20"/>
        </w:rPr>
        <w:t xml:space="preserve"> $15.4 million </w:t>
      </w:r>
      <w:r>
        <w:rPr>
          <w:rFonts w:ascii="Times New Roman" w:cs="Times New Roman" w:eastAsia="Times New Roman" w:hAnsi="Times New Roman"/>
          <w:sz w:val="14"/>
          <w:szCs w:val="14"/>
          <w:color w:val="000000"/>
        </w:rPr>
        <w:t>mainly driven by increased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headcount, which includes a </w:t>
      </w:r>
      <w:r>
        <w:rPr>
          <w:rFonts w:ascii="Times New Roman" w:cs="Times New Roman" w:eastAsia="Times New Roman" w:hAnsi="Times New Roman"/>
          <w:sz w:val="14"/>
          <w:szCs w:val="14"/>
          <w:color w:val="231F20"/>
        </w:rPr>
        <w:t>$3.4 million</w:t>
      </w:r>
      <w:r>
        <w:rPr>
          <w:rFonts w:ascii="Times New Roman" w:cs="Times New Roman" w:eastAsia="Times New Roman" w:hAnsi="Times New Roman"/>
          <w:sz w:val="14"/>
          <w:szCs w:val="14"/>
          <w:color w:val="000000"/>
        </w:rPr>
        <w:t xml:space="preserve"> increase in stock-based compensation expense, and </w:t>
      </w:r>
      <w:r>
        <w:rPr>
          <w:rFonts w:ascii="Times New Roman" w:cs="Times New Roman" w:eastAsia="Times New Roman" w:hAnsi="Times New Roman"/>
          <w:sz w:val="14"/>
          <w:szCs w:val="14"/>
          <w:color w:val="231F20"/>
        </w:rPr>
        <w:t>an increase in allocated overhead of $1.3 million,</w:t>
      </w:r>
      <w:r>
        <w:rPr>
          <w:rFonts w:ascii="Times New Roman" w:cs="Times New Roman" w:eastAsia="Times New Roman" w:hAnsi="Times New Roman"/>
          <w:sz w:val="14"/>
          <w:szCs w:val="14"/>
          <w:color w:val="000000"/>
        </w:rPr>
        <w:t xml:space="preserve"> partially offset by an increase in capitalized software development costs of </w:t>
      </w:r>
      <w:r>
        <w:rPr>
          <w:rFonts w:ascii="Times New Roman" w:cs="Times New Roman" w:eastAsia="Times New Roman" w:hAnsi="Times New Roman"/>
          <w:sz w:val="14"/>
          <w:szCs w:val="14"/>
          <w:color w:val="231F20"/>
        </w:rPr>
        <w:t>$1.1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rPr>
              <w:t>143,693</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77,315</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23"/>
        </w:trPr>
        <w:tc>
          <w:tcPr>
            <w:tcW w:w="69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25" w:lineRule="exact"/>
        <w:rPr>
          <w:sz w:val="20"/>
          <w:szCs w:val="20"/>
          <w:color w:val="auto"/>
        </w:rPr>
      </w:pPr>
    </w:p>
    <w:p>
      <w:pPr>
        <w:ind w:right="20" w:firstLine="388"/>
        <w:spacing w:after="0" w:line="266" w:lineRule="auto"/>
        <w:rPr>
          <w:sz w:val="20"/>
          <w:szCs w:val="20"/>
          <w:color w:val="auto"/>
        </w:rPr>
      </w:pPr>
      <w:r>
        <w:rPr>
          <w:rFonts w:ascii="Times New Roman" w:cs="Times New Roman" w:eastAsia="Times New Roman" w:hAnsi="Times New Roman"/>
          <w:sz w:val="14"/>
          <w:szCs w:val="14"/>
          <w:color w:val="231F20"/>
        </w:rPr>
        <w:t xml:space="preserve">Sales and marketing expense for the six months ended July 31, 2019 increased by $66.4 million, or 86%, compared to the six months ended July 31, 2018. The increase in sales and marketing expense was primarily due to an increase in personnel-related expenses of $40.8 million mainly driven by increased headcount to support the growth in our sales force, which includes </w:t>
      </w:r>
      <w:r>
        <w:rPr>
          <w:rFonts w:ascii="Times New Roman" w:cs="Times New Roman" w:eastAsia="Times New Roman" w:hAnsi="Times New Roman"/>
          <w:sz w:val="14"/>
          <w:szCs w:val="14"/>
          <w:color w:val="000000"/>
        </w:rPr>
        <w:t>a</w:t>
      </w:r>
      <w:r>
        <w:rPr>
          <w:rFonts w:ascii="Times New Roman" w:cs="Times New Roman" w:eastAsia="Times New Roman" w:hAnsi="Times New Roman"/>
          <w:sz w:val="14"/>
          <w:szCs w:val="14"/>
          <w:color w:val="231F20"/>
        </w:rPr>
        <w:t xml:space="preserve"> $12.2 million </w:t>
      </w:r>
      <w:r>
        <w:rPr>
          <w:rFonts w:ascii="Times New Roman" w:cs="Times New Roman" w:eastAsia="Times New Roman" w:hAnsi="Times New Roman"/>
          <w:sz w:val="14"/>
          <w:szCs w:val="14"/>
          <w:color w:val="000000"/>
        </w:rPr>
        <w:t xml:space="preserve">increase in stock-based compensation expense, of which </w:t>
      </w:r>
      <w:r>
        <w:rPr>
          <w:rFonts w:ascii="Times New Roman" w:cs="Times New Roman" w:eastAsia="Times New Roman" w:hAnsi="Times New Roman"/>
          <w:sz w:val="14"/>
          <w:szCs w:val="14"/>
          <w:color w:val="231F20"/>
        </w:rPr>
        <w:t>$6.7 million</w:t>
      </w:r>
      <w:r>
        <w:rPr>
          <w:rFonts w:ascii="Times New Roman" w:cs="Times New Roman" w:eastAsia="Times New Roman" w:hAnsi="Times New Roman"/>
          <w:sz w:val="14"/>
          <w:szCs w:val="14"/>
          <w:color w:val="000000"/>
        </w:rPr>
        <w:t xml:space="preserve"> is related to the ESPP, </w:t>
      </w:r>
      <w:r>
        <w:rPr>
          <w:rFonts w:ascii="Times New Roman" w:cs="Times New Roman" w:eastAsia="Times New Roman" w:hAnsi="Times New Roman"/>
          <w:sz w:val="14"/>
          <w:szCs w:val="14"/>
          <w:color w:val="231F20"/>
        </w:rPr>
        <w:t>and a $7.1 million increase in sales commissions driven by our increase in revenue</w:t>
      </w:r>
      <w:r>
        <w:rPr>
          <w:rFonts w:ascii="Times New Roman" w:cs="Times New Roman" w:eastAsia="Times New Roman" w:hAnsi="Times New Roman"/>
          <w:sz w:val="14"/>
          <w:szCs w:val="14"/>
          <w:color w:val="000000"/>
        </w:rPr>
        <w:t xml:space="preserve">. The remaining increase was primarily due to </w:t>
      </w:r>
      <w:r>
        <w:rPr>
          <w:rFonts w:ascii="Times New Roman" w:cs="Times New Roman" w:eastAsia="Times New Roman" w:hAnsi="Times New Roman"/>
          <w:sz w:val="14"/>
          <w:szCs w:val="14"/>
          <w:color w:val="231F20"/>
        </w:rPr>
        <w:t>an increase in marketing and sales event-related costs of $14.4 million as a result of increased costs related to digital and awareness programs, and tradeshows, an</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increase in allocated overhead of $7.9 million, and an increase in travel-related expenses of $1.4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39,458</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17,597</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124 %</w:t>
            </w:r>
          </w:p>
        </w:tc>
      </w:tr>
      <w:tr>
        <w:trPr>
          <w:trHeight w:val="23"/>
        </w:trPr>
        <w:tc>
          <w:tcPr>
            <w:tcW w:w="69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440"/>
          </w:cols>
          <w:pgMar w:left="220" w:top="125"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ind w:right="20" w:firstLine="388"/>
        <w:spacing w:after="0" w:line="269" w:lineRule="auto"/>
        <w:rPr>
          <w:sz w:val="20"/>
          <w:szCs w:val="20"/>
          <w:color w:val="auto"/>
        </w:rPr>
      </w:pPr>
      <w:r>
        <w:rPr>
          <w:rFonts w:ascii="Times New Roman" w:cs="Times New Roman" w:eastAsia="Times New Roman" w:hAnsi="Times New Roman"/>
          <w:sz w:val="14"/>
          <w:szCs w:val="14"/>
          <w:color w:val="231F20"/>
        </w:rPr>
        <w:t xml:space="preserve">General and administrative expense for the six months ended July 31, 2019 increased by $21.9 million, or 124%, compared to the six months ended July 31, 2018. The increase in general and administrative expense was primarily </w:t>
      </w:r>
      <w:r>
        <w:rPr>
          <w:rFonts w:ascii="Times New Roman" w:cs="Times New Roman" w:eastAsia="Times New Roman" w:hAnsi="Times New Roman"/>
          <w:sz w:val="14"/>
          <w:szCs w:val="14"/>
          <w:color w:val="000000"/>
        </w:rPr>
        <w:t>due to an increase in personnel-related expenses of</w:t>
      </w:r>
      <w:r>
        <w:rPr>
          <w:rFonts w:ascii="Times New Roman" w:cs="Times New Roman" w:eastAsia="Times New Roman" w:hAnsi="Times New Roman"/>
          <w:sz w:val="14"/>
          <w:szCs w:val="14"/>
          <w:color w:val="231F20"/>
        </w:rPr>
        <w:t xml:space="preserve"> $11.8 million </w:t>
      </w:r>
      <w:r>
        <w:rPr>
          <w:rFonts w:ascii="Times New Roman" w:cs="Times New Roman" w:eastAsia="Times New Roman" w:hAnsi="Times New Roman"/>
          <w:sz w:val="14"/>
          <w:szCs w:val="14"/>
          <w:color w:val="000000"/>
        </w:rPr>
        <w:t>mainly driven by increased headcount, which includes a</w:t>
      </w:r>
      <w:r>
        <w:rPr>
          <w:rFonts w:ascii="Times New Roman" w:cs="Times New Roman" w:eastAsia="Times New Roman" w:hAnsi="Times New Roman"/>
          <w:sz w:val="14"/>
          <w:szCs w:val="14"/>
          <w:color w:val="231F20"/>
        </w:rPr>
        <w:t xml:space="preserve"> $4.7 million </w:t>
      </w:r>
      <w:r>
        <w:rPr>
          <w:rFonts w:ascii="Times New Roman" w:cs="Times New Roman" w:eastAsia="Times New Roman" w:hAnsi="Times New Roman"/>
          <w:sz w:val="14"/>
          <w:szCs w:val="14"/>
          <w:color w:val="000000"/>
        </w:rPr>
        <w:t>increase in stock-based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compensation expense, of which </w:t>
      </w:r>
      <w:r>
        <w:rPr>
          <w:rFonts w:ascii="Times New Roman" w:cs="Times New Roman" w:eastAsia="Times New Roman" w:hAnsi="Times New Roman"/>
          <w:sz w:val="14"/>
          <w:szCs w:val="14"/>
          <w:color w:val="231F20"/>
        </w:rPr>
        <w:t>$1.1 million</w:t>
      </w:r>
      <w:r>
        <w:rPr>
          <w:rFonts w:ascii="Times New Roman" w:cs="Times New Roman" w:eastAsia="Times New Roman" w:hAnsi="Times New Roman"/>
          <w:sz w:val="14"/>
          <w:szCs w:val="14"/>
          <w:color w:val="000000"/>
        </w:rPr>
        <w:t xml:space="preserve"> is related to the ESPP. </w:t>
      </w:r>
      <w:r>
        <w:rPr>
          <w:rFonts w:ascii="Times New Roman" w:cs="Times New Roman" w:eastAsia="Times New Roman" w:hAnsi="Times New Roman"/>
          <w:sz w:val="14"/>
          <w:szCs w:val="14"/>
          <w:color w:val="231F20"/>
        </w:rPr>
        <w:t>The remaining increase was primarily due to increased expenses of $3.6 million related to a contingent liability for sales and other</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 xml:space="preserve">indirect taxes, an increase in external accounting and consulting services of $3.6 million, </w:t>
      </w:r>
      <w:r>
        <w:rPr>
          <w:rFonts w:ascii="Times New Roman" w:cs="Times New Roman" w:eastAsia="Times New Roman" w:hAnsi="Times New Roman"/>
          <w:sz w:val="14"/>
          <w:szCs w:val="14"/>
          <w:color w:val="000000"/>
        </w:rPr>
        <w:t>an increase in insurance expenses of</w:t>
      </w:r>
      <w:r>
        <w:rPr>
          <w:rFonts w:ascii="Times New Roman" w:cs="Times New Roman" w:eastAsia="Times New Roman" w:hAnsi="Times New Roman"/>
          <w:sz w:val="14"/>
          <w:szCs w:val="14"/>
          <w:color w:val="231F20"/>
        </w:rPr>
        <w:t xml:space="preserve"> $2.3 million, and an increase in allocated overhead of $1.3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90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292 %</w:t>
            </w:r>
          </w:p>
        </w:tc>
      </w:tr>
      <w:tr>
        <w:trPr>
          <w:trHeight w:val="23"/>
        </w:trPr>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right="100" w:firstLine="388"/>
        <w:spacing w:after="0" w:line="294" w:lineRule="auto"/>
        <w:rPr>
          <w:sz w:val="20"/>
          <w:szCs w:val="20"/>
          <w:color w:val="auto"/>
        </w:rPr>
      </w:pPr>
      <w:r>
        <w:rPr>
          <w:rFonts w:ascii="Times New Roman" w:cs="Times New Roman" w:eastAsia="Times New Roman" w:hAnsi="Times New Roman"/>
          <w:sz w:val="14"/>
          <w:szCs w:val="14"/>
          <w:color w:val="231F20"/>
        </w:rPr>
        <w:t>Interest income, net for the six months ended July 31, 2019 increased by $2.6 million, or 292%, compared to the six months ended July 31, 2018. The increase was primarily attributable to an increase in interest income earned from our investments in marketable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9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90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2,159 %</w:t>
            </w:r>
          </w:p>
        </w:tc>
      </w:tr>
      <w:tr>
        <w:trPr>
          <w:trHeight w:val="23"/>
        </w:trPr>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58" w:lineRule="exact"/>
        <w:rPr>
          <w:sz w:val="20"/>
          <w:szCs w:val="20"/>
          <w:color w:val="auto"/>
        </w:rPr>
      </w:pPr>
    </w:p>
    <w:p>
      <w:pPr>
        <w:ind w:right="420" w:firstLine="517"/>
        <w:spacing w:after="0" w:line="294" w:lineRule="auto"/>
        <w:rPr>
          <w:sz w:val="20"/>
          <w:szCs w:val="20"/>
          <w:color w:val="auto"/>
        </w:rPr>
      </w:pPr>
      <w:r>
        <w:rPr>
          <w:rFonts w:ascii="Times New Roman" w:cs="Times New Roman" w:eastAsia="Times New Roman" w:hAnsi="Times New Roman"/>
          <w:sz w:val="14"/>
          <w:szCs w:val="14"/>
          <w:color w:val="231F20"/>
        </w:rPr>
        <w:t>Other income, net for the six months ended July 31, 2019 increased by $1.9 million, or 2159%, compared to the six months ended July 31, 2018. The increase was primarily due to net accretion on our investments in marketable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Six Months Ended July 31,</w:t>
            </w:r>
          </w:p>
        </w:tc>
        <w:tc>
          <w:tcPr>
            <w:tcW w:w="1480" w:type="dxa"/>
            <w:vAlign w:val="bottom"/>
            <w:tcBorders>
              <w:bottom w:val="single" w:sz="8" w:color="auto"/>
            </w:tcBorders>
          </w:tcPr>
          <w:p>
            <w:pPr>
              <w:spacing w:after="0"/>
              <w:rPr>
                <w:sz w:val="13"/>
                <w:szCs w:val="13"/>
                <w:color w:val="auto"/>
              </w:rPr>
            </w:pPr>
          </w:p>
        </w:tc>
      </w:tr>
      <w:tr>
        <w:trPr>
          <w:trHeight w:val="152"/>
        </w:trPr>
        <w:tc>
          <w:tcPr>
            <w:tcW w:w="676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85"/>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gridSpan w:val="3"/>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6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544 %</w:t>
            </w:r>
          </w:p>
        </w:tc>
      </w:tr>
      <w:tr>
        <w:trPr>
          <w:trHeight w:val="23"/>
        </w:trPr>
        <w:tc>
          <w:tcPr>
            <w:tcW w:w="67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r>
    </w:tbl>
    <w:p>
      <w:pPr>
        <w:spacing w:after="0" w:line="125" w:lineRule="exact"/>
        <w:rPr>
          <w:sz w:val="20"/>
          <w:szCs w:val="20"/>
          <w:color w:val="auto"/>
        </w:rPr>
      </w:pPr>
    </w:p>
    <w:p>
      <w:pPr>
        <w:ind w:right="220" w:firstLine="388"/>
        <w:spacing w:after="0" w:line="294" w:lineRule="auto"/>
        <w:rPr>
          <w:sz w:val="20"/>
          <w:szCs w:val="20"/>
          <w:color w:val="auto"/>
        </w:rPr>
      </w:pPr>
      <w:r>
        <w:rPr>
          <w:rFonts w:ascii="Times New Roman" w:cs="Times New Roman" w:eastAsia="Times New Roman" w:hAnsi="Times New Roman"/>
          <w:sz w:val="14"/>
          <w:szCs w:val="14"/>
          <w:color w:val="231F20"/>
        </w:rPr>
        <w:t xml:space="preserve">Provision for income taxes for the six months ended July 31, 2019 increased </w:t>
      </w:r>
      <w:r>
        <w:rPr>
          <w:rFonts w:ascii="Times New Roman" w:cs="Times New Roman" w:eastAsia="Times New Roman" w:hAnsi="Times New Roman"/>
          <w:sz w:val="14"/>
          <w:szCs w:val="14"/>
          <w:color w:val="000000"/>
        </w:rPr>
        <w:t>by</w:t>
      </w:r>
      <w:r>
        <w:rPr>
          <w:rFonts w:ascii="Times New Roman" w:cs="Times New Roman" w:eastAsia="Times New Roman" w:hAnsi="Times New Roman"/>
          <w:sz w:val="14"/>
          <w:szCs w:val="14"/>
          <w:color w:val="231F20"/>
        </w:rPr>
        <w:t xml:space="preserve"> $1.3 million</w:t>
      </w:r>
      <w:r>
        <w:rPr>
          <w:rFonts w:ascii="Times New Roman" w:cs="Times New Roman" w:eastAsia="Times New Roman" w:hAnsi="Times New Roman"/>
          <w:sz w:val="14"/>
          <w:szCs w:val="14"/>
          <w:color w:val="000000"/>
        </w:rPr>
        <w:t>, or 544%, compared to the six months ended July 31, 2018. The change in provision for income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taxes was </w:t>
      </w:r>
      <w:r>
        <w:rPr>
          <w:rFonts w:ascii="Times New Roman" w:cs="Times New Roman" w:eastAsia="Times New Roman" w:hAnsi="Times New Roman"/>
          <w:sz w:val="14"/>
          <w:szCs w:val="14"/>
          <w:color w:val="231F20"/>
        </w:rPr>
        <w:t>primarily due to international operations and U.S. state taxes.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00" w:lineRule="exact"/>
        <w:rPr>
          <w:sz w:val="20"/>
          <w:szCs w:val="20"/>
          <w:color w:val="auto"/>
        </w:rPr>
      </w:pPr>
    </w:p>
    <w:p>
      <w:pPr>
        <w:ind w:right="120" w:firstLine="388"/>
        <w:spacing w:after="0" w:line="294" w:lineRule="auto"/>
        <w:rPr>
          <w:sz w:val="20"/>
          <w:szCs w:val="20"/>
          <w:color w:val="auto"/>
        </w:rPr>
      </w:pPr>
      <w:r>
        <w:rPr>
          <w:rFonts w:ascii="Times New Roman" w:cs="Times New Roman" w:eastAsia="Times New Roman" w:hAnsi="Times New Roman"/>
          <w:sz w:val="14"/>
          <w:szCs w:val="14"/>
          <w:color w:val="auto"/>
        </w:rPr>
        <w:t xml:space="preserve">As of July 31, 2019, our principal sources of liquidity were cash, cash equivalents, and marketable securities of </w:t>
      </w:r>
      <w:r>
        <w:rPr>
          <w:rFonts w:ascii="Times New Roman" w:cs="Times New Roman" w:eastAsia="Times New Roman" w:hAnsi="Times New Roman"/>
          <w:sz w:val="14"/>
          <w:szCs w:val="14"/>
          <w:color w:val="231F20"/>
        </w:rPr>
        <w:t>$755.3 million</w:t>
      </w:r>
      <w:r>
        <w:rPr>
          <w:rFonts w:ascii="Times New Roman" w:cs="Times New Roman" w:eastAsia="Times New Roman" w:hAnsi="Times New Roman"/>
          <w:sz w:val="14"/>
          <w:szCs w:val="14"/>
          <w:color w:val="auto"/>
        </w:rPr>
        <w:t>, which were held for working capital purposes. Our marketable securities generally consist of high-grade commercial paper, agency bonds, corporate debt securities, and U.S. government agency securities.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We have financed our operations primarily through customer payments and sales of equity securities. In April 2019, we completed our IPO which resulted in aggregate net proceeds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$447.9 million</w:t>
      </w:r>
      <w:r>
        <w:rPr>
          <w:rFonts w:ascii="Times New Roman" w:cs="Times New Roman" w:eastAsia="Times New Roman" w:hAnsi="Times New Roman"/>
          <w:sz w:val="14"/>
          <w:szCs w:val="14"/>
          <w:color w:val="000000"/>
        </w:rPr>
        <w:t>, after underwriting discounts and commissions, and before deducting offering costs of</w:t>
      </w:r>
      <w:r>
        <w:rPr>
          <w:rFonts w:ascii="Times New Roman" w:cs="Times New Roman" w:eastAsia="Times New Roman" w:hAnsi="Times New Roman"/>
          <w:sz w:val="14"/>
          <w:szCs w:val="14"/>
          <w:color w:val="231F20"/>
        </w:rPr>
        <w:t xml:space="preserve"> $6.4 million</w:t>
      </w:r>
      <w:r>
        <w:rPr>
          <w:rFonts w:ascii="Times New Roman" w:cs="Times New Roman" w:eastAsia="Times New Roman" w:hAnsi="Times New Roman"/>
          <w:sz w:val="14"/>
          <w:szCs w:val="14"/>
          <w:color w:val="000000"/>
        </w:rPr>
        <w:t>. We also received aggregate proceeds of $100.0 million related to our concurrent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private placement, and did not pay any underwriting discounts or commissions with respect to the shares that were sold in this private placement.</w:t>
      </w:r>
    </w:p>
    <w:p>
      <w:pPr>
        <w:spacing w:after="0" w:line="170" w:lineRule="exact"/>
        <w:rPr>
          <w:sz w:val="20"/>
          <w:szCs w:val="20"/>
          <w:color w:val="auto"/>
        </w:rPr>
      </w:pPr>
    </w:p>
    <w:p>
      <w:pPr>
        <w:ind w:firstLine="388"/>
        <w:spacing w:after="0" w:line="269" w:lineRule="auto"/>
        <w:rPr>
          <w:sz w:val="20"/>
          <w:szCs w:val="20"/>
          <w:color w:val="auto"/>
        </w:rPr>
      </w:pPr>
      <w:r>
        <w:rPr>
          <w:rFonts w:ascii="Times New Roman" w:cs="Times New Roman" w:eastAsia="Times New Roman" w:hAnsi="Times New Roman"/>
          <w:sz w:val="14"/>
          <w:szCs w:val="14"/>
          <w:color w:val="auto"/>
        </w:rPr>
        <w:t>We believe our existing cash, cash equivalents, and marketable securities, together with net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4"/>
          <w:szCs w:val="14"/>
          <w:color w:val="auto"/>
        </w:rPr>
        <w:t>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5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1"/>
          <w:szCs w:val="11"/>
          <w:b w:val="1"/>
          <w:bCs w:val="1"/>
          <w:color w:val="auto"/>
        </w:rPr>
        <w:t>July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9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85"/>
        </w:trPr>
        <w:tc>
          <w:tcPr>
            <w:tcW w:w="7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60" w:type="dxa"/>
            <w:vAlign w:val="bottom"/>
          </w:tcPr>
          <w:p>
            <w:pPr>
              <w:spacing w:after="0"/>
              <w:rPr>
                <w:sz w:val="16"/>
                <w:szCs w:val="16"/>
                <w:color w:val="auto"/>
              </w:rPr>
            </w:pPr>
          </w:p>
        </w:tc>
      </w:tr>
      <w:tr>
        <w:trPr>
          <w:trHeight w:val="20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53,408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17,110</w:t>
            </w: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(448,484)</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(16,548)</w:t>
            </w:r>
          </w:p>
        </w:tc>
      </w:tr>
      <w:tr>
        <w:trPr>
          <w:trHeight w:val="23"/>
        </w:trPr>
        <w:tc>
          <w:tcPr>
            <w:tcW w:w="7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545,138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484</w:t>
            </w:r>
          </w:p>
        </w:tc>
      </w:tr>
      <w:tr>
        <w:trPr>
          <w:trHeight w:val="23"/>
        </w:trPr>
        <w:tc>
          <w:tcPr>
            <w:tcW w:w="79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02"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 xml:space="preserve">Net cash provided by operating activities of </w:t>
      </w:r>
      <w:r>
        <w:rPr>
          <w:rFonts w:ascii="Times New Roman" w:cs="Times New Roman" w:eastAsia="Times New Roman" w:hAnsi="Times New Roman"/>
          <w:sz w:val="14"/>
          <w:szCs w:val="14"/>
          <w:color w:val="231F20"/>
        </w:rPr>
        <w:t>$53.4 million</w:t>
      </w:r>
      <w:r>
        <w:rPr>
          <w:rFonts w:ascii="Times New Roman" w:cs="Times New Roman" w:eastAsia="Times New Roman" w:hAnsi="Times New Roman"/>
          <w:sz w:val="14"/>
          <w:szCs w:val="14"/>
          <w:color w:val="auto"/>
        </w:rPr>
        <w:t xml:space="preserve"> for the six months ended July 31, 2019 was primarily due to net income of </w:t>
      </w:r>
      <w:r>
        <w:rPr>
          <w:rFonts w:ascii="Times New Roman" w:cs="Times New Roman" w:eastAsia="Times New Roman" w:hAnsi="Times New Roman"/>
          <w:sz w:val="14"/>
          <w:szCs w:val="14"/>
          <w:color w:val="231F20"/>
        </w:rPr>
        <w:t>$7.8 million</w:t>
      </w:r>
      <w:r>
        <w:rPr>
          <w:rFonts w:ascii="Times New Roman" w:cs="Times New Roman" w:eastAsia="Times New Roman" w:hAnsi="Times New Roman"/>
          <w:sz w:val="14"/>
          <w:szCs w:val="14"/>
          <w:color w:val="auto"/>
        </w:rPr>
        <w:t xml:space="preserve">, adjusted for non-cash charges for stock-based compensation expense of </w:t>
      </w:r>
      <w:r>
        <w:rPr>
          <w:rFonts w:ascii="Times New Roman" w:cs="Times New Roman" w:eastAsia="Times New Roman" w:hAnsi="Times New Roman"/>
          <w:sz w:val="14"/>
          <w:szCs w:val="14"/>
          <w:color w:val="231F20"/>
        </w:rPr>
        <w:t>$24.7 million,</w:t>
      </w:r>
      <w:r>
        <w:rPr>
          <w:rFonts w:ascii="Times New Roman" w:cs="Times New Roman" w:eastAsia="Times New Roman" w:hAnsi="Times New Roman"/>
          <w:sz w:val="14"/>
          <w:szCs w:val="14"/>
          <w:color w:val="auto"/>
        </w:rPr>
        <w:t xml:space="preserve"> amortization of deferred contract acquisition costs, primarily commissions, of </w:t>
      </w:r>
      <w:r>
        <w:rPr>
          <w:rFonts w:ascii="Times New Roman" w:cs="Times New Roman" w:eastAsia="Times New Roman" w:hAnsi="Times New Roman"/>
          <w:sz w:val="14"/>
          <w:szCs w:val="14"/>
          <w:color w:val="231F20"/>
        </w:rPr>
        <w:t>$16.0 million</w:t>
      </w:r>
      <w:r>
        <w:rPr>
          <w:rFonts w:ascii="Times New Roman" w:cs="Times New Roman" w:eastAsia="Times New Roman" w:hAnsi="Times New Roman"/>
          <w:sz w:val="14"/>
          <w:szCs w:val="14"/>
          <w:color w:val="auto"/>
        </w:rPr>
        <w:t xml:space="preserve">, depreciation and amortization of </w:t>
      </w:r>
      <w:r>
        <w:rPr>
          <w:rFonts w:ascii="Times New Roman" w:cs="Times New Roman" w:eastAsia="Times New Roman" w:hAnsi="Times New Roman"/>
          <w:sz w:val="14"/>
          <w:szCs w:val="14"/>
          <w:color w:val="231F20"/>
        </w:rPr>
        <w:t>$7.2 million</w:t>
      </w:r>
      <w:r>
        <w:rPr>
          <w:rFonts w:ascii="Times New Roman" w:cs="Times New Roman" w:eastAsia="Times New Roman" w:hAnsi="Times New Roman"/>
          <w:sz w:val="14"/>
          <w:szCs w:val="14"/>
          <w:color w:val="auto"/>
        </w:rPr>
        <w:t xml:space="preserve">, amortization of operating lease right-of-use assets of </w:t>
      </w:r>
      <w:r>
        <w:rPr>
          <w:rFonts w:ascii="Times New Roman" w:cs="Times New Roman" w:eastAsia="Times New Roman" w:hAnsi="Times New Roman"/>
          <w:sz w:val="14"/>
          <w:szCs w:val="14"/>
          <w:color w:val="231F20"/>
        </w:rPr>
        <w:t>$3.1 million, and provision for accounts receivable allowances of $2.7 million</w:t>
      </w:r>
      <w:r>
        <w:rPr>
          <w:rFonts w:ascii="Times New Roman" w:cs="Times New Roman" w:eastAsia="Times New Roman" w:hAnsi="Times New Roman"/>
          <w:sz w:val="14"/>
          <w:szCs w:val="14"/>
          <w:color w:val="auto"/>
        </w:rPr>
        <w:t xml:space="preserve">. Changes in operating assets and liabilities were unfavorable to cash flows from operations by </w:t>
      </w:r>
      <w:r>
        <w:rPr>
          <w:rFonts w:ascii="Times New Roman" w:cs="Times New Roman" w:eastAsia="Times New Roman" w:hAnsi="Times New Roman"/>
          <w:sz w:val="14"/>
          <w:szCs w:val="14"/>
          <w:color w:val="231F20"/>
        </w:rPr>
        <w:t>$7.6 million</w:t>
      </w:r>
      <w:r>
        <w:rPr>
          <w:rFonts w:ascii="Times New Roman" w:cs="Times New Roman" w:eastAsia="Times New Roman" w:hAnsi="Times New Roman"/>
          <w:sz w:val="14"/>
          <w:szCs w:val="14"/>
          <w:color w:val="auto"/>
        </w:rPr>
        <w:t xml:space="preserve"> primarily due an increase in accounts receivable of </w:t>
      </w:r>
      <w:r>
        <w:rPr>
          <w:rFonts w:ascii="Times New Roman" w:cs="Times New Roman" w:eastAsia="Times New Roman" w:hAnsi="Times New Roman"/>
          <w:sz w:val="14"/>
          <w:szCs w:val="14"/>
          <w:color w:val="231F20"/>
        </w:rPr>
        <w:t>$35.4 million and</w:t>
      </w:r>
      <w:r>
        <w:rPr>
          <w:rFonts w:ascii="Times New Roman" w:cs="Times New Roman" w:eastAsia="Times New Roman" w:hAnsi="Times New Roman"/>
          <w:sz w:val="14"/>
          <w:szCs w:val="14"/>
          <w:color w:val="auto"/>
        </w:rPr>
        <w:t xml:space="preserve"> an increase in deferred contract acquisition costs of </w:t>
      </w:r>
      <w:r>
        <w:rPr>
          <w:rFonts w:ascii="Times New Roman" w:cs="Times New Roman" w:eastAsia="Times New Roman" w:hAnsi="Times New Roman"/>
          <w:sz w:val="14"/>
          <w:szCs w:val="14"/>
          <w:color w:val="231F20"/>
        </w:rPr>
        <w:t>$33.7 million</w:t>
      </w:r>
      <w:r>
        <w:rPr>
          <w:rFonts w:ascii="Times New Roman" w:cs="Times New Roman" w:eastAsia="Times New Roman" w:hAnsi="Times New Roman"/>
          <w:sz w:val="14"/>
          <w:szCs w:val="14"/>
          <w:color w:val="auto"/>
        </w:rPr>
        <w:t xml:space="preserve"> due to increases in sales, an increase in prepaid expenses and other assets of </w:t>
      </w:r>
      <w:r>
        <w:rPr>
          <w:rFonts w:ascii="Times New Roman" w:cs="Times New Roman" w:eastAsia="Times New Roman" w:hAnsi="Times New Roman"/>
          <w:sz w:val="14"/>
          <w:szCs w:val="14"/>
          <w:color w:val="231F20"/>
        </w:rPr>
        <w:t>$23.6 million</w:t>
      </w:r>
      <w:r>
        <w:rPr>
          <w:rFonts w:ascii="Times New Roman" w:cs="Times New Roman" w:eastAsia="Times New Roman" w:hAnsi="Times New Roman"/>
          <w:sz w:val="14"/>
          <w:szCs w:val="14"/>
          <w:color w:val="auto"/>
        </w:rPr>
        <w:t xml:space="preserve">, and an increase in operating lease liability, net of </w:t>
      </w:r>
      <w:r>
        <w:rPr>
          <w:rFonts w:ascii="Times New Roman" w:cs="Times New Roman" w:eastAsia="Times New Roman" w:hAnsi="Times New Roman"/>
          <w:sz w:val="14"/>
          <w:szCs w:val="14"/>
          <w:color w:val="231F20"/>
        </w:rPr>
        <w:t>$3.3 million,</w:t>
      </w:r>
      <w:r>
        <w:rPr>
          <w:rFonts w:ascii="Times New Roman" w:cs="Times New Roman" w:eastAsia="Times New Roman" w:hAnsi="Times New Roman"/>
          <w:sz w:val="14"/>
          <w:szCs w:val="14"/>
          <w:color w:val="auto"/>
        </w:rPr>
        <w:t xml:space="preserve"> partially offset by an increase in deferred revenue of </w:t>
      </w:r>
      <w:r>
        <w:rPr>
          <w:rFonts w:ascii="Times New Roman" w:cs="Times New Roman" w:eastAsia="Times New Roman" w:hAnsi="Times New Roman"/>
          <w:sz w:val="14"/>
          <w:szCs w:val="14"/>
          <w:color w:val="231F20"/>
        </w:rPr>
        <w:t>$56.2 million</w:t>
      </w:r>
      <w:r>
        <w:rPr>
          <w:rFonts w:ascii="Times New Roman" w:cs="Times New Roman" w:eastAsia="Times New Roman" w:hAnsi="Times New Roman"/>
          <w:sz w:val="14"/>
          <w:szCs w:val="14"/>
          <w:color w:val="auto"/>
        </w:rPr>
        <w:t xml:space="preserve"> driven by increases in sales, and an increase in accounts payable and accrued expenses and other liabilities of </w:t>
      </w:r>
      <w:r>
        <w:rPr>
          <w:rFonts w:ascii="Times New Roman" w:cs="Times New Roman" w:eastAsia="Times New Roman" w:hAnsi="Times New Roman"/>
          <w:sz w:val="14"/>
          <w:szCs w:val="14"/>
          <w:color w:val="231F20"/>
        </w:rPr>
        <w:t>$32.1 million</w:t>
      </w:r>
      <w:r>
        <w:rPr>
          <w:rFonts w:ascii="Times New Roman" w:cs="Times New Roman" w:eastAsia="Times New Roman" w:hAnsi="Times New Roman"/>
          <w:sz w:val="14"/>
          <w:szCs w:val="14"/>
          <w:color w:val="auto"/>
        </w:rPr>
        <w:t>.</w:t>
      </w:r>
    </w:p>
    <w:p>
      <w:pPr>
        <w:spacing w:after="0" w:line="58" w:lineRule="exact"/>
        <w:rPr>
          <w:sz w:val="20"/>
          <w:szCs w:val="20"/>
          <w:color w:val="auto"/>
        </w:rPr>
      </w:pPr>
    </w:p>
    <w:p>
      <w:pPr>
        <w:ind w:right="160" w:firstLine="388"/>
        <w:spacing w:after="0" w:line="261" w:lineRule="auto"/>
        <w:rPr>
          <w:sz w:val="20"/>
          <w:szCs w:val="20"/>
          <w:color w:val="auto"/>
        </w:rPr>
      </w:pPr>
      <w:r>
        <w:rPr>
          <w:rFonts w:ascii="Times New Roman" w:cs="Times New Roman" w:eastAsia="Times New Roman" w:hAnsi="Times New Roman"/>
          <w:sz w:val="14"/>
          <w:szCs w:val="14"/>
          <w:color w:val="auto"/>
        </w:rPr>
        <w:t xml:space="preserve">Net cash provided by operating activities of </w:t>
      </w:r>
      <w:r>
        <w:rPr>
          <w:rFonts w:ascii="Times New Roman" w:cs="Times New Roman" w:eastAsia="Times New Roman" w:hAnsi="Times New Roman"/>
          <w:sz w:val="14"/>
          <w:szCs w:val="14"/>
          <w:color w:val="231F20"/>
        </w:rPr>
        <w:t>$17.1 million</w:t>
      </w:r>
      <w:r>
        <w:rPr>
          <w:rFonts w:ascii="Times New Roman" w:cs="Times New Roman" w:eastAsia="Times New Roman" w:hAnsi="Times New Roman"/>
          <w:sz w:val="14"/>
          <w:szCs w:val="14"/>
          <w:color w:val="auto"/>
        </w:rPr>
        <w:t xml:space="preserve"> for the six months ended July 31, 2018 was primarily due to net income of </w:t>
      </w:r>
      <w:r>
        <w:rPr>
          <w:rFonts w:ascii="Times New Roman" w:cs="Times New Roman" w:eastAsia="Times New Roman" w:hAnsi="Times New Roman"/>
          <w:sz w:val="14"/>
          <w:szCs w:val="14"/>
          <w:color w:val="231F20"/>
        </w:rPr>
        <w:t>$2.5 million</w:t>
      </w:r>
      <w:r>
        <w:rPr>
          <w:rFonts w:ascii="Times New Roman" w:cs="Times New Roman" w:eastAsia="Times New Roman" w:hAnsi="Times New Roman"/>
          <w:sz w:val="14"/>
          <w:szCs w:val="14"/>
          <w:color w:val="auto"/>
        </w:rPr>
        <w:t xml:space="preserve">, adjusted for non-cash charges for amortization of deferred contract acquisition costs, primarily commissions, of </w:t>
      </w:r>
      <w:r>
        <w:rPr>
          <w:rFonts w:ascii="Times New Roman" w:cs="Times New Roman" w:eastAsia="Times New Roman" w:hAnsi="Times New Roman"/>
          <w:sz w:val="14"/>
          <w:szCs w:val="14"/>
          <w:color w:val="231F20"/>
        </w:rPr>
        <w:t>$8.6 million</w:t>
      </w:r>
      <w:r>
        <w:rPr>
          <w:rFonts w:ascii="Times New Roman" w:cs="Times New Roman" w:eastAsia="Times New Roman" w:hAnsi="Times New Roman"/>
          <w:sz w:val="14"/>
          <w:szCs w:val="14"/>
          <w:color w:val="auto"/>
        </w:rPr>
        <w:t xml:space="preserve">, depreciation and amortization of </w:t>
      </w:r>
      <w:r>
        <w:rPr>
          <w:rFonts w:ascii="Times New Roman" w:cs="Times New Roman" w:eastAsia="Times New Roman" w:hAnsi="Times New Roman"/>
          <w:sz w:val="14"/>
          <w:szCs w:val="14"/>
          <w:color w:val="231F20"/>
        </w:rPr>
        <w:t>$2.6 million</w:t>
      </w:r>
      <w:r>
        <w:rPr>
          <w:rFonts w:ascii="Times New Roman" w:cs="Times New Roman" w:eastAsia="Times New Roman" w:hAnsi="Times New Roman"/>
          <w:sz w:val="14"/>
          <w:szCs w:val="14"/>
          <w:color w:val="auto"/>
        </w:rPr>
        <w:t xml:space="preserve">, stock-based compensation expense of </w:t>
      </w:r>
      <w:r>
        <w:rPr>
          <w:rFonts w:ascii="Times New Roman" w:cs="Times New Roman" w:eastAsia="Times New Roman" w:hAnsi="Times New Roman"/>
          <w:sz w:val="14"/>
          <w:szCs w:val="14"/>
          <w:color w:val="231F20"/>
        </w:rPr>
        <w:t>$2.0 million,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provision for accounts receivable allowances of $1.1 million</w:t>
      </w:r>
      <w:r>
        <w:rPr>
          <w:rFonts w:ascii="Times New Roman" w:cs="Times New Roman" w:eastAsia="Times New Roman" w:hAnsi="Times New Roman"/>
          <w:sz w:val="14"/>
          <w:szCs w:val="14"/>
          <w:color w:val="000000"/>
        </w:rPr>
        <w:t>. Changes in operating assets and liabilities were favorable to cash flows from operations by</w:t>
      </w:r>
      <w:r>
        <w:rPr>
          <w:rFonts w:ascii="Times New Roman" w:cs="Times New Roman" w:eastAsia="Times New Roman" w:hAnsi="Times New Roman"/>
          <w:sz w:val="14"/>
          <w:szCs w:val="14"/>
          <w:color w:val="231F20"/>
        </w:rPr>
        <w:t xml:space="preserve"> $0.3 million </w:t>
      </w:r>
      <w:r>
        <w:rPr>
          <w:rFonts w:ascii="Times New Roman" w:cs="Times New Roman" w:eastAsia="Times New Roman" w:hAnsi="Times New Roman"/>
          <w:sz w:val="14"/>
          <w:szCs w:val="14"/>
          <w:color w:val="000000"/>
        </w:rPr>
        <w:t>primarily due to an increase in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deferred revenue of </w:t>
      </w:r>
      <w:r>
        <w:rPr>
          <w:rFonts w:ascii="Times New Roman" w:cs="Times New Roman" w:eastAsia="Times New Roman" w:hAnsi="Times New Roman"/>
          <w:sz w:val="14"/>
          <w:szCs w:val="14"/>
          <w:color w:val="231F20"/>
        </w:rPr>
        <w:t>$35.4 million</w:t>
      </w:r>
      <w:r>
        <w:rPr>
          <w:rFonts w:ascii="Times New Roman" w:cs="Times New Roman" w:eastAsia="Times New Roman" w:hAnsi="Times New Roman"/>
          <w:sz w:val="14"/>
          <w:szCs w:val="14"/>
          <w:color w:val="000000"/>
        </w:rPr>
        <w:t xml:space="preserve"> driven by increases in sales, and an increase in accounts payable and accrued expenses and other liabilities of </w:t>
      </w:r>
      <w:r>
        <w:rPr>
          <w:rFonts w:ascii="Times New Roman" w:cs="Times New Roman" w:eastAsia="Times New Roman" w:hAnsi="Times New Roman"/>
          <w:sz w:val="14"/>
          <w:szCs w:val="14"/>
          <w:color w:val="231F20"/>
        </w:rPr>
        <w:t>$14.4 million,</w:t>
      </w:r>
      <w:r>
        <w:rPr>
          <w:rFonts w:ascii="Times New Roman" w:cs="Times New Roman" w:eastAsia="Times New Roman" w:hAnsi="Times New Roman"/>
          <w:sz w:val="14"/>
          <w:szCs w:val="14"/>
          <w:color w:val="000000"/>
        </w:rPr>
        <w:t xml:space="preserve"> partially offset by an increase in deferred contract acquisition costs of </w:t>
      </w:r>
      <w:r>
        <w:rPr>
          <w:rFonts w:ascii="Times New Roman" w:cs="Times New Roman" w:eastAsia="Times New Roman" w:hAnsi="Times New Roman"/>
          <w:sz w:val="14"/>
          <w:szCs w:val="14"/>
          <w:color w:val="231F20"/>
        </w:rPr>
        <w:t>$22.8 million and</w:t>
      </w:r>
      <w:r>
        <w:rPr>
          <w:rFonts w:ascii="Times New Roman" w:cs="Times New Roman" w:eastAsia="Times New Roman" w:hAnsi="Times New Roman"/>
          <w:sz w:val="14"/>
          <w:szCs w:val="14"/>
          <w:color w:val="000000"/>
        </w:rPr>
        <w:t xml:space="preserve"> an increase in accounts receivable of </w:t>
      </w:r>
      <w:r>
        <w:rPr>
          <w:rFonts w:ascii="Times New Roman" w:cs="Times New Roman" w:eastAsia="Times New Roman" w:hAnsi="Times New Roman"/>
          <w:sz w:val="14"/>
          <w:szCs w:val="14"/>
          <w:color w:val="231F20"/>
        </w:rPr>
        <w:t>$22.6 million</w:t>
      </w:r>
      <w:r>
        <w:rPr>
          <w:rFonts w:ascii="Times New Roman" w:cs="Times New Roman" w:eastAsia="Times New Roman" w:hAnsi="Times New Roman"/>
          <w:sz w:val="14"/>
          <w:szCs w:val="14"/>
          <w:color w:val="000000"/>
        </w:rPr>
        <w:t xml:space="preserve"> due to increases in sales</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and an increase in prepaid expenses and other assets of</w:t>
      </w:r>
    </w:p>
    <w:p>
      <w:pPr>
        <w:spacing w:after="0"/>
        <w:rPr>
          <w:sz w:val="20"/>
          <w:szCs w:val="20"/>
          <w:color w:val="auto"/>
        </w:rPr>
      </w:pPr>
      <w:r>
        <w:rPr>
          <w:rFonts w:ascii="Times New Roman" w:cs="Times New Roman" w:eastAsia="Times New Roman" w:hAnsi="Times New Roman"/>
          <w:sz w:val="14"/>
          <w:szCs w:val="14"/>
          <w:color w:val="231F20"/>
        </w:rPr>
        <w:t>$4.1 million</w:t>
      </w:r>
      <w:r>
        <w:rPr>
          <w:rFonts w:ascii="Times New Roman" w:cs="Times New Roman" w:eastAsia="Times New Roman" w:hAnsi="Times New Roman"/>
          <w:sz w:val="14"/>
          <w:szCs w:val="14"/>
          <w:color w:val="000000"/>
        </w:rPr>
        <w:t>.</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02" w:lineRule="exact"/>
        <w:rPr>
          <w:sz w:val="20"/>
          <w:szCs w:val="20"/>
          <w:color w:val="auto"/>
        </w:rPr>
      </w:pPr>
    </w:p>
    <w:p>
      <w:pPr>
        <w:ind w:right="220" w:firstLine="388"/>
        <w:spacing w:after="0" w:line="294" w:lineRule="auto"/>
        <w:rPr>
          <w:sz w:val="20"/>
          <w:szCs w:val="20"/>
          <w:color w:val="auto"/>
        </w:rPr>
      </w:pPr>
      <w:r>
        <w:rPr>
          <w:rFonts w:ascii="Times New Roman" w:cs="Times New Roman" w:eastAsia="Times New Roman" w:hAnsi="Times New Roman"/>
          <w:sz w:val="14"/>
          <w:szCs w:val="14"/>
          <w:color w:val="auto"/>
        </w:rPr>
        <w:t xml:space="preserve">Net cash used in investing activities of </w:t>
      </w:r>
      <w:r>
        <w:rPr>
          <w:rFonts w:ascii="Times New Roman" w:cs="Times New Roman" w:eastAsia="Times New Roman" w:hAnsi="Times New Roman"/>
          <w:sz w:val="14"/>
          <w:szCs w:val="14"/>
          <w:color w:val="231F20"/>
        </w:rPr>
        <w:t>$448.5 million</w:t>
      </w:r>
      <w:r>
        <w:rPr>
          <w:rFonts w:ascii="Times New Roman" w:cs="Times New Roman" w:eastAsia="Times New Roman" w:hAnsi="Times New Roman"/>
          <w:sz w:val="14"/>
          <w:szCs w:val="14"/>
          <w:color w:val="auto"/>
        </w:rPr>
        <w:t xml:space="preserve"> for the six months ended July 31, 2019 was primarily due to net purchases of marketable securities of </w:t>
      </w:r>
      <w:r>
        <w:rPr>
          <w:rFonts w:ascii="Times New Roman" w:cs="Times New Roman" w:eastAsia="Times New Roman" w:hAnsi="Times New Roman"/>
          <w:sz w:val="14"/>
          <w:szCs w:val="14"/>
          <w:color w:val="231F20"/>
        </w:rPr>
        <w:t>$427.5 million</w:t>
      </w:r>
      <w:r>
        <w:rPr>
          <w:rFonts w:ascii="Times New Roman" w:cs="Times New Roman" w:eastAsia="Times New Roman" w:hAnsi="Times New Roman"/>
          <w:sz w:val="14"/>
          <w:szCs w:val="14"/>
          <w:color w:val="auto"/>
        </w:rPr>
        <w:t xml:space="preserve"> and purchases of property and equipment of </w:t>
      </w:r>
      <w:r>
        <w:rPr>
          <w:rFonts w:ascii="Times New Roman" w:cs="Times New Roman" w:eastAsia="Times New Roman" w:hAnsi="Times New Roman"/>
          <w:sz w:val="14"/>
          <w:szCs w:val="14"/>
          <w:color w:val="231F20"/>
        </w:rPr>
        <w:t>$20.9 million.</w:t>
      </w:r>
    </w:p>
    <w:p>
      <w:pPr>
        <w:spacing w:after="0" w:line="37" w:lineRule="exact"/>
        <w:rPr>
          <w:sz w:val="20"/>
          <w:szCs w:val="20"/>
          <w:color w:val="auto"/>
        </w:rPr>
      </w:pPr>
    </w:p>
    <w:p>
      <w:pPr>
        <w:ind w:right="200" w:firstLine="388"/>
        <w:spacing w:after="0" w:line="294" w:lineRule="auto"/>
        <w:rPr>
          <w:sz w:val="20"/>
          <w:szCs w:val="20"/>
          <w:color w:val="auto"/>
        </w:rPr>
      </w:pPr>
      <w:r>
        <w:rPr>
          <w:rFonts w:ascii="Times New Roman" w:cs="Times New Roman" w:eastAsia="Times New Roman" w:hAnsi="Times New Roman"/>
          <w:sz w:val="14"/>
          <w:szCs w:val="14"/>
          <w:color w:val="auto"/>
        </w:rPr>
        <w:t xml:space="preserve">Net cash used in investing activities of </w:t>
      </w:r>
      <w:r>
        <w:rPr>
          <w:rFonts w:ascii="Times New Roman" w:cs="Times New Roman" w:eastAsia="Times New Roman" w:hAnsi="Times New Roman"/>
          <w:sz w:val="14"/>
          <w:szCs w:val="14"/>
          <w:color w:val="231F20"/>
        </w:rPr>
        <w:t>$16.5 million</w:t>
      </w:r>
      <w:r>
        <w:rPr>
          <w:rFonts w:ascii="Times New Roman" w:cs="Times New Roman" w:eastAsia="Times New Roman" w:hAnsi="Times New Roman"/>
          <w:sz w:val="14"/>
          <w:szCs w:val="14"/>
          <w:color w:val="auto"/>
        </w:rPr>
        <w:t xml:space="preserve"> for the six months ended July 31, 2018 was primarily due to purchases of property and equipment of </w:t>
      </w:r>
      <w:r>
        <w:rPr>
          <w:rFonts w:ascii="Times New Roman" w:cs="Times New Roman" w:eastAsia="Times New Roman" w:hAnsi="Times New Roman"/>
          <w:sz w:val="14"/>
          <w:szCs w:val="14"/>
          <w:color w:val="231F20"/>
        </w:rPr>
        <w:t>$10.0 million</w:t>
      </w:r>
      <w:r>
        <w:rPr>
          <w:rFonts w:ascii="Times New Roman" w:cs="Times New Roman" w:eastAsia="Times New Roman" w:hAnsi="Times New Roman"/>
          <w:sz w:val="14"/>
          <w:szCs w:val="14"/>
          <w:color w:val="auto"/>
        </w:rPr>
        <w:t xml:space="preserve"> and net purchases of marketable securities of </w:t>
      </w:r>
      <w:r>
        <w:rPr>
          <w:rFonts w:ascii="Times New Roman" w:cs="Times New Roman" w:eastAsia="Times New Roman" w:hAnsi="Times New Roman"/>
          <w:sz w:val="14"/>
          <w:szCs w:val="14"/>
          <w:color w:val="231F20"/>
        </w:rPr>
        <w:t>$6.5 million</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02" w:lineRule="exact"/>
        <w:rPr>
          <w:sz w:val="20"/>
          <w:szCs w:val="20"/>
          <w:color w:val="auto"/>
        </w:rPr>
      </w:pPr>
    </w:p>
    <w:p>
      <w:pPr>
        <w:ind w:right="40" w:firstLine="388"/>
        <w:spacing w:after="0" w:line="275" w:lineRule="auto"/>
        <w:rPr>
          <w:sz w:val="20"/>
          <w:szCs w:val="20"/>
          <w:color w:val="auto"/>
        </w:rPr>
      </w:pPr>
      <w:r>
        <w:rPr>
          <w:rFonts w:ascii="Times New Roman" w:cs="Times New Roman" w:eastAsia="Times New Roman" w:hAnsi="Times New Roman"/>
          <w:sz w:val="14"/>
          <w:szCs w:val="14"/>
          <w:color w:val="auto"/>
        </w:rPr>
        <w:t xml:space="preserve">Net cash provided by financing activities of </w:t>
      </w:r>
      <w:r>
        <w:rPr>
          <w:rFonts w:ascii="Times New Roman" w:cs="Times New Roman" w:eastAsia="Times New Roman" w:hAnsi="Times New Roman"/>
          <w:sz w:val="14"/>
          <w:szCs w:val="14"/>
          <w:color w:val="231F20"/>
        </w:rPr>
        <w:t>$545.1 million</w:t>
      </w:r>
      <w:r>
        <w:rPr>
          <w:rFonts w:ascii="Times New Roman" w:cs="Times New Roman" w:eastAsia="Times New Roman" w:hAnsi="Times New Roman"/>
          <w:sz w:val="14"/>
          <w:szCs w:val="14"/>
          <w:color w:val="auto"/>
        </w:rPr>
        <w:t xml:space="preserve"> for the six months ended July 31, 2019 was primarily due to proceeds from the issuance of Class A common stock in connection with the IPO and private placement, net of underwriting discounts and commissions and other offering costs, of </w:t>
      </w:r>
      <w:r>
        <w:rPr>
          <w:rFonts w:ascii="Times New Roman" w:cs="Times New Roman" w:eastAsia="Times New Roman" w:hAnsi="Times New Roman"/>
          <w:sz w:val="14"/>
          <w:szCs w:val="14"/>
          <w:color w:val="231F20"/>
        </w:rPr>
        <w:t>$542.9 million</w:t>
      </w:r>
      <w:r>
        <w:rPr>
          <w:rFonts w:ascii="Times New Roman" w:cs="Times New Roman" w:eastAsia="Times New Roman" w:hAnsi="Times New Roman"/>
          <w:sz w:val="14"/>
          <w:szCs w:val="14"/>
          <w:color w:val="auto"/>
        </w:rPr>
        <w:t xml:space="preserve">, and proceeds from the exercise of stock options, net of repurchases, of </w:t>
      </w:r>
      <w:r>
        <w:rPr>
          <w:rFonts w:ascii="Times New Roman" w:cs="Times New Roman" w:eastAsia="Times New Roman" w:hAnsi="Times New Roman"/>
          <w:sz w:val="14"/>
          <w:szCs w:val="14"/>
          <w:color w:val="231F20"/>
        </w:rPr>
        <w:t>$2.2 million</w:t>
      </w:r>
      <w:r>
        <w:rPr>
          <w:rFonts w:ascii="Times New Roman" w:cs="Times New Roman" w:eastAsia="Times New Roman" w:hAnsi="Times New Roman"/>
          <w:sz w:val="14"/>
          <w:szCs w:val="14"/>
          <w:color w:val="000000"/>
        </w:rPr>
        <w:t>.</w:t>
      </w:r>
    </w:p>
    <w:p>
      <w:pPr>
        <w:spacing w:after="0" w:line="50" w:lineRule="exact"/>
        <w:rPr>
          <w:sz w:val="20"/>
          <w:szCs w:val="20"/>
          <w:color w:val="auto"/>
        </w:rPr>
      </w:pPr>
    </w:p>
    <w:p>
      <w:pPr>
        <w:ind w:right="340" w:firstLine="388"/>
        <w:spacing w:after="0" w:line="294" w:lineRule="auto"/>
        <w:rPr>
          <w:sz w:val="20"/>
          <w:szCs w:val="20"/>
          <w:color w:val="auto"/>
        </w:rPr>
      </w:pPr>
      <w:r>
        <w:rPr>
          <w:rFonts w:ascii="Times New Roman" w:cs="Times New Roman" w:eastAsia="Times New Roman" w:hAnsi="Times New Roman"/>
          <w:sz w:val="14"/>
          <w:szCs w:val="14"/>
          <w:color w:val="auto"/>
        </w:rPr>
        <w:t xml:space="preserve">Net cash provided by financing activities of </w:t>
      </w:r>
      <w:r>
        <w:rPr>
          <w:rFonts w:ascii="Times New Roman" w:cs="Times New Roman" w:eastAsia="Times New Roman" w:hAnsi="Times New Roman"/>
          <w:sz w:val="14"/>
          <w:szCs w:val="14"/>
          <w:color w:val="231F20"/>
        </w:rPr>
        <w:t>$0.5 million</w:t>
      </w:r>
      <w:r>
        <w:rPr>
          <w:rFonts w:ascii="Times New Roman" w:cs="Times New Roman" w:eastAsia="Times New Roman" w:hAnsi="Times New Roman"/>
          <w:sz w:val="14"/>
          <w:szCs w:val="14"/>
          <w:color w:val="auto"/>
        </w:rPr>
        <w:t xml:space="preserve"> for the six months ended July 31, 2018 was primarily due to proceeds from the exercise of stock options of </w:t>
      </w:r>
      <w:r>
        <w:rPr>
          <w:rFonts w:ascii="Times New Roman" w:cs="Times New Roman" w:eastAsia="Times New Roman" w:hAnsi="Times New Roman"/>
          <w:sz w:val="14"/>
          <w:szCs w:val="14"/>
          <w:color w:val="231F20"/>
        </w:rPr>
        <w:t>$0.6 million</w:t>
      </w:r>
      <w:r>
        <w:rPr>
          <w:rFonts w:ascii="Times New Roman" w:cs="Times New Roman" w:eastAsia="Times New Roman" w:hAnsi="Times New Roman"/>
          <w:sz w:val="14"/>
          <w:szCs w:val="14"/>
          <w:color w:val="auto"/>
        </w:rPr>
        <w:t xml:space="preserve">, partially offset by principal payments on capital lease obligations of </w:t>
      </w:r>
      <w:r>
        <w:rPr>
          <w:rFonts w:ascii="Times New Roman" w:cs="Times New Roman" w:eastAsia="Times New Roman" w:hAnsi="Times New Roman"/>
          <w:sz w:val="14"/>
          <w:szCs w:val="14"/>
          <w:color w:val="231F20"/>
        </w:rPr>
        <w:t>$0.1 million</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100" w:lineRule="exact"/>
        <w:rPr>
          <w:sz w:val="20"/>
          <w:szCs w:val="20"/>
          <w:color w:val="auto"/>
        </w:rPr>
      </w:pPr>
    </w:p>
    <w:p>
      <w:pPr>
        <w:ind w:right="200" w:firstLine="388"/>
        <w:spacing w:after="0" w:line="294" w:lineRule="auto"/>
        <w:rPr>
          <w:sz w:val="20"/>
          <w:szCs w:val="20"/>
          <w:color w:val="auto"/>
        </w:rPr>
      </w:pPr>
      <w:r>
        <w:rPr>
          <w:rFonts w:ascii="Times New Roman" w:cs="Times New Roman" w:eastAsia="Times New Roman" w:hAnsi="Times New Roman"/>
          <w:sz w:val="14"/>
          <w:szCs w:val="14"/>
          <w:color w:val="auto"/>
        </w:rPr>
        <w:t>There were no material changes outside of the ordinary course of business in our commitments and contractual obligations during the six months ended July 31, 2019 from the commitments and contractual obligations disclosed in Management's Discussion and Analysis of Financial Condition and Results of Operations, set forth in our Prospectus.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00" w:lineRule="exact"/>
        <w:rPr>
          <w:sz w:val="20"/>
          <w:szCs w:val="20"/>
          <w:color w:val="auto"/>
        </w:rPr>
      </w:pPr>
    </w:p>
    <w:p>
      <w:pPr>
        <w:ind w:right="220" w:firstLine="388"/>
        <w:spacing w:after="0" w:line="294" w:lineRule="auto"/>
        <w:rPr>
          <w:sz w:val="20"/>
          <w:szCs w:val="20"/>
          <w:color w:val="auto"/>
        </w:rPr>
      </w:pPr>
      <w:r>
        <w:rPr>
          <w:rFonts w:ascii="Times New Roman" w:cs="Times New Roman" w:eastAsia="Times New Roman" w:hAnsi="Times New Roman"/>
          <w:sz w:val="14"/>
          <w:szCs w:val="14"/>
          <w:color w:val="auto"/>
        </w:rPr>
        <w:t>Through July 31, 2019, we did not have any relationships with unconsolidated organizations or financial partnerships, such as structured finance or special-purpose entities that would have been established for the purpose of facilitating off-balance sheet arrangements or other contractually narrow or limited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00"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4"/>
          <w:szCs w:val="14"/>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42" w:lineRule="exact"/>
        <w:rPr>
          <w:sz w:val="20"/>
          <w:szCs w:val="20"/>
          <w:color w:val="auto"/>
        </w:rPr>
      </w:pPr>
    </w:p>
    <w:p>
      <w:pPr>
        <w:ind w:right="120" w:firstLine="388"/>
        <w:spacing w:after="0" w:line="294" w:lineRule="auto"/>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estimates as compared to the critical accounting policies and estimates described in our Management's Discussion and Analysis of Financial Condition and Results of Operations, set forth in our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See “Summary of Business and Significant Accounting Policies” in Note 1 of the notes to our condensed consolidated financial statements included in Part I, Item 1 of this Form 10-Q.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and Exchange Risk</w:t>
      </w:r>
    </w:p>
    <w:p>
      <w:pPr>
        <w:spacing w:after="0" w:line="102" w:lineRule="exact"/>
        <w:rPr>
          <w:sz w:val="20"/>
          <w:szCs w:val="20"/>
          <w:color w:val="auto"/>
        </w:rPr>
      </w:pPr>
    </w:p>
    <w:p>
      <w:pPr>
        <w:ind w:right="60" w:firstLine="388"/>
        <w:spacing w:after="0" w:line="265" w:lineRule="auto"/>
        <w:rPr>
          <w:sz w:val="20"/>
          <w:szCs w:val="20"/>
          <w:color w:val="auto"/>
        </w:rPr>
      </w:pPr>
      <w:r>
        <w:rPr>
          <w:rFonts w:ascii="Times New Roman" w:cs="Times New Roman" w:eastAsia="Times New Roman" w:hAnsi="Times New Roman"/>
          <w:sz w:val="14"/>
          <w:szCs w:val="14"/>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financials for the three and six months ended July 31, 2019 and 2018.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4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2" w:lineRule="exact"/>
        <w:rPr>
          <w:sz w:val="20"/>
          <w:szCs w:val="20"/>
          <w:color w:val="auto"/>
        </w:rPr>
      </w:pPr>
    </w:p>
    <w:p>
      <w:pPr>
        <w:ind w:right="100" w:firstLine="388"/>
        <w:spacing w:after="0" w:line="263" w:lineRule="auto"/>
        <w:rPr>
          <w:sz w:val="20"/>
          <w:szCs w:val="20"/>
          <w:color w:val="auto"/>
        </w:rPr>
      </w:pPr>
      <w:r>
        <w:rPr>
          <w:rFonts w:ascii="Times New Roman" w:cs="Times New Roman" w:eastAsia="Times New Roman" w:hAnsi="Times New Roman"/>
          <w:sz w:val="14"/>
          <w:szCs w:val="14"/>
          <w:color w:val="auto"/>
        </w:rPr>
        <w:t xml:space="preserve">We had cash and cash equivalents of </w:t>
      </w:r>
      <w:r>
        <w:rPr>
          <w:rFonts w:ascii="Times New Roman" w:cs="Times New Roman" w:eastAsia="Times New Roman" w:hAnsi="Times New Roman"/>
          <w:sz w:val="14"/>
          <w:szCs w:val="14"/>
          <w:color w:val="231F20"/>
        </w:rPr>
        <w:t>$213.9 million</w:t>
      </w:r>
      <w:r>
        <w:rPr>
          <w:rFonts w:ascii="Times New Roman" w:cs="Times New Roman" w:eastAsia="Times New Roman" w:hAnsi="Times New Roman"/>
          <w:sz w:val="14"/>
          <w:szCs w:val="14"/>
          <w:color w:val="auto"/>
        </w:rPr>
        <w:t xml:space="preserve"> and marketable securities of </w:t>
      </w:r>
      <w:r>
        <w:rPr>
          <w:rFonts w:ascii="Times New Roman" w:cs="Times New Roman" w:eastAsia="Times New Roman" w:hAnsi="Times New Roman"/>
          <w:sz w:val="14"/>
          <w:szCs w:val="14"/>
          <w:color w:val="231F20"/>
        </w:rPr>
        <w:t>$541.4 million</w:t>
      </w:r>
      <w:r>
        <w:rPr>
          <w:rFonts w:ascii="Times New Roman" w:cs="Times New Roman" w:eastAsia="Times New Roman" w:hAnsi="Times New Roman"/>
          <w:sz w:val="14"/>
          <w:szCs w:val="14"/>
          <w:color w:val="auto"/>
        </w:rPr>
        <w:t xml:space="preserve"> as of July 31, 2019. Cash and cash equivalents consist of bank deposits, money market funds, high-grade commercial paper, corporate debt securities, and treasury bills. Our marketable securities generally consist of high-grade commercial paper, agency bonds, corporate debt securities,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six months ended July 31, 2019 and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02" w:lineRule="exact"/>
        <w:rPr>
          <w:sz w:val="20"/>
          <w:szCs w:val="20"/>
          <w:color w:val="auto"/>
        </w:rPr>
      </w:pPr>
    </w:p>
    <w:p>
      <w:pPr>
        <w:ind w:right="60" w:firstLine="388"/>
        <w:spacing w:after="0" w:line="269"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our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420"/>
          </w:cols>
          <w:pgMar w:left="220" w:top="125" w:right="2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such date, our disclosure controls and procedures were effective at the reasonable assurance level.</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2" w:lineRule="exact"/>
        <w:rPr>
          <w:sz w:val="20"/>
          <w:szCs w:val="20"/>
          <w:color w:val="auto"/>
        </w:rPr>
      </w:pPr>
    </w:p>
    <w:p>
      <w:pPr>
        <w:ind w:firstLine="388"/>
        <w:spacing w:after="0" w:line="294"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00" w:lineRule="exact"/>
        <w:rPr>
          <w:sz w:val="20"/>
          <w:szCs w:val="20"/>
          <w:color w:val="auto"/>
        </w:rPr>
      </w:pPr>
    </w:p>
    <w:p>
      <w:pPr>
        <w:ind w:right="120" w:firstLine="388"/>
        <w:spacing w:after="0" w:line="269" w:lineRule="auto"/>
        <w:rPr>
          <w:sz w:val="20"/>
          <w:szCs w:val="20"/>
          <w:color w:val="auto"/>
        </w:rPr>
      </w:pPr>
      <w:r>
        <w:rPr>
          <w:rFonts w:ascii="Times New Roman" w:cs="Times New Roman" w:eastAsia="Times New Roman" w:hAnsi="Times New Roman"/>
          <w:sz w:val="14"/>
          <w:szCs w:val="14"/>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8" w:lineRule="exact"/>
        <w:rPr>
          <w:sz w:val="20"/>
          <w:szCs w:val="20"/>
          <w:color w:val="auto"/>
        </w:rPr>
      </w:pPr>
    </w:p>
    <w:p>
      <w:pPr>
        <w:ind w:right="80" w:firstLine="388"/>
        <w:spacing w:after="0" w:line="270"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pacing w:after="0" w:line="96"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3" w:lineRule="exact"/>
        <w:rPr>
          <w:sz w:val="20"/>
          <w:szCs w:val="20"/>
          <w:color w:val="auto"/>
        </w:rPr>
      </w:pPr>
    </w:p>
    <w:p>
      <w:pPr>
        <w:ind w:right="160" w:firstLine="388"/>
        <w:spacing w:after="0" w:line="269" w:lineRule="auto"/>
        <w:rPr>
          <w:sz w:val="20"/>
          <w:szCs w:val="20"/>
          <w:color w:val="auto"/>
        </w:rPr>
      </w:pPr>
      <w:r>
        <w:rPr>
          <w:rFonts w:ascii="Times New Roman" w:cs="Times New Roman" w:eastAsia="Times New Roman" w:hAnsi="Times New Roman"/>
          <w:sz w:val="14"/>
          <w:szCs w:val="14"/>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40"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44" w:lineRule="exact"/>
        <w:rPr>
          <w:sz w:val="20"/>
          <w:szCs w:val="20"/>
          <w:color w:val="auto"/>
        </w:rPr>
      </w:pPr>
    </w:p>
    <w:p>
      <w:pPr>
        <w:ind w:right="20" w:firstLine="388"/>
        <w:spacing w:after="0" w:line="266" w:lineRule="auto"/>
        <w:rPr>
          <w:sz w:val="20"/>
          <w:szCs w:val="20"/>
          <w:color w:val="auto"/>
        </w:rPr>
      </w:pPr>
      <w:r>
        <w:rPr>
          <w:rFonts w:ascii="Times New Roman" w:cs="Times New Roman" w:eastAsia="Times New Roman" w:hAnsi="Times New Roman"/>
          <w:sz w:val="14"/>
          <w:szCs w:val="14"/>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42" w:lineRule="exact"/>
        <w:rPr>
          <w:sz w:val="20"/>
          <w:szCs w:val="20"/>
          <w:color w:val="auto"/>
        </w:rPr>
      </w:pPr>
    </w:p>
    <w:p>
      <w:pPr>
        <w:ind w:right="300" w:firstLine="388"/>
        <w:spacing w:after="0" w:line="275" w:lineRule="auto"/>
        <w:rPr>
          <w:sz w:val="20"/>
          <w:szCs w:val="20"/>
          <w:color w:val="auto"/>
        </w:rPr>
      </w:pPr>
      <w:r>
        <w:rPr>
          <w:rFonts w:ascii="Times New Roman" w:cs="Times New Roman" w:eastAsia="Times New Roman" w:hAnsi="Times New Roman"/>
          <w:sz w:val="14"/>
          <w:szCs w:val="14"/>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420"/>
          </w:cols>
          <w:pgMar w:left="220" w:top="125" w:right="25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which makes it difficult to evaluate our prospects and future results of operations.</w:t>
      </w:r>
    </w:p>
    <w:p>
      <w:pPr>
        <w:spacing w:after="0" w:line="102"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competitive markets, and we must continue to compete effectively.</w:t>
      </w:r>
    </w:p>
    <w:p>
      <w:pPr>
        <w:spacing w:after="0" w:line="102" w:lineRule="exact"/>
        <w:rPr>
          <w:sz w:val="20"/>
          <w:szCs w:val="20"/>
          <w:color w:val="auto"/>
        </w:rPr>
      </w:pPr>
    </w:p>
    <w:p>
      <w:pPr>
        <w:ind w:right="400" w:firstLine="388"/>
        <w:spacing w:after="0" w:line="294" w:lineRule="auto"/>
        <w:rPr>
          <w:sz w:val="20"/>
          <w:szCs w:val="20"/>
          <w:color w:val="auto"/>
        </w:rPr>
      </w:pPr>
      <w:r>
        <w:rPr>
          <w:rFonts w:ascii="Times New Roman" w:cs="Times New Roman" w:eastAsia="Times New Roman" w:hAnsi="Times New Roman"/>
          <w:sz w:val="14"/>
          <w:szCs w:val="14"/>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37" w:lineRule="exact"/>
        <w:rPr>
          <w:sz w:val="20"/>
          <w:szCs w:val="20"/>
          <w:color w:val="auto"/>
        </w:rPr>
      </w:pPr>
    </w:p>
    <w:p>
      <w:pPr>
        <w:ind w:left="900" w:hanging="506"/>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web-based meeting providers, including Webex and Skype for Business;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bundled productivity solutions providers with basic video functionality, including Google; and</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point solutions providers, including LogMeIn.</w:t>
      </w:r>
    </w:p>
    <w:p>
      <w:pPr>
        <w:spacing w:after="0" w:line="184"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46"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4"/>
          <w:szCs w:val="14"/>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sustain our revenue growth rate in the future.</w:t>
      </w:r>
    </w:p>
    <w:p>
      <w:pPr>
        <w:spacing w:after="0" w:line="102" w:lineRule="exact"/>
        <w:rPr>
          <w:sz w:val="20"/>
          <w:szCs w:val="20"/>
          <w:color w:val="auto"/>
        </w:rPr>
      </w:pPr>
    </w:p>
    <w:p>
      <w:pPr>
        <w:ind w:right="80" w:firstLine="388"/>
        <w:spacing w:after="0" w:line="269" w:lineRule="auto"/>
        <w:rPr>
          <w:sz w:val="20"/>
          <w:szCs w:val="20"/>
          <w:color w:val="auto"/>
        </w:rPr>
      </w:pPr>
      <w:r>
        <w:rPr>
          <w:rFonts w:ascii="Times New Roman" w:cs="Times New Roman" w:eastAsia="Times New Roman" w:hAnsi="Times New Roman"/>
          <w:sz w:val="14"/>
          <w:szCs w:val="14"/>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33" w:lineRule="exact"/>
        <w:rPr>
          <w:sz w:val="20"/>
          <w:szCs w:val="20"/>
          <w:color w:val="auto"/>
        </w:rPr>
      </w:pPr>
    </w:p>
    <w:p>
      <w:pPr>
        <w:ind w:firstLine="388"/>
        <w:spacing w:after="0" w:line="260" w:lineRule="auto"/>
        <w:rPr>
          <w:sz w:val="20"/>
          <w:szCs w:val="20"/>
          <w:color w:val="auto"/>
        </w:rPr>
      </w:pPr>
      <w:r>
        <w:rPr>
          <w:rFonts w:ascii="Times New Roman" w:cs="Times New Roman" w:eastAsia="Times New Roman" w:hAnsi="Times New Roman"/>
          <w:sz w:val="14"/>
          <w:szCs w:val="14"/>
          <w:color w:val="auto"/>
        </w:rPr>
        <w:t>We currently serve our users from various co-located data centers located throughout the world.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323" w:lineRule="exact"/>
        <w:rPr>
          <w:sz w:val="20"/>
          <w:szCs w:val="20"/>
          <w:color w:val="auto"/>
        </w:rPr>
      </w:pPr>
    </w:p>
    <w:p>
      <w:pPr>
        <w:ind w:right="120" w:firstLine="388"/>
        <w:spacing w:after="0" w:line="294" w:lineRule="auto"/>
        <w:rPr>
          <w:sz w:val="20"/>
          <w:szCs w:val="20"/>
          <w:color w:val="auto"/>
        </w:rPr>
      </w:pPr>
      <w:r>
        <w:rPr>
          <w:rFonts w:ascii="Times New Roman" w:cs="Times New Roman" w:eastAsia="Times New Roman" w:hAnsi="Times New Roman"/>
          <w:sz w:val="14"/>
          <w:szCs w:val="14"/>
          <w:color w:val="auto"/>
        </w:rPr>
        <w:t>Additionally, if our data centers are unable to keep up with our increasing needs for capacity, customers may experience delays as we seek to obtain additional capacity, which could harm our business.</w:t>
      </w:r>
    </w:p>
    <w:p>
      <w:pPr>
        <w:spacing w:after="0" w:line="123"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4"/>
          <w:szCs w:val="14"/>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25"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33"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318" w:lineRule="exact"/>
        <w:rPr>
          <w:sz w:val="20"/>
          <w:szCs w:val="20"/>
          <w:color w:val="auto"/>
        </w:rPr>
      </w:pPr>
    </w:p>
    <w:p>
      <w:pPr>
        <w:jc w:val="both"/>
        <w:ind w:right="200" w:firstLine="388"/>
        <w:spacing w:after="0" w:line="266" w:lineRule="auto"/>
        <w:rPr>
          <w:sz w:val="20"/>
          <w:szCs w:val="20"/>
          <w:color w:val="auto"/>
        </w:rPr>
      </w:pPr>
      <w:r>
        <w:rPr>
          <w:rFonts w:ascii="Times New Roman" w:cs="Times New Roman" w:eastAsia="Times New Roman" w:hAnsi="Times New Roman"/>
          <w:sz w:val="14"/>
          <w:szCs w:val="14"/>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or by charging increased fees to third parties or the users of third-party services, any of which would make our platform less attractive to users and reduce our revenue.</w:t>
      </w:r>
    </w:p>
    <w:p>
      <w:pPr>
        <w:spacing w:after="0" w:line="184"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4"/>
          <w:szCs w:val="14"/>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we increase sales to large organizations, our sales cycles could lengthen, and we could experience greater deployment challenges.</w:t>
      </w:r>
    </w:p>
    <w:p>
      <w:pPr>
        <w:spacing w:after="0" w:line="102" w:lineRule="exact"/>
        <w:rPr>
          <w:sz w:val="20"/>
          <w:szCs w:val="20"/>
          <w:color w:val="auto"/>
        </w:rPr>
      </w:pPr>
    </w:p>
    <w:p>
      <w:pPr>
        <w:ind w:right="40" w:firstLine="388"/>
        <w:spacing w:after="0" w:line="264" w:lineRule="auto"/>
        <w:rPr>
          <w:sz w:val="20"/>
          <w:szCs w:val="20"/>
          <w:color w:val="auto"/>
        </w:rPr>
      </w:pPr>
      <w:r>
        <w:rPr>
          <w:rFonts w:ascii="Times New Roman" w:cs="Times New Roman" w:eastAsia="Times New Roman" w:hAnsi="Times New Roman"/>
          <w:sz w:val="14"/>
          <w:szCs w:val="14"/>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27"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33" w:lineRule="exact"/>
        <w:rPr>
          <w:sz w:val="20"/>
          <w:szCs w:val="20"/>
          <w:color w:val="auto"/>
        </w:rPr>
      </w:pPr>
    </w:p>
    <w:p>
      <w:pPr>
        <w:ind w:right="180" w:firstLine="388"/>
        <w:spacing w:after="0" w:line="275" w:lineRule="auto"/>
        <w:rPr>
          <w:sz w:val="20"/>
          <w:szCs w:val="20"/>
          <w:color w:val="auto"/>
        </w:rPr>
      </w:pPr>
      <w:r>
        <w:rPr>
          <w:rFonts w:ascii="Times New Roman" w:cs="Times New Roman" w:eastAsia="Times New Roman" w:hAnsi="Times New Roman"/>
          <w:sz w:val="14"/>
          <w:szCs w:val="14"/>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36" w:lineRule="exact"/>
        <w:rPr>
          <w:sz w:val="20"/>
          <w:szCs w:val="20"/>
          <w:color w:val="auto"/>
        </w:rPr>
      </w:pPr>
    </w:p>
    <w:p>
      <w:pPr>
        <w:ind w:right="20" w:firstLine="388"/>
        <w:spacing w:after="0" w:line="275" w:lineRule="auto"/>
        <w:rPr>
          <w:sz w:val="20"/>
          <w:szCs w:val="20"/>
          <w:color w:val="auto"/>
        </w:rPr>
      </w:pPr>
      <w:r>
        <w:rPr>
          <w:rFonts w:ascii="Times New Roman" w:cs="Times New Roman" w:eastAsia="Times New Roman" w:hAnsi="Times New Roman"/>
          <w:sz w:val="14"/>
          <w:szCs w:val="14"/>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50" w:lineRule="exact"/>
        <w:rPr>
          <w:sz w:val="20"/>
          <w:szCs w:val="20"/>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awareness of the communications and collaboration technologies category generally;</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products and services that compete with ours;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modes of communications and collaboration that may be developed in the future;</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adoption and use;</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features and platform experience;</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of our platform, including frequency of outages;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and privacy;</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user support; and</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440"/>
          </w:cols>
          <w:pgMar w:left="220" w:top="125"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80" w:firstLine="388"/>
        <w:spacing w:after="0" w:line="294"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05"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33"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4"/>
          <w:szCs w:val="14"/>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45"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44" w:lineRule="exact"/>
        <w:rPr>
          <w:sz w:val="20"/>
          <w:szCs w:val="20"/>
          <w:color w:val="auto"/>
        </w:rPr>
      </w:pPr>
    </w:p>
    <w:p>
      <w:pPr>
        <w:ind w:right="60" w:firstLine="388"/>
        <w:spacing w:after="0" w:line="273" w:lineRule="auto"/>
        <w:rPr>
          <w:sz w:val="20"/>
          <w:szCs w:val="20"/>
          <w:color w:val="auto"/>
        </w:rPr>
      </w:pPr>
      <w:r>
        <w:rPr>
          <w:rFonts w:ascii="Times New Roman" w:cs="Times New Roman" w:eastAsia="Times New Roman" w:hAnsi="Times New Roman"/>
          <w:sz w:val="14"/>
          <w:szCs w:val="14"/>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respond to rapid technological changes, extend our platform or develop new features.</w:t>
      </w:r>
    </w:p>
    <w:p>
      <w:pPr>
        <w:spacing w:after="0" w:line="102"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321" w:lineRule="exact"/>
        <w:rPr>
          <w:sz w:val="20"/>
          <w:szCs w:val="20"/>
          <w:color w:val="auto"/>
        </w:rPr>
      </w:pPr>
    </w:p>
    <w:p>
      <w:pPr>
        <w:ind w:right="140" w:firstLine="388"/>
        <w:spacing w:after="0" w:line="263" w:lineRule="auto"/>
        <w:rPr>
          <w:sz w:val="20"/>
          <w:szCs w:val="20"/>
          <w:color w:val="auto"/>
        </w:rPr>
      </w:pPr>
      <w:r>
        <w:rPr>
          <w:rFonts w:ascii="Times New Roman" w:cs="Times New Roman" w:eastAsia="Times New Roman" w:hAnsi="Times New Roman"/>
          <w:sz w:val="14"/>
          <w:szCs w:val="14"/>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440"/>
          </w:cols>
          <w:pgMar w:left="220" w:top="125"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features and capabilities to our platform on a timely and cost-effective basis, or if such enhancements do not achieve market acceptance, our business would be harmed.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102" w:lineRule="exact"/>
        <w:rPr>
          <w:sz w:val="20"/>
          <w:szCs w:val="20"/>
          <w:color w:val="auto"/>
        </w:rPr>
      </w:pPr>
    </w:p>
    <w:p>
      <w:pPr>
        <w:ind w:firstLine="388"/>
        <w:spacing w:after="0" w:line="294" w:lineRule="auto"/>
        <w:rPr>
          <w:sz w:val="20"/>
          <w:szCs w:val="20"/>
          <w:color w:val="auto"/>
        </w:rPr>
      </w:pPr>
      <w:r>
        <w:rPr>
          <w:rFonts w:ascii="Times New Roman" w:cs="Times New Roman" w:eastAsia="Times New Roman" w:hAnsi="Times New Roman"/>
          <w:sz w:val="14"/>
          <w:szCs w:val="14"/>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23" w:lineRule="exact"/>
        <w:rPr>
          <w:sz w:val="20"/>
          <w:szCs w:val="20"/>
          <w:color w:val="auto"/>
        </w:rPr>
      </w:pPr>
    </w:p>
    <w:p>
      <w:pPr>
        <w:ind w:right="40" w:firstLine="388"/>
        <w:spacing w:after="0" w:line="266" w:lineRule="auto"/>
        <w:rPr>
          <w:sz w:val="20"/>
          <w:szCs w:val="20"/>
          <w:color w:val="auto"/>
        </w:rPr>
      </w:pPr>
      <w:r>
        <w:rPr>
          <w:rFonts w:ascii="Times New Roman" w:cs="Times New Roman" w:eastAsia="Times New Roman" w:hAnsi="Times New Roman"/>
          <w:sz w:val="14"/>
          <w:szCs w:val="14"/>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25" w:lineRule="exact"/>
        <w:rPr>
          <w:sz w:val="20"/>
          <w:szCs w:val="20"/>
          <w:color w:val="auto"/>
        </w:rPr>
      </w:pPr>
    </w:p>
    <w:p>
      <w:pPr>
        <w:ind w:right="6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33" w:lineRule="exact"/>
        <w:rPr>
          <w:sz w:val="20"/>
          <w:szCs w:val="20"/>
          <w:color w:val="auto"/>
        </w:rPr>
      </w:pPr>
    </w:p>
    <w:p>
      <w:pPr>
        <w:ind w:right="20" w:firstLine="388"/>
        <w:spacing w:after="0" w:line="258" w:lineRule="auto"/>
        <w:rPr>
          <w:sz w:val="20"/>
          <w:szCs w:val="20"/>
          <w:color w:val="auto"/>
        </w:rPr>
      </w:pPr>
      <w:r>
        <w:rPr>
          <w:rFonts w:ascii="Times New Roman" w:cs="Times New Roman" w:eastAsia="Times New Roman" w:hAnsi="Times New Roman"/>
          <w:sz w:val="14"/>
          <w:szCs w:val="14"/>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 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2019, a security researcher published a blog highlighting concerns with the Zoom Meeting platform, including certain video-on features.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 premiums due to cybersecurity incidents, increased costs to address cybersecurity issues and attempts to prevent future incidents, and harm to our business and our reputation because of any such incident.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460"/>
          </w:cols>
          <w:pgMar w:left="220" w:top="125" w:right="21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388"/>
        <w:spacing w:after="0" w:line="265" w:lineRule="auto"/>
        <w:rPr>
          <w:sz w:val="20"/>
          <w:szCs w:val="20"/>
          <w:color w:val="auto"/>
        </w:rPr>
      </w:pPr>
      <w:r>
        <w:rPr>
          <w:rFonts w:ascii="Times New Roman" w:cs="Times New Roman" w:eastAsia="Times New Roman" w:hAnsi="Times New Roman"/>
          <w:sz w:val="14"/>
          <w:szCs w:val="14"/>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318"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4"/>
          <w:szCs w:val="14"/>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102" w:lineRule="exact"/>
        <w:rPr>
          <w:sz w:val="20"/>
          <w:szCs w:val="20"/>
          <w:color w:val="auto"/>
        </w:rPr>
      </w:pPr>
    </w:p>
    <w:p>
      <w:pPr>
        <w:ind w:right="60" w:firstLine="388"/>
        <w:spacing w:after="0" w:line="262" w:lineRule="auto"/>
        <w:rPr>
          <w:sz w:val="20"/>
          <w:szCs w:val="20"/>
          <w:color w:val="auto"/>
        </w:rPr>
      </w:pPr>
      <w:r>
        <w:rPr>
          <w:rFonts w:ascii="Times New Roman" w:cs="Times New Roman" w:eastAsia="Times New Roman" w:hAnsi="Times New Roman"/>
          <w:sz w:val="14"/>
          <w:szCs w:val="14"/>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we expect to increase our expenses in the future, which could prevent us from achieving or maintaining profitability.</w:t>
      </w:r>
    </w:p>
    <w:p>
      <w:pPr>
        <w:spacing w:after="0" w:line="102" w:lineRule="exact"/>
        <w:rPr>
          <w:sz w:val="20"/>
          <w:szCs w:val="20"/>
          <w:color w:val="auto"/>
        </w:rPr>
      </w:pPr>
    </w:p>
    <w:p>
      <w:pPr>
        <w:ind w:right="20" w:firstLine="388"/>
        <w:spacing w:after="0" w:line="261" w:lineRule="auto"/>
        <w:rPr>
          <w:sz w:val="20"/>
          <w:szCs w:val="20"/>
          <w:color w:val="auto"/>
        </w:rPr>
      </w:pPr>
      <w:r>
        <w:rPr>
          <w:rFonts w:ascii="Times New Roman" w:cs="Times New Roman" w:eastAsia="Times New Roman" w:hAnsi="Times New Roman"/>
          <w:sz w:val="14"/>
          <w:szCs w:val="14"/>
          <w:color w:val="auto"/>
        </w:rPr>
        <w:t>Although we generated net income of $5.5 million and $7.8 million for the three and six months ended July 31, 2019, respectively, we have incurred net losses in the past,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successfully manage our growth or plan for future growth.</w:t>
      </w:r>
    </w:p>
    <w:p>
      <w:pPr>
        <w:spacing w:after="0" w:line="102" w:lineRule="exact"/>
        <w:rPr>
          <w:sz w:val="20"/>
          <w:szCs w:val="20"/>
          <w:color w:val="auto"/>
        </w:rPr>
      </w:pPr>
    </w:p>
    <w:p>
      <w:pPr>
        <w:ind w:right="80" w:firstLine="388"/>
        <w:spacing w:after="0" w:line="294" w:lineRule="auto"/>
        <w:rPr>
          <w:sz w:val="20"/>
          <w:szCs w:val="20"/>
          <w:color w:val="auto"/>
        </w:rPr>
      </w:pPr>
      <w:r>
        <w:rPr>
          <w:rFonts w:ascii="Times New Roman" w:cs="Times New Roman" w:eastAsia="Times New Roman" w:hAnsi="Times New Roman"/>
          <w:sz w:val="14"/>
          <w:szCs w:val="14"/>
          <w:color w:val="auto"/>
        </w:rPr>
        <w:t>Since our founding in 2011, we have experienced rapid growth. For example, our headcount has grown from 1,338 full-time employees as of July 31, 2018, to 2,240 full-time employees as of July 31, 2019, with employees located both in the United States and internationally. The growth and expansion of our business places a continuous, significant strain on our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440"/>
          </w:cols>
          <w:pgMar w:left="220" w:top="125"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4"/>
          <w:szCs w:val="14"/>
          <w:color w:val="auto"/>
        </w:rPr>
        <w:t>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40" w:lineRule="exact"/>
        <w:rPr>
          <w:sz w:val="20"/>
          <w:szCs w:val="20"/>
          <w:color w:val="auto"/>
        </w:rPr>
      </w:pPr>
    </w:p>
    <w:p>
      <w:pPr>
        <w:ind w:right="60" w:firstLine="388"/>
        <w:spacing w:after="0" w:line="273" w:lineRule="auto"/>
        <w:rPr>
          <w:sz w:val="20"/>
          <w:szCs w:val="20"/>
          <w:color w:val="auto"/>
        </w:rPr>
      </w:pPr>
      <w:r>
        <w:rPr>
          <w:rFonts w:ascii="Times New Roman" w:cs="Times New Roman" w:eastAsia="Times New Roman" w:hAnsi="Times New Roman"/>
          <w:sz w:val="14"/>
          <w:szCs w:val="14"/>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sell subscriptions to our platform could be harmed by real or perceived material defects or errors in our platform.</w:t>
      </w:r>
    </w:p>
    <w:p>
      <w:pPr>
        <w:spacing w:after="0" w:line="102"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4"/>
          <w:szCs w:val="14"/>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42" w:lineRule="exact"/>
        <w:rPr>
          <w:sz w:val="20"/>
          <w:szCs w:val="20"/>
          <w:color w:val="auto"/>
        </w:rPr>
      </w:pPr>
    </w:p>
    <w:p>
      <w:pPr>
        <w:ind w:right="400" w:firstLine="388"/>
        <w:spacing w:after="0" w:line="294" w:lineRule="auto"/>
        <w:rPr>
          <w:sz w:val="20"/>
          <w:szCs w:val="20"/>
          <w:color w:val="auto"/>
        </w:rPr>
      </w:pPr>
      <w:r>
        <w:rPr>
          <w:rFonts w:ascii="Times New Roman" w:cs="Times New Roman" w:eastAsia="Times New Roman" w:hAnsi="Times New Roman"/>
          <w:sz w:val="14"/>
          <w:szCs w:val="14"/>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37" w:lineRule="exact"/>
        <w:rPr>
          <w:sz w:val="20"/>
          <w:szCs w:val="20"/>
          <w:color w:val="auto"/>
        </w:rPr>
      </w:pPr>
    </w:p>
    <w:p>
      <w:pPr>
        <w:ind w:left="900" w:hanging="506"/>
        <w:spacing w:after="0"/>
        <w:tabs>
          <w:tab w:leader="none" w:pos="9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 reduction in revenue or delay in market acceptance of our platform;</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issue refunds to our customers or expose us to claims for damages;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lose existing hosts and make it more difficult to attract new customers and hosts;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our development resources or require us to make extensive changes to our platform, which would increase our expenses;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technical support costs; and</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our reputation and brand.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to lose the services of our Chief Executive Officer or other members of our senior management team, we may not be able to execute our business strategy.</w:t>
      </w:r>
    </w:p>
    <w:p>
      <w:pPr>
        <w:spacing w:after="0" w:line="102" w:lineRule="exact"/>
        <w:rPr>
          <w:sz w:val="20"/>
          <w:szCs w:val="20"/>
          <w:color w:val="auto"/>
        </w:rPr>
      </w:pPr>
    </w:p>
    <w:p>
      <w:pPr>
        <w:jc w:val="both"/>
        <w:ind w:firstLine="388"/>
        <w:spacing w:after="0" w:line="275" w:lineRule="auto"/>
        <w:rPr>
          <w:sz w:val="20"/>
          <w:szCs w:val="20"/>
          <w:color w:val="auto"/>
        </w:rPr>
      </w:pPr>
      <w:r>
        <w:rPr>
          <w:rFonts w:ascii="Times New Roman" w:cs="Times New Roman" w:eastAsia="Times New Roman" w:hAnsi="Times New Roman"/>
          <w:sz w:val="14"/>
          <w:szCs w:val="14"/>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will employees, and we do not maintain any key person life insurance policies. The loss of any member of our senior management team would harm our business.</w:t>
      </w:r>
    </w:p>
    <w:p>
      <w:pPr>
        <w:spacing w:after="0" w:line="219"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33" w:lineRule="exact"/>
        <w:rPr>
          <w:sz w:val="20"/>
          <w:szCs w:val="20"/>
          <w:color w:val="auto"/>
        </w:rPr>
      </w:pPr>
    </w:p>
    <w:p>
      <w:pPr>
        <w:ind w:right="80" w:firstLine="388"/>
        <w:spacing w:after="0" w:line="268" w:lineRule="auto"/>
        <w:rPr>
          <w:sz w:val="20"/>
          <w:szCs w:val="20"/>
          <w:color w:val="auto"/>
        </w:rPr>
      </w:pPr>
      <w:r>
        <w:rPr>
          <w:rFonts w:ascii="Times New Roman" w:cs="Times New Roman" w:eastAsia="Times New Roman" w:hAnsi="Times New Roman"/>
          <w:sz w:val="14"/>
          <w:szCs w:val="14"/>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If we fail to attract new personnel or fail to retain and motivate our current personnel,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420"/>
          </w:cols>
          <w:pgMar w:left="220" w:top="125" w:right="2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44" w:lineRule="exact"/>
        <w:rPr>
          <w:sz w:val="20"/>
          <w:szCs w:val="20"/>
          <w:color w:val="auto"/>
        </w:rPr>
      </w:pPr>
    </w:p>
    <w:p>
      <w:pPr>
        <w:ind w:firstLine="388"/>
        <w:spacing w:after="0" w:line="265" w:lineRule="auto"/>
        <w:rPr>
          <w:sz w:val="20"/>
          <w:szCs w:val="20"/>
          <w:color w:val="auto"/>
        </w:rPr>
      </w:pPr>
      <w:r>
        <w:rPr>
          <w:rFonts w:ascii="Times New Roman" w:cs="Times New Roman" w:eastAsia="Times New Roman" w:hAnsi="Times New Roman"/>
          <w:sz w:val="14"/>
          <w:szCs w:val="14"/>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For example, we were recently informed of a personal relationship involving our Chief Financial Officer and an individual with whom she worked, while they were both at her prior employer. After reviewing the facts and circumstances of the situation, we confirmed that our Chief Financial Officer can and should continue to serve in her role. However, these are the types of situations that will continue to challenge our culture of transparency.</w:t>
      </w:r>
    </w:p>
    <w:p>
      <w:pPr>
        <w:spacing w:after="0" w:line="318" w:lineRule="exact"/>
        <w:rPr>
          <w:sz w:val="20"/>
          <w:szCs w:val="20"/>
          <w:color w:val="auto"/>
        </w:rPr>
      </w:pPr>
    </w:p>
    <w:p>
      <w:pPr>
        <w:ind w:right="100" w:firstLine="388"/>
        <w:spacing w:after="0" w:line="287" w:lineRule="auto"/>
        <w:rPr>
          <w:sz w:val="20"/>
          <w:szCs w:val="20"/>
          <w:color w:val="auto"/>
        </w:rPr>
      </w:pPr>
      <w:r>
        <w:rPr>
          <w:rFonts w:ascii="Times New Roman" w:cs="Times New Roman" w:eastAsia="Times New Roman" w:hAnsi="Times New Roman"/>
          <w:sz w:val="14"/>
          <w:szCs w:val="14"/>
          <w:color w:val="auto"/>
        </w:rPr>
        <w:t>In addition, many of our employees may be able to receive significant proceeds from sales of our equity in the public markets after our initial public offering, which may reduce their motivation to continue to work for us. Moreover, our initial public offering could create disparities in wealth among our employees, which may harm our culture and relations among employees and our business.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continuing to expand our operations outside the United States, where we may be subject to increased business and economic risks that could harm our business.</w:t>
      </w:r>
    </w:p>
    <w:p>
      <w:pPr>
        <w:spacing w:after="0" w:line="156" w:lineRule="exact"/>
        <w:rPr>
          <w:sz w:val="20"/>
          <w:szCs w:val="20"/>
          <w:color w:val="auto"/>
        </w:rPr>
      </w:pPr>
    </w:p>
    <w:p>
      <w:pPr>
        <w:ind w:firstLine="388"/>
        <w:spacing w:after="0" w:line="261" w:lineRule="auto"/>
        <w:rPr>
          <w:sz w:val="20"/>
          <w:szCs w:val="20"/>
          <w:color w:val="auto"/>
        </w:rPr>
      </w:pPr>
      <w:r>
        <w:rPr>
          <w:rFonts w:ascii="Times New Roman" w:cs="Times New Roman" w:eastAsia="Times New Roman" w:hAnsi="Times New Roman"/>
          <w:sz w:val="14"/>
          <w:szCs w:val="14"/>
          <w:color w:val="auto"/>
        </w:rPr>
        <w:t>Our platform addresses the communications needs of users worldwide, and we see international expansion as a major opportunity. Our revenue from APAC and EMEA collectively represented 20% and 18% of our revenue for the three months ended July 31, 2019 and 2018, respectively, and 20% and 18% of our revenue for the six months ended July 31, 2019 and 2018, respectively. We plan to add local sales support in further select international markets over time. We also operate research and development centers in China, employing more than 700 employees as of July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62" w:lineRule="exact"/>
        <w:rPr>
          <w:sz w:val="20"/>
          <w:szCs w:val="20"/>
          <w:color w:val="auto"/>
        </w:rPr>
      </w:pPr>
    </w:p>
    <w:p>
      <w:pPr>
        <w:ind w:left="920" w:right="80" w:hanging="526"/>
        <w:spacing w:after="0" w:line="294" w:lineRule="auto"/>
        <w:tabs>
          <w:tab w:leader="none" w:pos="9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recruiting and retaining talented and capable employees outside the United States, complying with complex employment- and compensation-related laws, regulations and practices in these international jurisdictions, and maintaining our company culture across all of our offices;</w:t>
      </w:r>
    </w:p>
    <w:p>
      <w:pPr>
        <w:spacing w:after="0" w:line="36" w:lineRule="exact"/>
        <w:rPr>
          <w:rFonts w:ascii="Times New Roman" w:cs="Times New Roman" w:eastAsia="Times New Roman" w:hAnsi="Times New Roman"/>
          <w:sz w:val="14"/>
          <w:szCs w:val="14"/>
          <w:color w:val="auto"/>
        </w:rPr>
      </w:pPr>
    </w:p>
    <w:p>
      <w:pPr>
        <w:ind w:left="920" w:right="500" w:hanging="526"/>
        <w:spacing w:after="0" w:line="294" w:lineRule="auto"/>
        <w:tabs>
          <w:tab w:leader="none" w:pos="9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36" w:lineRule="exact"/>
        <w:rPr>
          <w:rFonts w:ascii="Times New Roman" w:cs="Times New Roman" w:eastAsia="Times New Roman" w:hAnsi="Times New Roman"/>
          <w:sz w:val="14"/>
          <w:szCs w:val="14"/>
          <w:color w:val="auto"/>
        </w:rPr>
      </w:pPr>
    </w:p>
    <w:p>
      <w:pPr>
        <w:ind w:left="920" w:right="240" w:hanging="526"/>
        <w:spacing w:after="0" w:line="294" w:lineRule="auto"/>
        <w:tabs>
          <w:tab w:leader="none" w:pos="9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36"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an employee base in jurisdictions that may not give us the same employment and retention flexibility as does the United States;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440"/>
          </w:cols>
          <w:pgMar w:left="220" w:top="125"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920" w:right="140" w:hanging="526"/>
        <w:spacing w:after="0" w:line="294" w:lineRule="auto"/>
        <w:tabs>
          <w:tab w:leader="none" w:pos="9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jurisdictions that do not protect intellectual property rights to the same extent as does the United States and the practical enforcement of such intellectual property rights outside of the United States;</w:t>
      </w:r>
    </w:p>
    <w:p>
      <w:pPr>
        <w:spacing w:after="0" w:line="36" w:lineRule="exact"/>
        <w:rPr>
          <w:rFonts w:ascii="Times New Roman" w:cs="Times New Roman" w:eastAsia="Times New Roman" w:hAnsi="Times New Roman"/>
          <w:sz w:val="14"/>
          <w:szCs w:val="14"/>
          <w:color w:val="auto"/>
        </w:rPr>
      </w:pPr>
    </w:p>
    <w:p>
      <w:pPr>
        <w:ind w:left="920" w:right="320" w:hanging="526"/>
        <w:spacing w:after="0" w:line="294" w:lineRule="auto"/>
        <w:tabs>
          <w:tab w:leader="none" w:pos="9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6"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with partners outside of the United States;</w:t>
      </w:r>
    </w:p>
    <w:p>
      <w:pPr>
        <w:spacing w:after="0" w:line="97" w:lineRule="exact"/>
        <w:rPr>
          <w:rFonts w:ascii="Times New Roman" w:cs="Times New Roman" w:eastAsia="Times New Roman" w:hAnsi="Times New Roman"/>
          <w:sz w:val="14"/>
          <w:szCs w:val="14"/>
          <w:color w:val="auto"/>
        </w:rPr>
      </w:pPr>
    </w:p>
    <w:p>
      <w:pPr>
        <w:ind w:left="920" w:hanging="526"/>
        <w:spacing w:after="0" w:line="294" w:lineRule="auto"/>
        <w:tabs>
          <w:tab w:leader="none" w:pos="9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36" w:lineRule="exact"/>
        <w:rPr>
          <w:rFonts w:ascii="Times New Roman" w:cs="Times New Roman" w:eastAsia="Times New Roman" w:hAnsi="Times New Roman"/>
          <w:sz w:val="14"/>
          <w:szCs w:val="14"/>
          <w:color w:val="auto"/>
        </w:rPr>
      </w:pPr>
    </w:p>
    <w:p>
      <w:pPr>
        <w:ind w:left="920" w:right="120" w:hanging="526"/>
        <w:spacing w:after="0" w:line="294" w:lineRule="auto"/>
        <w:tabs>
          <w:tab w:leader="none" w:pos="9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controls that might require significant lead time in setting up operations in certain geographic territories and might prevent us from repatriating cash earned outside the United States;</w:t>
      </w:r>
    </w:p>
    <w:p>
      <w:pPr>
        <w:spacing w:after="0" w:line="36"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w:t>
      </w:r>
    </w:p>
    <w:p>
      <w:pPr>
        <w:spacing w:after="0" w:line="97" w:lineRule="exact"/>
        <w:rPr>
          <w:rFonts w:ascii="Times New Roman" w:cs="Times New Roman" w:eastAsia="Times New Roman" w:hAnsi="Times New Roman"/>
          <w:sz w:val="14"/>
          <w:szCs w:val="14"/>
          <w:color w:val="auto"/>
        </w:rPr>
      </w:pPr>
    </w:p>
    <w:p>
      <w:pPr>
        <w:ind w:left="920" w:right="100" w:hanging="526"/>
        <w:spacing w:after="0" w:line="294" w:lineRule="auto"/>
        <w:tabs>
          <w:tab w:leader="none" w:pos="9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diplomatic and trade relationships, including the imposition of new trade restrictions, trade protection measures, import or export requirements, trade embargoes and other trade barriers;</w:t>
      </w:r>
    </w:p>
    <w:p>
      <w:pPr>
        <w:spacing w:after="0" w:line="36"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longer payment cycles and greater difficulty in collecting accounts receivable;</w:t>
      </w:r>
    </w:p>
    <w:p>
      <w:pPr>
        <w:spacing w:after="0" w:line="97" w:lineRule="exact"/>
        <w:rPr>
          <w:rFonts w:ascii="Times New Roman" w:cs="Times New Roman" w:eastAsia="Times New Roman" w:hAnsi="Times New Roman"/>
          <w:sz w:val="14"/>
          <w:szCs w:val="14"/>
          <w:color w:val="auto"/>
        </w:rPr>
      </w:pPr>
    </w:p>
    <w:p>
      <w:pPr>
        <w:ind w:left="920" w:right="480" w:hanging="526"/>
        <w:spacing w:after="0" w:line="294" w:lineRule="auto"/>
        <w:tabs>
          <w:tab w:leader="none" w:pos="9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income and other tax laws of the United States or the international jurisdictions in which we operate; and</w:t>
      </w:r>
    </w:p>
    <w:p>
      <w:pPr>
        <w:spacing w:after="0" w:line="36"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 including increased accounting, travel, infrastructure and legal compliance costs.</w:t>
      </w:r>
    </w:p>
    <w:p>
      <w:pPr>
        <w:spacing w:after="0" w:line="184"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28"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United States or foreign governments may take administrative, legislative or regulatory action that could materially interfere with our ability to sell products in certain countries,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particularly in China. For example, in 2018, the United States imposed tariffs on a large variety of products of Chinese origin and most recently, in May 2019, increased tariffs on $200 billion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Chinese goods to 25%. In response, China imposed or proposed new or higher tariffs on U.S. products. While the imposition of these tariffs did not have a direct, material adverse impact on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during the six months ended July 31, 2019, the direct and indirect effects of tariffs and other restrictive trade policies are difficult to measure and are only one part of a larger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U.S./China economic and trade policy disagreement. The effects of the recently imposed and proposed tariffs are uncertain because of the dynamic nature of governmental action and responses.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cannot predict what actions may ultimately be taken with respect to tariffs or trade relations between the United States and China or other countries, what products may be subject to such actions,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what actions may be taken by the other countries in retaliation. Any alterations to our business strategy or operations made in order to adapt to or comply with any such changes would be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consuming and expensive, and certain of our competitors may be better suited to withstand or react to these changes.</w:t>
      </w:r>
    </w:p>
    <w:p>
      <w:pPr>
        <w:spacing w:after="0" w:line="179" w:lineRule="exact"/>
        <w:rPr>
          <w:sz w:val="20"/>
          <w:szCs w:val="20"/>
          <w:color w:val="auto"/>
        </w:rPr>
      </w:pPr>
    </w:p>
    <w:p>
      <w:pPr>
        <w:ind w:right="180" w:firstLine="388"/>
        <w:spacing w:after="0" w:line="253" w:lineRule="auto"/>
        <w:rPr>
          <w:sz w:val="20"/>
          <w:szCs w:val="20"/>
          <w:color w:val="auto"/>
        </w:rPr>
      </w:pPr>
      <w:r>
        <w:rPr>
          <w:rFonts w:ascii="Times New Roman" w:cs="Times New Roman" w:eastAsia="Times New Roman" w:hAnsi="Times New Roman"/>
          <w:sz w:val="14"/>
          <w:szCs w:val="14"/>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440"/>
          </w:cols>
          <w:pgMar w:left="220" w:top="125"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quarterly results may fluctuate significantly and may not fully reflect the underlying performance of our business.</w:t>
      </w:r>
    </w:p>
    <w:p>
      <w:pPr>
        <w:spacing w:after="0" w:line="102" w:lineRule="exact"/>
        <w:rPr>
          <w:sz w:val="20"/>
          <w:szCs w:val="20"/>
          <w:color w:val="auto"/>
        </w:rPr>
      </w:pPr>
    </w:p>
    <w:p>
      <w:pPr>
        <w:ind w:right="200" w:firstLine="388"/>
        <w:spacing w:after="0" w:line="269" w:lineRule="auto"/>
        <w:rPr>
          <w:sz w:val="20"/>
          <w:szCs w:val="20"/>
          <w:color w:val="auto"/>
        </w:rPr>
      </w:pPr>
      <w:r>
        <w:rPr>
          <w:rFonts w:ascii="Times New Roman" w:cs="Times New Roman" w:eastAsia="Times New Roman" w:hAnsi="Times New Roman"/>
          <w:sz w:val="14"/>
          <w:szCs w:val="14"/>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54" w:lineRule="exact"/>
        <w:rPr>
          <w:sz w:val="20"/>
          <w:szCs w:val="20"/>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upgrade customers to higher-priced tiers of Zoom Meeting plans;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hosts and upgrade hosts that subscribe to our free Zoom Meeting plan to one of our paid Zoom Meeting plans;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employees, in particular those responsible for the selling or marketing of our platform;</w:t>
      </w:r>
    </w:p>
    <w:p>
      <w:pPr>
        <w:spacing w:after="0" w:line="97" w:lineRule="exact"/>
        <w:rPr>
          <w:rFonts w:ascii="Times New Roman" w:cs="Times New Roman" w:eastAsia="Times New Roman" w:hAnsi="Times New Roman"/>
          <w:sz w:val="14"/>
          <w:szCs w:val="14"/>
          <w:color w:val="auto"/>
        </w:rPr>
      </w:pPr>
    </w:p>
    <w:p>
      <w:pPr>
        <w:ind w:left="920" w:right="300" w:hanging="461"/>
        <w:spacing w:after="0" w:line="294" w:lineRule="auto"/>
        <w:tabs>
          <w:tab w:leader="none" w:pos="9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36"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way we organize and compensate our sales teams;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and recognition of revenue;</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sales to large organizations;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sales cycles;</w:t>
      </w:r>
    </w:p>
    <w:p>
      <w:pPr>
        <w:spacing w:after="0" w:line="97" w:lineRule="exact"/>
        <w:rPr>
          <w:rFonts w:ascii="Times New Roman" w:cs="Times New Roman" w:eastAsia="Times New Roman" w:hAnsi="Times New Roman"/>
          <w:sz w:val="14"/>
          <w:szCs w:val="14"/>
          <w:color w:val="auto"/>
        </w:rPr>
      </w:pPr>
    </w:p>
    <w:p>
      <w:pPr>
        <w:ind w:left="920" w:right="60" w:hanging="461"/>
        <w:spacing w:after="0" w:line="294" w:lineRule="auto"/>
        <w:tabs>
          <w:tab w:leader="none" w:pos="9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expenses related to the maintenance and expansion of our business, operations and infrastructure, as well as international expansion and entry into operating leases;</w:t>
      </w:r>
    </w:p>
    <w:p>
      <w:pPr>
        <w:spacing w:after="0" w:line="36"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effectiveness of new sales and marketing initiatives;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products, features and functionality by us or our competitors;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delays in our service, network outages, or actual or perceived privacy or security breaches;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dynamics of our industry, including consolidation among competitors;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that impact our business;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large indemnification payments to our users or other third parties;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any future acquisitions; and</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w:t>
      </w:r>
    </w:p>
    <w:p>
      <w:pPr>
        <w:spacing w:after="0" w:line="266"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33"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4"/>
          <w:szCs w:val="14"/>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440"/>
          </w:cols>
          <w:pgMar w:left="220" w:top="125"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customers that increase their use of our platform or upgrade to a higher-priced tier of Zoom Meeting plan must be recognized over the applicable subscription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support for our customers and hosts may harm our relationships with our customers and hosts and, consequently, our business.</w:t>
      </w:r>
    </w:p>
    <w:p>
      <w:pPr>
        <w:spacing w:after="0" w:line="102"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actual or perceived failure to comply with privacy, data protection and information security laws, regulations, and obligations could harm our business.</w:t>
      </w:r>
    </w:p>
    <w:p>
      <w:pPr>
        <w:spacing w:after="0" w:line="102" w:lineRule="exact"/>
        <w:rPr>
          <w:sz w:val="20"/>
          <w:szCs w:val="20"/>
          <w:color w:val="auto"/>
        </w:rPr>
      </w:pPr>
    </w:p>
    <w:p>
      <w:pPr>
        <w:ind w:right="260" w:firstLine="388"/>
        <w:spacing w:after="0" w:line="264" w:lineRule="auto"/>
        <w:rPr>
          <w:sz w:val="20"/>
          <w:szCs w:val="20"/>
          <w:color w:val="auto"/>
        </w:rPr>
      </w:pPr>
      <w:r>
        <w:rPr>
          <w:rFonts w:ascii="Times New Roman" w:cs="Times New Roman" w:eastAsia="Times New Roman" w:hAnsi="Times New Roman"/>
          <w:sz w:val="14"/>
          <w:szCs w:val="14"/>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44" w:lineRule="exact"/>
        <w:rPr>
          <w:sz w:val="20"/>
          <w:szCs w:val="20"/>
          <w:color w:val="auto"/>
        </w:rPr>
      </w:pPr>
    </w:p>
    <w:p>
      <w:pPr>
        <w:ind w:firstLine="388"/>
        <w:spacing w:after="0" w:line="260" w:lineRule="auto"/>
        <w:rPr>
          <w:sz w:val="20"/>
          <w:szCs w:val="20"/>
          <w:color w:val="auto"/>
        </w:rPr>
      </w:pPr>
      <w:r>
        <w:rPr>
          <w:rFonts w:ascii="Times New Roman" w:cs="Times New Roman" w:eastAsia="Times New Roman" w:hAnsi="Times New Roman"/>
          <w:sz w:val="14"/>
          <w:szCs w:val="14"/>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47" w:lineRule="exact"/>
        <w:rPr>
          <w:sz w:val="20"/>
          <w:szCs w:val="20"/>
          <w:color w:val="auto"/>
        </w:rPr>
      </w:pPr>
    </w:p>
    <w:p>
      <w:pPr>
        <w:ind w:right="120" w:firstLine="388"/>
        <w:spacing w:after="0" w:line="264" w:lineRule="auto"/>
        <w:rPr>
          <w:sz w:val="20"/>
          <w:szCs w:val="20"/>
          <w:color w:val="auto"/>
        </w:rPr>
      </w:pPr>
      <w:r>
        <w:rPr>
          <w:rFonts w:ascii="Times New Roman" w:cs="Times New Roman" w:eastAsia="Times New Roman" w:hAnsi="Times New Roman"/>
          <w:sz w:val="14"/>
          <w:szCs w:val="14"/>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420"/>
          </w:cols>
          <w:pgMar w:left="220" w:top="125" w:right="25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4"/>
          <w:szCs w:val="14"/>
          <w:color w:val="auto"/>
        </w:rPr>
        <w:t>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23" w:lineRule="exact"/>
        <w:rPr>
          <w:sz w:val="20"/>
          <w:szCs w:val="20"/>
          <w:color w:val="auto"/>
        </w:rPr>
      </w:pPr>
    </w:p>
    <w:p>
      <w:pPr>
        <w:ind w:firstLine="388"/>
        <w:spacing w:after="0" w:line="269" w:lineRule="auto"/>
        <w:rPr>
          <w:sz w:val="20"/>
          <w:szCs w:val="20"/>
          <w:color w:val="auto"/>
        </w:rPr>
      </w:pPr>
      <w:r>
        <w:rPr>
          <w:rFonts w:ascii="Times New Roman" w:cs="Times New Roman" w:eastAsia="Times New Roman" w:hAnsi="Times New Roman"/>
          <w:sz w:val="14"/>
          <w:szCs w:val="14"/>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102" w:lineRule="exact"/>
        <w:rPr>
          <w:sz w:val="20"/>
          <w:szCs w:val="20"/>
          <w:color w:val="auto"/>
        </w:rPr>
      </w:pPr>
    </w:p>
    <w:p>
      <w:pPr>
        <w:ind w:right="20" w:firstLine="388"/>
        <w:spacing w:after="0" w:line="273" w:lineRule="auto"/>
        <w:rPr>
          <w:sz w:val="20"/>
          <w:szCs w:val="20"/>
          <w:color w:val="auto"/>
        </w:rPr>
      </w:pPr>
      <w:r>
        <w:rPr>
          <w:rFonts w:ascii="Times New Roman" w:cs="Times New Roman" w:eastAsia="Times New Roman" w:hAnsi="Times New Roman"/>
          <w:sz w:val="14"/>
          <w:szCs w:val="14"/>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liabilities on past sales for taxes, surcharges and fees.</w:t>
      </w:r>
    </w:p>
    <w:p>
      <w:pPr>
        <w:spacing w:after="0" w:line="102"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46" w:lineRule="exact"/>
        <w:rPr>
          <w:sz w:val="20"/>
          <w:szCs w:val="20"/>
          <w:color w:val="auto"/>
        </w:rPr>
      </w:pPr>
    </w:p>
    <w:p>
      <w:pPr>
        <w:ind w:right="140" w:firstLine="388"/>
        <w:spacing w:after="0" w:line="275" w:lineRule="auto"/>
        <w:rPr>
          <w:sz w:val="20"/>
          <w:szCs w:val="20"/>
          <w:color w:val="auto"/>
        </w:rPr>
      </w:pPr>
      <w:r>
        <w:rPr>
          <w:rFonts w:ascii="Times New Roman" w:cs="Times New Roman" w:eastAsia="Times New Roman" w:hAnsi="Times New Roman"/>
          <w:sz w:val="14"/>
          <w:szCs w:val="14"/>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36" w:lineRule="exact"/>
        <w:rPr>
          <w:sz w:val="20"/>
          <w:szCs w:val="20"/>
          <w:color w:val="auto"/>
        </w:rPr>
      </w:pPr>
    </w:p>
    <w:p>
      <w:pPr>
        <w:ind w:right="60" w:firstLine="388"/>
        <w:spacing w:after="0" w:line="262" w:lineRule="auto"/>
        <w:rPr>
          <w:sz w:val="20"/>
          <w:szCs w:val="20"/>
          <w:color w:val="auto"/>
        </w:rPr>
      </w:pPr>
      <w:r>
        <w:rPr>
          <w:rFonts w:ascii="Times New Roman" w:cs="Times New Roman" w:eastAsia="Times New Roman" w:hAnsi="Times New Roman"/>
          <w:sz w:val="14"/>
          <w:szCs w:val="14"/>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$29.2 million and $20.8 million as of July 31, 2019 and January 31, 2019,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200" w:lineRule="exact"/>
        <w:rPr>
          <w:sz w:val="20"/>
          <w:szCs w:val="20"/>
          <w:color w:val="auto"/>
        </w:rPr>
      </w:pPr>
    </w:p>
    <w:p>
      <w:pPr>
        <w:spacing w:after="0" w:line="204"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3" w:lineRule="exact"/>
        <w:rPr>
          <w:sz w:val="20"/>
          <w:szCs w:val="20"/>
          <w:color w:val="auto"/>
        </w:rPr>
      </w:pPr>
    </w:p>
    <w:p>
      <w:pPr>
        <w:ind w:right="280" w:firstLine="388"/>
        <w:spacing w:after="0" w:line="294" w:lineRule="auto"/>
        <w:rPr>
          <w:sz w:val="20"/>
          <w:szCs w:val="20"/>
          <w:color w:val="auto"/>
        </w:rPr>
      </w:pPr>
      <w:r>
        <w:rPr>
          <w:rFonts w:ascii="Times New Roman" w:cs="Times New Roman" w:eastAsia="Times New Roman" w:hAnsi="Times New Roman"/>
          <w:sz w:val="14"/>
          <w:szCs w:val="14"/>
          <w:color w:val="auto"/>
        </w:rPr>
        <w:t>Our platform and associated products are subject to various restrictions under U.S. export control and sanctions laws and regulations, including the U.S. Department of Commerce’s Export Administration Regulations (EAR) and various economic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460"/>
          </w:cols>
          <w:pgMar w:left="220" w:top="125" w:right="2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54"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4"/>
          <w:szCs w:val="14"/>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(BIS). As of July 31,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45" w:lineRule="exact"/>
        <w:rPr>
          <w:sz w:val="20"/>
          <w:szCs w:val="20"/>
          <w:color w:val="auto"/>
        </w:rPr>
      </w:pPr>
    </w:p>
    <w:p>
      <w:pPr>
        <w:ind w:right="140" w:firstLine="388"/>
        <w:spacing w:after="0" w:line="266" w:lineRule="auto"/>
        <w:rPr>
          <w:sz w:val="20"/>
          <w:szCs w:val="20"/>
          <w:color w:val="auto"/>
        </w:rPr>
      </w:pPr>
      <w:r>
        <w:rPr>
          <w:rFonts w:ascii="Times New Roman" w:cs="Times New Roman" w:eastAsia="Times New Roman" w:hAnsi="Times New Roman"/>
          <w:sz w:val="14"/>
          <w:szCs w:val="14"/>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102" w:lineRule="exact"/>
        <w:rPr>
          <w:sz w:val="20"/>
          <w:szCs w:val="20"/>
          <w:color w:val="auto"/>
        </w:rPr>
      </w:pPr>
    </w:p>
    <w:p>
      <w:pPr>
        <w:ind w:right="60" w:firstLine="388"/>
        <w:spacing w:after="0" w:line="261" w:lineRule="auto"/>
        <w:rPr>
          <w:sz w:val="20"/>
          <w:szCs w:val="20"/>
          <w:color w:val="auto"/>
        </w:rPr>
      </w:pPr>
      <w:r>
        <w:rPr>
          <w:rFonts w:ascii="Times New Roman" w:cs="Times New Roman" w:eastAsia="Times New Roman" w:hAnsi="Times New Roman"/>
          <w:sz w:val="14"/>
          <w:szCs w:val="14"/>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which are reported in U.S. dollars, could be adversely affected if currency exchange rates fluctuate substantially in the future.</w:t>
      </w:r>
    </w:p>
    <w:p>
      <w:pPr>
        <w:spacing w:after="0" w:line="102" w:lineRule="exact"/>
        <w:rPr>
          <w:sz w:val="20"/>
          <w:szCs w:val="20"/>
          <w:color w:val="auto"/>
        </w:rPr>
      </w:pPr>
    </w:p>
    <w:p>
      <w:pPr>
        <w:ind w:right="80" w:firstLine="388"/>
        <w:spacing w:after="0" w:line="264" w:lineRule="auto"/>
        <w:rPr>
          <w:sz w:val="20"/>
          <w:szCs w:val="20"/>
          <w:color w:val="auto"/>
        </w:rPr>
      </w:pPr>
      <w:r>
        <w:rPr>
          <w:rFonts w:ascii="Times New Roman" w:cs="Times New Roman" w:eastAsia="Times New Roman" w:hAnsi="Times New Roman"/>
          <w:sz w:val="14"/>
          <w:szCs w:val="14"/>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six months ended July 31, 2019 and 2018, 8.7% and 5.5% of our revenue, respectively, and 15.7% and 12.5%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460"/>
          </w:cols>
          <w:pgMar w:left="220" w:top="125" w:right="21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could materially impact our results of operations. We do not currently maintain a program to hedge exposures to non-U.S. dollar currencies.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to government entities are subject to a number of additional challenges and risks.</w:t>
      </w:r>
    </w:p>
    <w:p>
      <w:pPr>
        <w:spacing w:after="0" w:line="102" w:lineRule="exact"/>
        <w:rPr>
          <w:sz w:val="20"/>
          <w:szCs w:val="20"/>
          <w:color w:val="auto"/>
        </w:rPr>
      </w:pPr>
    </w:p>
    <w:p>
      <w:pPr>
        <w:ind w:firstLine="388"/>
        <w:spacing w:after="0" w:line="275" w:lineRule="auto"/>
        <w:rPr>
          <w:sz w:val="20"/>
          <w:szCs w:val="20"/>
          <w:color w:val="auto"/>
        </w:rPr>
      </w:pPr>
      <w:r>
        <w:rPr>
          <w:rFonts w:ascii="Times New Roman" w:cs="Times New Roman" w:eastAsia="Times New Roman" w:hAnsi="Times New Roman"/>
          <w:sz w:val="14"/>
          <w:szCs w:val="14"/>
          <w:color w:val="auto"/>
        </w:rPr>
        <w:t>We expect to increase our sales to U.S. federal and state and foreign governmental agency customers. For example, we announced in May 2019 that we received authorization under the U.S. Federal Risk and Authorization Management Program (FedRAMP) which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50" w:lineRule="exact"/>
        <w:rPr>
          <w:sz w:val="20"/>
          <w:szCs w:val="20"/>
          <w:color w:val="auto"/>
        </w:rPr>
      </w:pPr>
    </w:p>
    <w:p>
      <w:pPr>
        <w:ind w:left="920" w:right="140" w:hanging="526"/>
        <w:spacing w:after="0" w:line="294" w:lineRule="auto"/>
        <w:tabs>
          <w:tab w:leader="none" w:pos="9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36" w:lineRule="exact"/>
        <w:rPr>
          <w:rFonts w:ascii="Times New Roman" w:cs="Times New Roman" w:eastAsia="Times New Roman" w:hAnsi="Times New Roman"/>
          <w:sz w:val="14"/>
          <w:szCs w:val="14"/>
          <w:color w:val="auto"/>
        </w:rPr>
      </w:pPr>
    </w:p>
    <w:p>
      <w:pPr>
        <w:ind w:left="920" w:right="20" w:hanging="526"/>
        <w:spacing w:after="0" w:line="294" w:lineRule="auto"/>
        <w:tabs>
          <w:tab w:leader="none" w:pos="9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36" w:lineRule="exact"/>
        <w:rPr>
          <w:rFonts w:ascii="Times New Roman" w:cs="Times New Roman" w:eastAsia="Times New Roman" w:hAnsi="Times New Roman"/>
          <w:sz w:val="14"/>
          <w:szCs w:val="14"/>
          <w:color w:val="auto"/>
        </w:rPr>
      </w:pPr>
    </w:p>
    <w:p>
      <w:pPr>
        <w:ind w:left="920" w:right="500" w:hanging="526"/>
        <w:spacing w:after="0" w:line="294" w:lineRule="auto"/>
        <w:tabs>
          <w:tab w:leader="none" w:pos="9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entities may have significant leverage in negotiations, thereby enabling such entities to demand contract terms that differ from what we generally agree to in our standard agreements, including, for example, most favored nation clauses; and</w:t>
      </w:r>
    </w:p>
    <w:p>
      <w:pPr>
        <w:spacing w:after="0" w:line="36" w:lineRule="exact"/>
        <w:rPr>
          <w:rFonts w:ascii="Times New Roman" w:cs="Times New Roman" w:eastAsia="Times New Roman" w:hAnsi="Times New Roman"/>
          <w:sz w:val="14"/>
          <w:szCs w:val="14"/>
          <w:color w:val="auto"/>
        </w:rPr>
      </w:pPr>
    </w:p>
    <w:p>
      <w:pPr>
        <w:ind w:left="920" w:right="380" w:hanging="526"/>
        <w:spacing w:after="0" w:line="294" w:lineRule="auto"/>
        <w:tabs>
          <w:tab w:leader="none" w:pos="9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123" w:lineRule="exact"/>
        <w:rPr>
          <w:sz w:val="20"/>
          <w:szCs w:val="20"/>
          <w:color w:val="auto"/>
        </w:rPr>
      </w:pPr>
    </w:p>
    <w:p>
      <w:pPr>
        <w:ind w:right="160" w:firstLine="388"/>
        <w:spacing w:after="0" w:line="294" w:lineRule="auto"/>
        <w:rPr>
          <w:sz w:val="20"/>
          <w:szCs w:val="20"/>
          <w:color w:val="auto"/>
        </w:rPr>
      </w:pPr>
      <w:r>
        <w:rPr>
          <w:rFonts w:ascii="Times New Roman" w:cs="Times New Roman" w:eastAsia="Times New Roman" w:hAnsi="Times New Roman"/>
          <w:sz w:val="14"/>
          <w:szCs w:val="14"/>
          <w:color w:val="auto"/>
        </w:rPr>
        <w:t>To the extent that we become more reliant on contracts with government entities in the future, our exposure to such risks and challenges could increase, which in turn could adversely impact our business.</w:t>
      </w:r>
    </w:p>
    <w:p>
      <w:pPr>
        <w:spacing w:after="0" w:line="205" w:lineRule="exact"/>
        <w:rPr>
          <w:sz w:val="20"/>
          <w:szCs w:val="20"/>
          <w:color w:val="auto"/>
        </w:rPr>
      </w:pPr>
    </w:p>
    <w:p>
      <w:pPr>
        <w:ind w:right="5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33" w:lineRule="exact"/>
        <w:rPr>
          <w:sz w:val="20"/>
          <w:szCs w:val="20"/>
          <w:color w:val="auto"/>
        </w:rPr>
      </w:pPr>
    </w:p>
    <w:p>
      <w:pPr>
        <w:ind w:right="40" w:firstLine="388"/>
        <w:spacing w:after="0" w:line="260" w:lineRule="auto"/>
        <w:rPr>
          <w:sz w:val="20"/>
          <w:szCs w:val="20"/>
          <w:color w:val="auto"/>
        </w:rPr>
      </w:pPr>
      <w:r>
        <w:rPr>
          <w:rFonts w:ascii="Times New Roman" w:cs="Times New Roman" w:eastAsia="Times New Roman" w:hAnsi="Times New Roman"/>
          <w:sz w:val="14"/>
          <w:szCs w:val="14"/>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00" w:lineRule="exact"/>
        <w:rPr>
          <w:sz w:val="20"/>
          <w:szCs w:val="20"/>
          <w:color w:val="auto"/>
        </w:rPr>
      </w:pPr>
    </w:p>
    <w:p>
      <w:pPr>
        <w:spacing w:after="0" w:line="205"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33" w:lineRule="exact"/>
        <w:rPr>
          <w:sz w:val="20"/>
          <w:szCs w:val="20"/>
          <w:color w:val="auto"/>
        </w:rPr>
      </w:pPr>
    </w:p>
    <w:p>
      <w:pPr>
        <w:ind w:right="160" w:firstLine="388"/>
        <w:spacing w:after="0" w:line="269" w:lineRule="auto"/>
        <w:rPr>
          <w:sz w:val="20"/>
          <w:szCs w:val="20"/>
          <w:color w:val="auto"/>
        </w:rPr>
      </w:pPr>
      <w:r>
        <w:rPr>
          <w:rFonts w:ascii="Times New Roman" w:cs="Times New Roman" w:eastAsia="Times New Roman" w:hAnsi="Times New Roman"/>
          <w:sz w:val="14"/>
          <w:szCs w:val="14"/>
          <w:color w:val="auto"/>
        </w:rPr>
        <w:t>Market opportunity estimates and growth forecasts for the market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440"/>
          </w:cols>
          <w:pgMar w:left="220" w:top="125"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our business could fail to grow for a variety of reasons outside of our control, including competition in our industry. If any of these risks materialize, it could harm our business and prospects.</w:t>
      </w:r>
    </w:p>
    <w:p>
      <w:pPr>
        <w:spacing w:after="0" w:line="223"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33"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44" w:lineRule="exact"/>
        <w:rPr>
          <w:sz w:val="20"/>
          <w:szCs w:val="20"/>
          <w:color w:val="auto"/>
        </w:rPr>
      </w:pPr>
    </w:p>
    <w:p>
      <w:pPr>
        <w:ind w:right="40" w:firstLine="388"/>
        <w:spacing w:after="0" w:line="266" w:lineRule="auto"/>
        <w:rPr>
          <w:sz w:val="20"/>
          <w:szCs w:val="20"/>
          <w:color w:val="auto"/>
        </w:rPr>
      </w:pPr>
      <w:r>
        <w:rPr>
          <w:rFonts w:ascii="Times New Roman" w:cs="Times New Roman" w:eastAsia="Times New Roman" w:hAnsi="Times New Roman"/>
          <w:sz w:val="14"/>
          <w:szCs w:val="14"/>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42" w:lineRule="exact"/>
        <w:rPr>
          <w:sz w:val="20"/>
          <w:szCs w:val="20"/>
          <w:color w:val="auto"/>
        </w:rPr>
      </w:pPr>
    </w:p>
    <w:p>
      <w:pPr>
        <w:ind w:right="120" w:firstLine="388"/>
        <w:spacing w:after="0" w:line="275" w:lineRule="auto"/>
        <w:rPr>
          <w:sz w:val="20"/>
          <w:szCs w:val="20"/>
          <w:color w:val="auto"/>
        </w:rPr>
      </w:pPr>
      <w:r>
        <w:rPr>
          <w:rFonts w:ascii="Times New Roman" w:cs="Times New Roman" w:eastAsia="Times New Roman" w:hAnsi="Times New Roman"/>
          <w:sz w:val="14"/>
          <w:szCs w:val="14"/>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36" w:lineRule="exact"/>
        <w:rPr>
          <w:sz w:val="20"/>
          <w:szCs w:val="20"/>
          <w:color w:val="auto"/>
        </w:rPr>
      </w:pPr>
    </w:p>
    <w:p>
      <w:pPr>
        <w:jc w:val="both"/>
        <w:ind w:right="220" w:firstLine="388"/>
        <w:spacing w:after="0" w:line="269" w:lineRule="auto"/>
        <w:rPr>
          <w:sz w:val="20"/>
          <w:szCs w:val="20"/>
          <w:color w:val="auto"/>
        </w:rPr>
      </w:pPr>
      <w:r>
        <w:rPr>
          <w:rFonts w:ascii="Times New Roman" w:cs="Times New Roman" w:eastAsia="Times New Roman" w:hAnsi="Times New Roman"/>
          <w:sz w:val="14"/>
          <w:szCs w:val="14"/>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23"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Federal Regulation</w:t>
      </w:r>
    </w:p>
    <w:p>
      <w:pPr>
        <w:spacing w:after="0" w:line="100"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4"/>
          <w:szCs w:val="14"/>
          <w:color w:val="auto"/>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460"/>
          </w:cols>
          <w:pgMar w:left="220" w:top="125" w:right="21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State Regulation</w:t>
      </w:r>
    </w:p>
    <w:p>
      <w:pPr>
        <w:spacing w:after="0" w:line="100" w:lineRule="exact"/>
        <w:rPr>
          <w:sz w:val="20"/>
          <w:szCs w:val="20"/>
          <w:color w:val="auto"/>
        </w:rPr>
      </w:pPr>
    </w:p>
    <w:p>
      <w:pPr>
        <w:ind w:right="100" w:firstLine="388"/>
        <w:spacing w:after="0" w:line="264" w:lineRule="auto"/>
        <w:rPr>
          <w:sz w:val="20"/>
          <w:szCs w:val="20"/>
          <w:color w:val="auto"/>
        </w:rPr>
      </w:pPr>
      <w:r>
        <w:rPr>
          <w:rFonts w:ascii="Times New Roman" w:cs="Times New Roman" w:eastAsia="Times New Roman" w:hAnsi="Times New Roman"/>
          <w:sz w:val="14"/>
          <w:szCs w:val="14"/>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International Regulation</w:t>
      </w:r>
    </w:p>
    <w:p>
      <w:pPr>
        <w:spacing w:after="0" w:line="100" w:lineRule="exact"/>
        <w:rPr>
          <w:sz w:val="20"/>
          <w:szCs w:val="20"/>
          <w:color w:val="auto"/>
        </w:rPr>
      </w:pPr>
    </w:p>
    <w:p>
      <w:pPr>
        <w:jc w:val="both"/>
        <w:ind w:right="180" w:firstLine="388"/>
        <w:spacing w:after="0" w:line="275" w:lineRule="auto"/>
        <w:rPr>
          <w:sz w:val="20"/>
          <w:szCs w:val="20"/>
          <w:color w:val="auto"/>
        </w:rPr>
      </w:pPr>
      <w:r>
        <w:rPr>
          <w:rFonts w:ascii="Times New Roman" w:cs="Times New Roman" w:eastAsia="Times New Roman" w:hAnsi="Times New Roman"/>
          <w:sz w:val="14"/>
          <w:szCs w:val="14"/>
          <w:color w:val="auto"/>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be in the future, party to intellectual property rights claims and other litigation matters, which, if resolved adversely, could harm our business.</w:t>
      </w:r>
    </w:p>
    <w:p>
      <w:pPr>
        <w:spacing w:after="0" w:line="102" w:lineRule="exact"/>
        <w:rPr>
          <w:sz w:val="20"/>
          <w:szCs w:val="20"/>
          <w:color w:val="auto"/>
        </w:rPr>
      </w:pPr>
    </w:p>
    <w:p>
      <w:pPr>
        <w:ind w:firstLine="388"/>
        <w:spacing w:after="0" w:line="260" w:lineRule="auto"/>
        <w:rPr>
          <w:sz w:val="20"/>
          <w:szCs w:val="20"/>
          <w:color w:val="auto"/>
        </w:rPr>
      </w:pPr>
      <w:r>
        <w:rPr>
          <w:rFonts w:ascii="Times New Roman" w:cs="Times New Roman" w:eastAsia="Times New Roman" w:hAnsi="Times New Roman"/>
          <w:sz w:val="14"/>
          <w:szCs w:val="14"/>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protect our intellectual property rights and proprietary information could diminish our brand and other intangible assets.</w:t>
      </w:r>
    </w:p>
    <w:p>
      <w:pPr>
        <w:spacing w:after="0" w:line="102" w:lineRule="exact"/>
        <w:rPr>
          <w:sz w:val="20"/>
          <w:szCs w:val="20"/>
          <w:color w:val="auto"/>
        </w:rPr>
      </w:pPr>
    </w:p>
    <w:p>
      <w:pPr>
        <w:ind w:right="100" w:firstLine="388"/>
        <w:spacing w:after="0" w:line="262" w:lineRule="auto"/>
        <w:rPr>
          <w:sz w:val="20"/>
          <w:szCs w:val="20"/>
          <w:color w:val="auto"/>
        </w:rPr>
      </w:pPr>
      <w:r>
        <w:rPr>
          <w:rFonts w:ascii="Times New Roman" w:cs="Times New Roman" w:eastAsia="Times New Roman" w:hAnsi="Times New Roman"/>
          <w:sz w:val="14"/>
          <w:szCs w:val="14"/>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460"/>
          </w:cols>
          <w:pgMar w:left="220" w:top="125" w:right="21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00" w:lineRule="exact"/>
        <w:rPr>
          <w:sz w:val="20"/>
          <w:szCs w:val="20"/>
          <w:color w:val="auto"/>
        </w:rPr>
      </w:pPr>
    </w:p>
    <w:p>
      <w:pPr>
        <w:spacing w:after="0" w:line="204"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33" w:lineRule="exact"/>
        <w:rPr>
          <w:sz w:val="20"/>
          <w:szCs w:val="20"/>
          <w:color w:val="auto"/>
        </w:rPr>
      </w:pPr>
    </w:p>
    <w:p>
      <w:pPr>
        <w:ind w:right="40" w:firstLine="388"/>
        <w:spacing w:after="0" w:line="260" w:lineRule="auto"/>
        <w:rPr>
          <w:sz w:val="20"/>
          <w:szCs w:val="20"/>
          <w:color w:val="auto"/>
        </w:rPr>
      </w:pPr>
      <w:r>
        <w:rPr>
          <w:rFonts w:ascii="Times New Roman" w:cs="Times New Roman" w:eastAsia="Times New Roman" w:hAnsi="Times New Roman"/>
          <w:sz w:val="14"/>
          <w:szCs w:val="14"/>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significantly impacted by a change in the economy, including any resulting effect on consumer or business spending.</w:t>
      </w:r>
    </w:p>
    <w:p>
      <w:pPr>
        <w:spacing w:after="0" w:line="102" w:lineRule="exact"/>
        <w:rPr>
          <w:sz w:val="20"/>
          <w:szCs w:val="20"/>
          <w:color w:val="auto"/>
        </w:rPr>
      </w:pPr>
    </w:p>
    <w:p>
      <w:pPr>
        <w:ind w:right="40" w:firstLine="388"/>
        <w:spacing w:after="0" w:line="269" w:lineRule="auto"/>
        <w:rPr>
          <w:sz w:val="20"/>
          <w:szCs w:val="20"/>
          <w:color w:val="auto"/>
        </w:rPr>
      </w:pPr>
      <w:r>
        <w:rPr>
          <w:rFonts w:ascii="Times New Roman" w:cs="Times New Roman" w:eastAsia="Times New Roman" w:hAnsi="Times New Roman"/>
          <w:sz w:val="14"/>
          <w:szCs w:val="14"/>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disrupted by catastrophic events.</w:t>
      </w:r>
    </w:p>
    <w:p>
      <w:pPr>
        <w:spacing w:after="0" w:line="102"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4"/>
          <w:szCs w:val="14"/>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460"/>
          </w:cols>
          <w:pgMar w:left="220" w:top="125" w:right="21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exposure to greater than anticipated tax liabilities, which could harm our business.</w:t>
      </w:r>
    </w:p>
    <w:p>
      <w:pPr>
        <w:spacing w:after="0" w:line="102" w:lineRule="exact"/>
        <w:rPr>
          <w:sz w:val="20"/>
          <w:szCs w:val="20"/>
          <w:color w:val="auto"/>
        </w:rPr>
      </w:pPr>
    </w:p>
    <w:p>
      <w:pPr>
        <w:ind w:right="20" w:firstLine="388"/>
        <w:spacing w:after="0" w:line="267" w:lineRule="auto"/>
        <w:rPr>
          <w:sz w:val="20"/>
          <w:szCs w:val="20"/>
          <w:color w:val="auto"/>
        </w:rPr>
      </w:pPr>
      <w:r>
        <w:rPr>
          <w:rFonts w:ascii="Times New Roman" w:cs="Times New Roman" w:eastAsia="Times New Roman" w:hAnsi="Times New Roman"/>
          <w:sz w:val="14"/>
          <w:szCs w:val="14"/>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w:t>
      </w:r>
    </w:p>
    <w:p>
      <w:pPr>
        <w:ind w:right="120"/>
        <w:spacing w:after="0" w:line="274" w:lineRule="auto"/>
        <w:rPr>
          <w:sz w:val="20"/>
          <w:szCs w:val="20"/>
          <w:color w:val="auto"/>
        </w:rPr>
      </w:pPr>
      <w:r>
        <w:rPr>
          <w:rFonts w:ascii="Times New Roman" w:cs="Times New Roman" w:eastAsia="Times New Roman" w:hAnsi="Times New Roman"/>
          <w:sz w:val="14"/>
          <w:szCs w:val="14"/>
          <w:color w:val="auto"/>
        </w:rPr>
        <w:t>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136" w:lineRule="exact"/>
        <w:rPr>
          <w:sz w:val="20"/>
          <w:szCs w:val="20"/>
          <w:color w:val="auto"/>
        </w:rPr>
      </w:pPr>
    </w:p>
    <w:p>
      <w:pPr>
        <w:ind w:right="140" w:firstLine="388"/>
        <w:spacing w:after="0" w:line="275" w:lineRule="auto"/>
        <w:rPr>
          <w:sz w:val="20"/>
          <w:szCs w:val="20"/>
          <w:color w:val="auto"/>
        </w:rPr>
      </w:pPr>
      <w:r>
        <w:rPr>
          <w:rFonts w:ascii="Times New Roman" w:cs="Times New Roman" w:eastAsia="Times New Roman" w:hAnsi="Times New Roman"/>
          <w:sz w:val="14"/>
          <w:szCs w:val="14"/>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36" w:lineRule="exact"/>
        <w:rPr>
          <w:sz w:val="20"/>
          <w:szCs w:val="20"/>
          <w:color w:val="auto"/>
        </w:rPr>
      </w:pPr>
    </w:p>
    <w:p>
      <w:pPr>
        <w:ind w:right="200" w:firstLine="388"/>
        <w:spacing w:after="0" w:line="268" w:lineRule="auto"/>
        <w:rPr>
          <w:sz w:val="20"/>
          <w:szCs w:val="20"/>
          <w:color w:val="auto"/>
        </w:rPr>
      </w:pPr>
      <w:r>
        <w:rPr>
          <w:rFonts w:ascii="Times New Roman" w:cs="Times New Roman" w:eastAsia="Times New Roman" w:hAnsi="Times New Roman"/>
          <w:sz w:val="14"/>
          <w:szCs w:val="14"/>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may be limited.</w:t>
      </w:r>
    </w:p>
    <w:p>
      <w:pPr>
        <w:spacing w:after="0" w:line="102" w:lineRule="exact"/>
        <w:rPr>
          <w:sz w:val="20"/>
          <w:szCs w:val="20"/>
          <w:color w:val="auto"/>
        </w:rPr>
      </w:pPr>
    </w:p>
    <w:p>
      <w:pPr>
        <w:ind w:firstLine="388"/>
        <w:spacing w:after="0" w:line="260" w:lineRule="auto"/>
        <w:rPr>
          <w:sz w:val="20"/>
          <w:szCs w:val="20"/>
          <w:color w:val="auto"/>
        </w:rPr>
      </w:pPr>
      <w:r>
        <w:rPr>
          <w:rFonts w:ascii="Times New Roman" w:cs="Times New Roman" w:eastAsia="Times New Roman" w:hAnsi="Times New Roman"/>
          <w:sz w:val="14"/>
          <w:szCs w:val="14"/>
          <w:color w:val="auto"/>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our initial public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reported results of operations may be adversely affected by changes in accounting principles generally accepted in the United States.</w:t>
      </w:r>
    </w:p>
    <w:p>
      <w:pPr>
        <w:spacing w:after="0" w:line="102" w:lineRule="exact"/>
        <w:rPr>
          <w:sz w:val="20"/>
          <w:szCs w:val="20"/>
          <w:color w:val="auto"/>
        </w:rPr>
      </w:pPr>
    </w:p>
    <w:p>
      <w:pPr>
        <w:ind w:right="140" w:firstLine="388"/>
        <w:spacing w:after="0" w:line="266" w:lineRule="auto"/>
        <w:rPr>
          <w:sz w:val="20"/>
          <w:szCs w:val="20"/>
          <w:color w:val="auto"/>
        </w:rPr>
      </w:pPr>
      <w:r>
        <w:rPr>
          <w:rFonts w:ascii="Times New Roman" w:cs="Times New Roman" w:eastAsia="Times New Roman" w:hAnsi="Times New Roman"/>
          <w:sz w:val="14"/>
          <w:szCs w:val="14"/>
          <w:color w:val="auto"/>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adopted </w:t>
      </w:r>
      <w:r>
        <w:rPr>
          <w:rFonts w:ascii="Times New Roman" w:cs="Times New Roman" w:eastAsia="Times New Roman" w:hAnsi="Times New Roman"/>
          <w:sz w:val="14"/>
          <w:szCs w:val="14"/>
          <w:i w:val="1"/>
          <w:iCs w:val="1"/>
          <w:color w:val="auto"/>
        </w:rPr>
        <w:t>Accounting Standards Update (ASU) 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2016-02 (Topic 842), Leases </w:t>
      </w:r>
      <w:r>
        <w:rPr>
          <w:rFonts w:ascii="Times New Roman" w:cs="Times New Roman" w:eastAsia="Times New Roman" w:hAnsi="Times New Roman"/>
          <w:sz w:val="14"/>
          <w:szCs w:val="14"/>
          <w:color w:val="auto"/>
        </w:rPr>
        <w:t>(ASU 2016-02), effective as of February 1, 2019. See Note 1 to our condensed consolidated financial statements for more information. It is also difficult to predict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impact of future changes to accounting principles or our accounting policies, any of which could harm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additional capital, and we cannot be certain that additional financing will be available on favorable terms, or at all.</w:t>
      </w:r>
    </w:p>
    <w:p>
      <w:pPr>
        <w:spacing w:after="0" w:line="102" w:lineRule="exact"/>
        <w:rPr>
          <w:sz w:val="20"/>
          <w:szCs w:val="20"/>
          <w:color w:val="auto"/>
        </w:rPr>
      </w:pPr>
    </w:p>
    <w:p>
      <w:pPr>
        <w:ind w:right="320" w:firstLine="388"/>
        <w:spacing w:after="0" w:line="294" w:lineRule="auto"/>
        <w:rPr>
          <w:sz w:val="20"/>
          <w:szCs w:val="20"/>
          <w:color w:val="auto"/>
        </w:rPr>
      </w:pPr>
      <w:r>
        <w:rPr>
          <w:rFonts w:ascii="Times New Roman" w:cs="Times New Roman" w:eastAsia="Times New Roman" w:hAnsi="Times New Roman"/>
          <w:sz w:val="14"/>
          <w:szCs w:val="14"/>
          <w:color w:val="auto"/>
        </w:rPr>
        <w:t>Historically, we have funded our operations and capital expenditures primarily through equity issuances and cash generated from our operations. Although we currently anticipate that our existing cash and cash equivalents and cash flow from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440"/>
          </w:cols>
          <w:pgMar w:left="220" w:top="125"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both"/>
        <w:ind w:right="200"/>
        <w:spacing w:after="0" w:line="269" w:lineRule="auto"/>
        <w:rPr>
          <w:sz w:val="20"/>
          <w:szCs w:val="20"/>
          <w:color w:val="auto"/>
        </w:rPr>
      </w:pPr>
      <w:r>
        <w:rPr>
          <w:rFonts w:ascii="Times New Roman" w:cs="Times New Roman" w:eastAsia="Times New Roman" w:hAnsi="Times New Roman"/>
          <w:sz w:val="14"/>
          <w:szCs w:val="14"/>
          <w:color w:val="auto"/>
        </w:rPr>
        <w:t>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third-party open source software could negatively affect our ability to offer and sell subscriptions to our platform and subject us to possible litigation.</w:t>
      </w:r>
    </w:p>
    <w:p>
      <w:pPr>
        <w:spacing w:after="0" w:line="102" w:lineRule="exact"/>
        <w:rPr>
          <w:sz w:val="20"/>
          <w:szCs w:val="20"/>
          <w:color w:val="auto"/>
        </w:rPr>
      </w:pPr>
    </w:p>
    <w:p>
      <w:pPr>
        <w:ind w:right="40" w:firstLine="388"/>
        <w:spacing w:after="0" w:line="260" w:lineRule="auto"/>
        <w:rPr>
          <w:sz w:val="20"/>
          <w:szCs w:val="20"/>
          <w:color w:val="auto"/>
        </w:rPr>
      </w:pPr>
      <w:r>
        <w:rPr>
          <w:rFonts w:ascii="Times New Roman" w:cs="Times New Roman" w:eastAsia="Times New Roman" w:hAnsi="Times New Roman"/>
          <w:sz w:val="14"/>
          <w:szCs w:val="14"/>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47" w:lineRule="exact"/>
        <w:rPr>
          <w:sz w:val="20"/>
          <w:szCs w:val="20"/>
          <w:color w:val="auto"/>
        </w:rPr>
      </w:pPr>
    </w:p>
    <w:p>
      <w:pPr>
        <w:ind w:right="120" w:firstLine="388"/>
        <w:spacing w:after="0" w:line="269" w:lineRule="auto"/>
        <w:rPr>
          <w:sz w:val="20"/>
          <w:szCs w:val="20"/>
          <w:color w:val="auto"/>
        </w:rPr>
      </w:pPr>
      <w:r>
        <w:rPr>
          <w:rFonts w:ascii="Times New Roman" w:cs="Times New Roman" w:eastAsia="Times New Roman" w:hAnsi="Times New Roman"/>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23"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33" w:lineRule="exact"/>
        <w:rPr>
          <w:sz w:val="20"/>
          <w:szCs w:val="20"/>
          <w:color w:val="auto"/>
        </w:rPr>
      </w:pPr>
    </w:p>
    <w:p>
      <w:pPr>
        <w:ind w:firstLine="388"/>
        <w:spacing w:after="0" w:line="275" w:lineRule="auto"/>
        <w:rPr>
          <w:sz w:val="20"/>
          <w:szCs w:val="20"/>
          <w:color w:val="auto"/>
        </w:rPr>
      </w:pPr>
      <w:r>
        <w:rPr>
          <w:rFonts w:ascii="Times New Roman" w:cs="Times New Roman" w:eastAsia="Times New Roman" w:hAnsi="Times New Roman"/>
          <w:sz w:val="14"/>
          <w:szCs w:val="14"/>
          <w:color w:val="auto"/>
        </w:rPr>
        <w:t>We are subject to the reporting requirements of the Securities Exchange Act of 1934, as amended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6" w:lineRule="exact"/>
        <w:rPr>
          <w:sz w:val="20"/>
          <w:szCs w:val="20"/>
          <w:color w:val="auto"/>
        </w:rPr>
      </w:pPr>
    </w:p>
    <w:p>
      <w:pPr>
        <w:ind w:right="40" w:firstLine="388"/>
        <w:spacing w:after="0" w:line="264"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44" w:lineRule="exact"/>
        <w:rPr>
          <w:sz w:val="20"/>
          <w:szCs w:val="20"/>
          <w:color w:val="auto"/>
        </w:rPr>
      </w:pPr>
    </w:p>
    <w:p>
      <w:pPr>
        <w:ind w:right="620" w:firstLine="388"/>
        <w:spacing w:after="0" w:line="294"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In addition, changes in accounting principles or interpretations could also challenge our internal controls 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440"/>
          </w:cols>
          <w:pgMar w:left="220" w:top="125"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42"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second annual report on Form 10-K.</w:t>
      </w:r>
    </w:p>
    <w:p>
      <w:pPr>
        <w:spacing w:after="0" w:line="146" w:lineRule="exact"/>
        <w:rPr>
          <w:sz w:val="20"/>
          <w:szCs w:val="20"/>
          <w:color w:val="auto"/>
        </w:rPr>
      </w:pPr>
    </w:p>
    <w:p>
      <w:pPr>
        <w:jc w:val="both"/>
        <w:ind w:firstLine="388"/>
        <w:spacing w:after="0" w:line="269" w:lineRule="auto"/>
        <w:rPr>
          <w:sz w:val="20"/>
          <w:szCs w:val="20"/>
          <w:color w:val="auto"/>
        </w:rPr>
      </w:pPr>
      <w:r>
        <w:rPr>
          <w:rFonts w:ascii="Times New Roman" w:cs="Times New Roman" w:eastAsia="Times New Roman" w:hAnsi="Times New Roman"/>
          <w:sz w:val="14"/>
          <w:szCs w:val="14"/>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acquire other businesses or receive offers to be acquired, which could require significant management attention, disrupt our business or dilute stockholder value.</w:t>
      </w:r>
    </w:p>
    <w:p>
      <w:pPr>
        <w:spacing w:after="0" w:line="102"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4"/>
          <w:szCs w:val="14"/>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45" w:lineRule="exact"/>
        <w:rPr>
          <w:sz w:val="20"/>
          <w:szCs w:val="20"/>
          <w:color w:val="auto"/>
        </w:rPr>
      </w:pPr>
    </w:p>
    <w:p>
      <w:pPr>
        <w:ind w:right="40" w:firstLine="388"/>
        <w:spacing w:after="0" w:line="275" w:lineRule="auto"/>
        <w:rPr>
          <w:sz w:val="20"/>
          <w:szCs w:val="20"/>
          <w:color w:val="auto"/>
        </w:rPr>
      </w:pPr>
      <w:r>
        <w:rPr>
          <w:rFonts w:ascii="Times New Roman" w:cs="Times New Roman" w:eastAsia="Times New Roman" w:hAnsi="Times New Roman"/>
          <w:sz w:val="14"/>
          <w:szCs w:val="14"/>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Class A common stock may be volatile, and you could lose all or part of your investment.</w:t>
      </w:r>
    </w:p>
    <w:p>
      <w:pPr>
        <w:spacing w:after="0" w:line="102" w:lineRule="exact"/>
        <w:rPr>
          <w:sz w:val="20"/>
          <w:szCs w:val="20"/>
          <w:color w:val="auto"/>
        </w:rPr>
      </w:pPr>
    </w:p>
    <w:p>
      <w:pPr>
        <w:ind w:right="180" w:firstLine="388"/>
        <w:spacing w:after="0" w:line="275" w:lineRule="auto"/>
        <w:rPr>
          <w:sz w:val="20"/>
          <w:szCs w:val="20"/>
          <w:color w:val="auto"/>
        </w:rPr>
      </w:pPr>
      <w:r>
        <w:rPr>
          <w:rFonts w:ascii="Times New Roman" w:cs="Times New Roman" w:eastAsia="Times New Roman" w:hAnsi="Times New Roman"/>
          <w:sz w:val="14"/>
          <w:szCs w:val="14"/>
          <w:color w:val="auto"/>
        </w:rPr>
        <w:t>Prior to our initial public offering, there was no public market for shares of our Class A common stock. The trading price of our Class A common stock is likely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50" w:lineRule="exact"/>
        <w:rPr>
          <w:sz w:val="20"/>
          <w:szCs w:val="20"/>
          <w:color w:val="auto"/>
        </w:rPr>
      </w:pPr>
    </w:p>
    <w:p>
      <w:pPr>
        <w:ind w:left="900" w:hanging="506"/>
        <w:spacing w:after="0"/>
        <w:tabs>
          <w:tab w:leader="none" w:pos="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420"/>
          </w:cols>
          <w:pgMar w:left="220" w:top="125" w:right="25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trading prices and trading volumes of technology stocks;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Class A common stock by us or our stockholders;</w:t>
      </w:r>
    </w:p>
    <w:p>
      <w:pPr>
        <w:spacing w:after="0" w:line="97" w:lineRule="exact"/>
        <w:rPr>
          <w:rFonts w:ascii="Times New Roman" w:cs="Times New Roman" w:eastAsia="Times New Roman" w:hAnsi="Times New Roman"/>
          <w:sz w:val="14"/>
          <w:szCs w:val="14"/>
          <w:color w:val="auto"/>
        </w:rPr>
      </w:pPr>
    </w:p>
    <w:p>
      <w:pPr>
        <w:ind w:left="920" w:right="300" w:hanging="526"/>
        <w:spacing w:after="0" w:line="294" w:lineRule="auto"/>
        <w:tabs>
          <w:tab w:leader="none" w:pos="9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36"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those projections, or our failure to meet those projections;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features, or services;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results of operations or fluctuations in our results of operations;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our competitors’ businesses or the competitive landscape generally;</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products, services or technologies by us or our competitors;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management; and</w:t>
      </w:r>
    </w:p>
    <w:p>
      <w:pPr>
        <w:spacing w:after="0" w:line="97" w:lineRule="exact"/>
        <w:rPr>
          <w:rFonts w:ascii="Times New Roman" w:cs="Times New Roman" w:eastAsia="Times New Roman" w:hAnsi="Times New Roman"/>
          <w:sz w:val="14"/>
          <w:szCs w:val="14"/>
          <w:color w:val="auto"/>
        </w:rPr>
      </w:pPr>
    </w:p>
    <w:p>
      <w:pPr>
        <w:ind w:left="900" w:hanging="506"/>
        <w:spacing w:after="0"/>
        <w:tabs>
          <w:tab w:leader="none" w:pos="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slow or negative growth of our markets.</w:t>
      </w:r>
    </w:p>
    <w:p>
      <w:pPr>
        <w:spacing w:after="0" w:line="184" w:lineRule="exact"/>
        <w:rPr>
          <w:sz w:val="20"/>
          <w:szCs w:val="20"/>
          <w:color w:val="auto"/>
        </w:rPr>
      </w:pPr>
    </w:p>
    <w:p>
      <w:pPr>
        <w:ind w:firstLine="388"/>
        <w:spacing w:after="0" w:line="294"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5"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33"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As of July 31, 2019, the holders of our outstanding Class B common stock held 97.8% of the voting power of our outstanding capital stock, with our directors, executive officers and 5% stockholders and their respective affiliates holding 63.0% of such voting power in the aggregate. As of July 31, 2019, our founder, President and Chief Executive Officer, Eric S. Yuan, together with his affiliates, held approximately 17.0% of our outstanding capital stock but controlled approximately 20.2%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146" w:lineRule="exact"/>
        <w:rPr>
          <w:sz w:val="20"/>
          <w:szCs w:val="20"/>
          <w:color w:val="auto"/>
        </w:rPr>
      </w:pPr>
    </w:p>
    <w:p>
      <w:pPr>
        <w:ind w:firstLine="388"/>
        <w:spacing w:after="0" w:line="275" w:lineRule="auto"/>
        <w:rPr>
          <w:sz w:val="20"/>
          <w:szCs w:val="20"/>
          <w:color w:val="auto"/>
        </w:rPr>
      </w:pPr>
      <w:r>
        <w:rPr>
          <w:rFonts w:ascii="Times New Roman" w:cs="Times New Roman" w:eastAsia="Times New Roman" w:hAnsi="Times New Roman"/>
          <w:sz w:val="14"/>
          <w:szCs w:val="14"/>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460"/>
          </w:cols>
          <w:pgMar w:left="220" w:top="125" w:right="21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firstLine="388"/>
        <w:spacing w:after="0" w:line="266" w:lineRule="auto"/>
        <w:rPr>
          <w:sz w:val="20"/>
          <w:szCs w:val="20"/>
          <w:color w:val="auto"/>
        </w:rPr>
      </w:pPr>
      <w:r>
        <w:rPr>
          <w:rFonts w:ascii="Times New Roman" w:cs="Times New Roman" w:eastAsia="Times New Roman" w:hAnsi="Times New Roman"/>
          <w:sz w:val="14"/>
          <w:szCs w:val="14"/>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42" w:lineRule="exact"/>
        <w:rPr>
          <w:sz w:val="20"/>
          <w:szCs w:val="20"/>
          <w:color w:val="auto"/>
        </w:rPr>
      </w:pPr>
    </w:p>
    <w:p>
      <w:pPr>
        <w:ind w:right="120" w:firstLine="388"/>
        <w:spacing w:after="0" w:line="266" w:lineRule="auto"/>
        <w:rPr>
          <w:sz w:val="20"/>
          <w:szCs w:val="20"/>
          <w:color w:val="auto"/>
        </w:rPr>
      </w:pPr>
      <w:r>
        <w:rPr>
          <w:rFonts w:ascii="Times New Roman" w:cs="Times New Roman" w:eastAsia="Times New Roman" w:hAnsi="Times New Roman"/>
          <w:sz w:val="14"/>
          <w:szCs w:val="14"/>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25"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33" w:lineRule="exact"/>
        <w:rPr>
          <w:sz w:val="20"/>
          <w:szCs w:val="20"/>
          <w:color w:val="auto"/>
        </w:rPr>
      </w:pPr>
    </w:p>
    <w:p>
      <w:pPr>
        <w:ind w:firstLine="388"/>
        <w:spacing w:after="0" w:line="275" w:lineRule="auto"/>
        <w:rPr>
          <w:sz w:val="20"/>
          <w:szCs w:val="20"/>
          <w:color w:val="auto"/>
        </w:rPr>
      </w:pPr>
      <w:r>
        <w:rPr>
          <w:rFonts w:ascii="Times New Roman" w:cs="Times New Roman" w:eastAsia="Times New Roman" w:hAnsi="Times New Roman"/>
          <w:sz w:val="14"/>
          <w:szCs w:val="14"/>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Class A common stock and Class B common stock could cause the market price of our Class A common stock to decline.</w:t>
      </w:r>
    </w:p>
    <w:p>
      <w:pPr>
        <w:spacing w:after="0" w:line="102" w:lineRule="exact"/>
        <w:rPr>
          <w:sz w:val="20"/>
          <w:szCs w:val="20"/>
          <w:color w:val="auto"/>
        </w:rPr>
      </w:pPr>
    </w:p>
    <w:p>
      <w:pPr>
        <w:ind w:right="40" w:firstLine="388"/>
        <w:spacing w:after="0" w:line="261"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 and could impair our ability to raise capital through the sale of additional equity securities. All of the shares of common stock sold in our initial public offering are freely tradable without restrictions or further registration under the Securities Act of 1933, as amended, or the Securities Act, except for any shares held by our “affiliates” as defined in Rule 144 under the Securities Act. Substantially all of our outstanding shares of Class A common stock and Class B common stock prior to our initial public offering are currently restricted from resale as a result of market standoff agreements with us and “lock-up” agreements that have been entered into with Morgan Stanley &amp; Co. LLC, J.P. Morgan Securities LLC and Goldman Sachs &amp; Co. LLC in connection with our initial public offering. These shares will become available to be sold 181 days after the date of the final prospectus used in connection with our initial public offering. Morgan Stanley &amp; Co. LLC, J.P. Morgan Securities LLC and Goldman Sachs &amp; Co. LLC may, in their discretion, permit our stockholders to sell shares prior to the expiration of the restrictive provisions contained in those lock-up agreements. Shares held by directors, executive officers, and other affiliates will be subject to volume limitations under Rule 144 under the Securities Act of 1933, as amended, or the Securities Act, and various vesting agreements.</w:t>
      </w:r>
    </w:p>
    <w:p>
      <w:pPr>
        <w:spacing w:after="0" w:line="231" w:lineRule="exact"/>
        <w:rPr>
          <w:sz w:val="20"/>
          <w:szCs w:val="20"/>
          <w:color w:val="auto"/>
        </w:rPr>
      </w:pPr>
    </w:p>
    <w:p>
      <w:pPr>
        <w:ind w:right="60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33" w:lineRule="exact"/>
        <w:rPr>
          <w:sz w:val="20"/>
          <w:szCs w:val="20"/>
          <w:color w:val="auto"/>
        </w:rPr>
      </w:pPr>
    </w:p>
    <w:p>
      <w:pPr>
        <w:ind w:right="80" w:firstLine="388"/>
        <w:spacing w:after="0" w:line="294" w:lineRule="auto"/>
        <w:rPr>
          <w:sz w:val="20"/>
          <w:szCs w:val="20"/>
          <w:color w:val="auto"/>
        </w:rPr>
      </w:pPr>
      <w:r>
        <w:rPr>
          <w:rFonts w:ascii="Times New Roman" w:cs="Times New Roman" w:eastAsia="Times New Roman" w:hAnsi="Times New Roman"/>
          <w:sz w:val="14"/>
          <w:szCs w:val="14"/>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Our charter documents also contain other provisions that could have an anti-takeover effect, such as:</w:t>
      </w:r>
    </w:p>
    <w:p>
      <w:pPr>
        <w:spacing w:after="0" w:line="98" w:lineRule="exact"/>
        <w:rPr>
          <w:sz w:val="20"/>
          <w:szCs w:val="20"/>
          <w:color w:val="auto"/>
        </w:rPr>
      </w:pPr>
    </w:p>
    <w:p>
      <w:pPr>
        <w:ind w:left="900" w:hanging="441"/>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classified board of directors so that not all members of our board of directors are elected at one time;</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the board of directors to establish the number of directors and fill any vacancies and newly created directorships;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460"/>
          </w:cols>
          <w:pgMar w:left="220" w:top="125" w:right="21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900" w:hanging="441"/>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that directors may only be removed for cause;</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cumulative voting for directors;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super-majority voting to amend some provisions in our certificate of incorporation and bylaws;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the issuance of “blank check” preferred stock that our board of directors could use to implement a stockholder rights plan;</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eliminating the ability of stockholders to call special meetings of stockholders;</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which requires all stockholder actions to be taken at a meeting of our stockholders; and</w:t>
      </w:r>
    </w:p>
    <w:p>
      <w:pPr>
        <w:spacing w:after="0" w:line="97" w:lineRule="exact"/>
        <w:rPr>
          <w:rFonts w:ascii="Times New Roman" w:cs="Times New Roman" w:eastAsia="Times New Roman" w:hAnsi="Times New Roman"/>
          <w:sz w:val="14"/>
          <w:szCs w:val="14"/>
          <w:color w:val="auto"/>
        </w:rPr>
      </w:pPr>
    </w:p>
    <w:p>
      <w:pPr>
        <w:ind w:left="900" w:hanging="441"/>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 class common stock structure as described above.</w:t>
      </w:r>
    </w:p>
    <w:p>
      <w:pPr>
        <w:spacing w:after="0" w:line="184" w:lineRule="exact"/>
        <w:rPr>
          <w:sz w:val="20"/>
          <w:szCs w:val="20"/>
          <w:color w:val="auto"/>
        </w:rPr>
      </w:pPr>
    </w:p>
    <w:p>
      <w:pPr>
        <w:ind w:right="20" w:firstLine="388"/>
        <w:spacing w:after="0" w:line="266"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2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48" w:lineRule="exact"/>
        <w:rPr>
          <w:sz w:val="20"/>
          <w:szCs w:val="20"/>
          <w:color w:val="auto"/>
        </w:rPr>
      </w:pPr>
    </w:p>
    <w:p>
      <w:pPr>
        <w:ind w:firstLine="388"/>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322"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27"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33" w:lineRule="exact"/>
        <w:rPr>
          <w:sz w:val="20"/>
          <w:szCs w:val="20"/>
          <w:color w:val="auto"/>
        </w:rPr>
      </w:pPr>
    </w:p>
    <w:p>
      <w:pPr>
        <w:jc w:val="both"/>
        <w:ind w:right="140" w:firstLine="388"/>
        <w:spacing w:after="0" w:line="269" w:lineRule="auto"/>
        <w:rPr>
          <w:sz w:val="20"/>
          <w:szCs w:val="20"/>
          <w:color w:val="auto"/>
        </w:rPr>
      </w:pPr>
      <w:r>
        <w:rPr>
          <w:rFonts w:ascii="Times New Roman" w:cs="Times New Roman" w:eastAsia="Times New Roman" w:hAnsi="Times New Roman"/>
          <w:sz w:val="14"/>
          <w:szCs w:val="14"/>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460"/>
          </w:cols>
          <w:pgMar w:left="220" w:top="125" w:right="21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regularly, demand for our securities could decrease, which might cause the price and trading volume of our Class A common stock to decline.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costs and demands upon management as a result of complying with the laws and regulations affecting public companies in the United States, which may harm our business.</w:t>
      </w:r>
    </w:p>
    <w:p>
      <w:pPr>
        <w:spacing w:after="0" w:line="102"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4"/>
          <w:szCs w:val="14"/>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44" w:lineRule="exact"/>
        <w:rPr>
          <w:sz w:val="20"/>
          <w:szCs w:val="20"/>
          <w:color w:val="auto"/>
        </w:rPr>
      </w:pPr>
    </w:p>
    <w:p>
      <w:pPr>
        <w:ind w:right="80" w:firstLine="388"/>
        <w:spacing w:after="0" w:line="275" w:lineRule="auto"/>
        <w:rPr>
          <w:sz w:val="20"/>
          <w:szCs w:val="20"/>
          <w:color w:val="auto"/>
        </w:rPr>
      </w:pPr>
      <w:r>
        <w:rPr>
          <w:rFonts w:ascii="Times New Roman" w:cs="Times New Roman" w:eastAsia="Times New Roman" w:hAnsi="Times New Roman"/>
          <w:sz w:val="14"/>
          <w:szCs w:val="14"/>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19"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33" w:lineRule="exact"/>
        <w:rPr>
          <w:sz w:val="20"/>
          <w:szCs w:val="20"/>
          <w:color w:val="auto"/>
        </w:rPr>
      </w:pPr>
    </w:p>
    <w:p>
      <w:pPr>
        <w:ind w:right="80" w:firstLine="388"/>
        <w:spacing w:after="0" w:line="260"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initial public offering, (b) in which we have total annual gross revenue of over $1.07 billion or (c) in which we are deemed to be a large accelerated filer, which means the market value of our common stock held by non-</w:t>
      </w:r>
    </w:p>
    <w:p>
      <w:pPr>
        <w:spacing w:after="0" w:line="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102" w:lineRule="exact"/>
        <w:rPr>
          <w:sz w:val="20"/>
          <w:szCs w:val="20"/>
          <w:color w:val="auto"/>
        </w:rPr>
      </w:pPr>
    </w:p>
    <w:p>
      <w:pPr>
        <w:ind w:right="180" w:firstLine="388"/>
        <w:spacing w:after="0" w:line="275" w:lineRule="auto"/>
        <w:rPr>
          <w:sz w:val="20"/>
          <w:szCs w:val="20"/>
          <w:color w:val="auto"/>
        </w:rPr>
      </w:pPr>
      <w:r>
        <w:rPr>
          <w:rFonts w:ascii="Times New Roman" w:cs="Times New Roman" w:eastAsia="Times New Roman" w:hAnsi="Times New Roman"/>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7" w:lineRule="exact"/>
        <w:rPr>
          <w:sz w:val="20"/>
          <w:szCs w:val="20"/>
          <w:color w:val="auto"/>
        </w:rPr>
      </w:pPr>
    </w:p>
    <w:p>
      <w:pPr>
        <w:ind w:right="220" w:firstLine="388"/>
        <w:spacing w:after="0" w:line="266" w:lineRule="auto"/>
        <w:rPr>
          <w:sz w:val="20"/>
          <w:szCs w:val="20"/>
          <w:color w:val="auto"/>
        </w:rPr>
      </w:pPr>
      <w:r>
        <w:rPr>
          <w:rFonts w:ascii="Times New Roman" w:cs="Times New Roman" w:eastAsia="Times New Roman" w:hAnsi="Times New Roman"/>
          <w:sz w:val="14"/>
          <w:szCs w:val="14"/>
          <w:color w:val="auto"/>
        </w:rPr>
        <w:t>The Registration Statement on Form S-1 (File No. 333-230444) (the “Form S-1”) for the IPO was declared effective by the SEC on April 17, 2019, pursuant to which we sold 13,041,869 shares of our Class A common stock, including 3,130,435 shares sold pursuant to the underwriters’ full exercise of their right to purchase additional shares, at a public offering price of $36.00 per share.</w:t>
      </w:r>
    </w:p>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There has been no material change in the planned use of proceeds from the IPO as described in our Prospectus.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420"/>
          </w:cols>
          <w:pgMar w:left="220" w:top="125" w:right="25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239"/>
          </w:cols>
          <w:pgMar w:left="220" w:top="125" w:right="1440"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3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540" w:type="dxa"/>
            <w:vAlign w:val="bottom"/>
            <w:tcBorders>
              <w:bottom w:val="single" w:sz="8" w:color="auto"/>
            </w:tcBorders>
          </w:tcPr>
          <w:p>
            <w:pPr>
              <w:spacing w:after="0"/>
              <w:rPr>
                <w:sz w:val="13"/>
                <w:szCs w:val="13"/>
                <w:color w:val="auto"/>
              </w:rPr>
            </w:pPr>
          </w:p>
        </w:tc>
      </w:tr>
      <w:tr>
        <w:trPr>
          <w:trHeight w:val="152"/>
        </w:trPr>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360" w:type="dxa"/>
            <w:vAlign w:val="bottom"/>
          </w:tcPr>
          <w:p>
            <w:pPr>
              <w:ind w:left="13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8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780" w:type="dxa"/>
            <w:vAlign w:val="bottom"/>
          </w:tcPr>
          <w:p>
            <w:pPr>
              <w:ind w:left="8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54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Filing Date</w:t>
            </w:r>
          </w:p>
        </w:tc>
      </w:tr>
    </w:tbl>
    <w:p>
      <w:pPr>
        <w:spacing w:after="0" w:line="10" w:lineRule="exact"/>
        <w:rPr>
          <w:sz w:val="20"/>
          <w:szCs w:val="20"/>
          <w:color w:val="auto"/>
        </w:rPr>
      </w:pPr>
    </w:p>
    <w:p>
      <w:pPr>
        <w:sectPr>
          <w:pgSz w:w="11900" w:h="16838" w:orient="portrait"/>
          <w:cols w:equalWidth="0" w:num="1">
            <w:col w:w="11460"/>
          </w:cols>
          <w:pgMar w:left="220" w:top="125" w:right="219"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10.5*</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31.1*</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31.2*</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spacing w:after="0"/>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Amended and Restated Certificate of Incorporation of Zoom Video</w:t>
              </w:r>
            </w:hyperlink>
          </w:p>
        </w:tc>
        <w:tc>
          <w:tcPr>
            <w:tcW w:w="16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8-K</w:t>
            </w:r>
          </w:p>
        </w:tc>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001-38865</w:t>
            </w: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3.1</w:t>
            </w:r>
          </w:p>
        </w:tc>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April 23, 2019</w:t>
            </w:r>
          </w:p>
        </w:tc>
      </w:tr>
      <w:tr>
        <w:trPr>
          <w:trHeight w:val="142"/>
        </w:trPr>
        <w:tc>
          <w:tcPr>
            <w:tcW w:w="12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4"/>
                <w:szCs w:val="14"/>
                <w:color w:val="0000FF"/>
              </w:rPr>
            </w:pPr>
            <w:hyperlink r:id="rId24">
              <w:r>
                <w:rPr>
                  <w:rFonts w:ascii="Times New Roman" w:cs="Times New Roman" w:eastAsia="Times New Roman" w:hAnsi="Times New Roman"/>
                  <w:sz w:val="14"/>
                  <w:szCs w:val="14"/>
                  <w:color w:val="0000FF"/>
                </w:rPr>
                <w:t>Communications, Inc.</w:t>
              </w:r>
            </w:hyperlink>
          </w:p>
        </w:tc>
        <w:tc>
          <w:tcPr>
            <w:tcW w:w="25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85"/>
        </w:trPr>
        <w:tc>
          <w:tcPr>
            <w:tcW w:w="402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25">
              <w:r>
                <w:rPr>
                  <w:rFonts w:ascii="Times New Roman" w:cs="Times New Roman" w:eastAsia="Times New Roman" w:hAnsi="Times New Roman"/>
                  <w:sz w:val="14"/>
                  <w:szCs w:val="14"/>
                  <w:color w:val="0000FF"/>
                </w:rPr>
                <w:t>Amended and Restated Bylaws of Zoom Video Communications, Inc.</w:t>
              </w:r>
            </w:hyperlink>
          </w:p>
        </w:tc>
        <w:tc>
          <w:tcPr>
            <w:tcW w:w="16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S-1/A</w:t>
            </w:r>
          </w:p>
        </w:tc>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333-230444</w:t>
            </w: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3.4</w:t>
            </w:r>
          </w:p>
        </w:tc>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April 8, 2019</w:t>
            </w:r>
          </w:p>
        </w:tc>
      </w:tr>
    </w:tbl>
    <w:p>
      <w:pPr>
        <w:spacing w:after="0" w:line="3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62">
        <w:r>
          <w:rPr>
            <w:rFonts w:ascii="Times New Roman" w:cs="Times New Roman" w:eastAsia="Times New Roman" w:hAnsi="Times New Roman"/>
            <w:sz w:val="14"/>
            <w:szCs w:val="14"/>
            <w:u w:val="single" w:color="auto"/>
            <w:color w:val="0000FF"/>
          </w:rPr>
          <w:t>Zoom Video Communications, Inc. Non-Employee Director Compensation Policy</w:t>
        </w:r>
      </w:hyperlink>
    </w:p>
    <w:p>
      <w:pPr>
        <w:spacing w:after="0" w:line="50"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66">
        <w:r>
          <w:rPr>
            <w:rFonts w:ascii="Times New Roman" w:cs="Times New Roman" w:eastAsia="Times New Roman" w:hAnsi="Times New Roman"/>
            <w:sz w:val="14"/>
            <w:szCs w:val="14"/>
            <w:u w:val="single" w:color="auto"/>
            <w:color w:val="0000FF"/>
          </w:rPr>
          <w:t>Zoom Video Communications, Inc. 2019 Equity Incentive Plan Global Restricted</w:t>
        </w:r>
      </w:hyperlink>
    </w:p>
    <w:p>
      <w:pPr>
        <w:spacing w:after="0"/>
        <w:rPr>
          <w:rFonts w:ascii="Times New Roman" w:cs="Times New Roman" w:eastAsia="Times New Roman" w:hAnsi="Times New Roman"/>
          <w:sz w:val="14"/>
          <w:szCs w:val="14"/>
          <w:u w:val="single" w:color="auto"/>
          <w:color w:val="0000FF"/>
        </w:rPr>
      </w:pPr>
      <w:hyperlink w:anchor="page66">
        <w:r>
          <w:rPr>
            <w:rFonts w:ascii="Times New Roman" w:cs="Times New Roman" w:eastAsia="Times New Roman" w:hAnsi="Times New Roman"/>
            <w:sz w:val="14"/>
            <w:szCs w:val="14"/>
            <w:u w:val="single" w:color="auto"/>
            <w:color w:val="0000FF"/>
          </w:rPr>
          <w:t>Stock Unit Award Grant Notice for Executive Officers</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88">
        <w:r>
          <w:rPr>
            <w:rFonts w:ascii="Times New Roman" w:cs="Times New Roman" w:eastAsia="Times New Roman" w:hAnsi="Times New Roman"/>
            <w:sz w:val="14"/>
            <w:szCs w:val="14"/>
            <w:u w:val="single" w:color="auto"/>
            <w:color w:val="0000FF"/>
          </w:rPr>
          <w:t>Zoom Video Communications, Inc. 2019 Equity Incentive Plan Non-Employee</w:t>
        </w:r>
      </w:hyperlink>
    </w:p>
    <w:p>
      <w:pPr>
        <w:spacing w:after="0"/>
        <w:rPr>
          <w:rFonts w:ascii="Times New Roman" w:cs="Times New Roman" w:eastAsia="Times New Roman" w:hAnsi="Times New Roman"/>
          <w:sz w:val="14"/>
          <w:szCs w:val="14"/>
          <w:u w:val="single" w:color="auto"/>
          <w:color w:val="0000FF"/>
        </w:rPr>
      </w:pPr>
      <w:hyperlink w:anchor="page88">
        <w:r>
          <w:rPr>
            <w:rFonts w:ascii="Times New Roman" w:cs="Times New Roman" w:eastAsia="Times New Roman" w:hAnsi="Times New Roman"/>
            <w:sz w:val="14"/>
            <w:szCs w:val="14"/>
            <w:u w:val="single" w:color="auto"/>
            <w:color w:val="0000FF"/>
          </w:rPr>
          <w:t>Director Global Restricted Stock Unit Award Grant Notice</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00">
        <w:r>
          <w:rPr>
            <w:rFonts w:ascii="Times New Roman" w:cs="Times New Roman" w:eastAsia="Times New Roman" w:hAnsi="Times New Roman"/>
            <w:sz w:val="14"/>
            <w:szCs w:val="14"/>
            <w:u w:val="single" w:color="auto"/>
            <w:color w:val="0000FF"/>
          </w:rPr>
          <w:t>Offer Letter by and between Zoom Video Communications, Inc. and Ryan Azus</w:t>
        </w:r>
      </w:hyperlink>
    </w:p>
    <w:p>
      <w:pPr>
        <w:spacing w:after="0"/>
        <w:rPr>
          <w:rFonts w:ascii="Times New Roman" w:cs="Times New Roman" w:eastAsia="Times New Roman" w:hAnsi="Times New Roman"/>
          <w:sz w:val="14"/>
          <w:szCs w:val="14"/>
          <w:u w:val="single" w:color="auto"/>
          <w:color w:val="0000FF"/>
        </w:rPr>
      </w:pPr>
      <w:hyperlink w:anchor="page100">
        <w:r>
          <w:rPr>
            <w:rFonts w:ascii="Times New Roman" w:cs="Times New Roman" w:eastAsia="Times New Roman" w:hAnsi="Times New Roman"/>
            <w:sz w:val="14"/>
            <w:szCs w:val="14"/>
            <w:u w:val="single" w:color="auto"/>
            <w:color w:val="0000FF"/>
          </w:rPr>
          <w:t>dated June 29, 2019</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08">
        <w:r>
          <w:rPr>
            <w:rFonts w:ascii="Times New Roman" w:cs="Times New Roman" w:eastAsia="Times New Roman" w:hAnsi="Times New Roman"/>
            <w:sz w:val="14"/>
            <w:szCs w:val="14"/>
            <w:u w:val="single" w:color="auto"/>
            <w:color w:val="0000FF"/>
          </w:rPr>
          <w:t>Fourth Amendment to Lease Agreement by and between Zoom Video</w:t>
        </w:r>
      </w:hyperlink>
    </w:p>
    <w:p>
      <w:pPr>
        <w:spacing w:after="0" w:line="208" w:lineRule="auto"/>
        <w:rPr>
          <w:rFonts w:ascii="Times New Roman" w:cs="Times New Roman" w:eastAsia="Times New Roman" w:hAnsi="Times New Roman"/>
          <w:sz w:val="14"/>
          <w:szCs w:val="14"/>
          <w:u w:val="single" w:color="auto"/>
          <w:color w:val="0000FF"/>
        </w:rPr>
      </w:pPr>
      <w:hyperlink w:anchor="page108">
        <w:r>
          <w:rPr>
            <w:rFonts w:ascii="Times New Roman" w:cs="Times New Roman" w:eastAsia="Times New Roman" w:hAnsi="Times New Roman"/>
            <w:sz w:val="14"/>
            <w:szCs w:val="14"/>
            <w:u w:val="single" w:color="auto"/>
            <w:color w:val="0000FF"/>
          </w:rPr>
          <w:t>Communications, Inc. and KBSIII Almaden Financial Plaza, LLC dated May 13,</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08">
        <w:r>
          <w:rPr>
            <w:rFonts w:ascii="Times New Roman" w:cs="Times New Roman" w:eastAsia="Times New Roman" w:hAnsi="Times New Roman"/>
            <w:sz w:val="14"/>
            <w:szCs w:val="14"/>
            <w:u w:val="single" w:color="auto"/>
            <w:color w:val="0000FF"/>
          </w:rPr>
          <w:t>2019</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19">
        <w:r>
          <w:rPr>
            <w:rFonts w:ascii="Times New Roman" w:cs="Times New Roman" w:eastAsia="Times New Roman" w:hAnsi="Times New Roman"/>
            <w:sz w:val="14"/>
            <w:szCs w:val="14"/>
            <w:u w:val="single" w:color="auto"/>
            <w:color w:val="0000FF"/>
          </w:rPr>
          <w:t>Certification of Chief Executive Officer pursuant to Exchange Act Rules 13a-14(a)</w:t>
        </w:r>
      </w:hyperlink>
    </w:p>
    <w:p>
      <w:pPr>
        <w:spacing w:after="0" w:line="208" w:lineRule="auto"/>
        <w:rPr>
          <w:rFonts w:ascii="Times New Roman" w:cs="Times New Roman" w:eastAsia="Times New Roman" w:hAnsi="Times New Roman"/>
          <w:sz w:val="14"/>
          <w:szCs w:val="14"/>
          <w:u w:val="single" w:color="auto"/>
          <w:color w:val="0000FF"/>
        </w:rPr>
      </w:pPr>
      <w:hyperlink w:anchor="page119">
        <w:r>
          <w:rPr>
            <w:rFonts w:ascii="Times New Roman" w:cs="Times New Roman" w:eastAsia="Times New Roman" w:hAnsi="Times New Roman"/>
            <w:sz w:val="14"/>
            <w:szCs w:val="14"/>
            <w:u w:val="single" w:color="auto"/>
            <w:color w:val="0000FF"/>
          </w:rPr>
          <w:t>and 15d-14(a), as adopted pursuant to Section 302 of the Sarbanes-Oxley Act of</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19">
        <w:r>
          <w:rPr>
            <w:rFonts w:ascii="Times New Roman" w:cs="Times New Roman" w:eastAsia="Times New Roman" w:hAnsi="Times New Roman"/>
            <w:sz w:val="14"/>
            <w:szCs w:val="14"/>
            <w:u w:val="single" w:color="auto"/>
            <w:color w:val="0000FF"/>
          </w:rPr>
          <w:t>2002.</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20">
        <w:r>
          <w:rPr>
            <w:rFonts w:ascii="Times New Roman" w:cs="Times New Roman" w:eastAsia="Times New Roman" w:hAnsi="Times New Roman"/>
            <w:sz w:val="14"/>
            <w:szCs w:val="14"/>
            <w:u w:val="single" w:color="auto"/>
            <w:color w:val="0000FF"/>
          </w:rPr>
          <w:t>Certification of Chief Financial Officer pursuant to Exchange Act Rules 13a-14(a)</w:t>
        </w:r>
      </w:hyperlink>
    </w:p>
    <w:p>
      <w:pPr>
        <w:spacing w:after="0" w:line="208" w:lineRule="auto"/>
        <w:rPr>
          <w:rFonts w:ascii="Times New Roman" w:cs="Times New Roman" w:eastAsia="Times New Roman" w:hAnsi="Times New Roman"/>
          <w:sz w:val="14"/>
          <w:szCs w:val="14"/>
          <w:u w:val="single" w:color="auto"/>
          <w:color w:val="0000FF"/>
        </w:rPr>
      </w:pPr>
      <w:hyperlink w:anchor="page120">
        <w:r>
          <w:rPr>
            <w:rFonts w:ascii="Times New Roman" w:cs="Times New Roman" w:eastAsia="Times New Roman" w:hAnsi="Times New Roman"/>
            <w:sz w:val="14"/>
            <w:szCs w:val="14"/>
            <w:u w:val="single" w:color="auto"/>
            <w:color w:val="0000FF"/>
          </w:rPr>
          <w:t>and 15d-14(a), as adopted pursuant to Section 302 of the Sarbanes-Oxley Act of</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20">
        <w:r>
          <w:rPr>
            <w:rFonts w:ascii="Times New Roman" w:cs="Times New Roman" w:eastAsia="Times New Roman" w:hAnsi="Times New Roman"/>
            <w:sz w:val="14"/>
            <w:szCs w:val="14"/>
            <w:u w:val="single" w:color="auto"/>
            <w:color w:val="0000FF"/>
          </w:rPr>
          <w:t>2002.</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21">
        <w:r>
          <w:rPr>
            <w:rFonts w:ascii="Times New Roman" w:cs="Times New Roman" w:eastAsia="Times New Roman" w:hAnsi="Times New Roman"/>
            <w:sz w:val="14"/>
            <w:szCs w:val="14"/>
            <w:u w:val="single" w:color="auto"/>
            <w:color w:val="0000FF"/>
          </w:rPr>
          <w:t>Certifications of Chief Executive Officer and Chief Financial Officer pursuant to 18</w:t>
        </w:r>
      </w:hyperlink>
    </w:p>
    <w:p>
      <w:pPr>
        <w:spacing w:after="0" w:line="208" w:lineRule="auto"/>
        <w:rPr>
          <w:rFonts w:ascii="Times New Roman" w:cs="Times New Roman" w:eastAsia="Times New Roman" w:hAnsi="Times New Roman"/>
          <w:sz w:val="14"/>
          <w:szCs w:val="14"/>
          <w:u w:val="single" w:color="auto"/>
          <w:color w:val="0000FF"/>
        </w:rPr>
      </w:pPr>
      <w:hyperlink w:anchor="page121">
        <w:r>
          <w:rPr>
            <w:rFonts w:ascii="Times New Roman" w:cs="Times New Roman" w:eastAsia="Times New Roman" w:hAnsi="Times New Roman"/>
            <w:sz w:val="14"/>
            <w:szCs w:val="14"/>
            <w:u w:val="single" w:color="auto"/>
            <w:color w:val="0000FF"/>
          </w:rPr>
          <w:t>U.S.C. Section 1350, as adopted pursuant to Section 906 of the Sarbanes-Oxley Act</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w:anchor="page121">
        <w:r>
          <w:rPr>
            <w:rFonts w:ascii="Times New Roman" w:cs="Times New Roman" w:eastAsia="Times New Roman" w:hAnsi="Times New Roman"/>
            <w:sz w:val="14"/>
            <w:szCs w:val="14"/>
            <w:u w:val="single" w:color="auto"/>
            <w:color w:val="0000FF"/>
          </w:rPr>
          <w:t>of 2002.</w:t>
        </w:r>
      </w:hyperlink>
    </w:p>
    <w:p>
      <w:pPr>
        <w:spacing w:after="0" w:line="17" w:lineRule="exact"/>
        <w:rPr>
          <w:sz w:val="20"/>
          <w:szCs w:val="20"/>
          <w:color w:val="auto"/>
        </w:rPr>
      </w:pPr>
    </w:p>
    <w:p>
      <w:pPr>
        <w:sectPr>
          <w:pgSz w:w="11900" w:h="16838" w:orient="portrait"/>
          <w:cols w:equalWidth="0" w:num="2">
            <w:col w:w="460" w:space="720"/>
            <w:col w:w="10280"/>
          </w:cols>
          <w:pgMar w:left="220" w:top="125" w:right="219" w:bottom="1440" w:gutter="0" w:footer="0" w:header="0"/>
          <w:type w:val="continuous"/>
        </w:sect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101.INS*</w:t>
      </w:r>
      <w:r>
        <w:rPr>
          <w:sz w:val="20"/>
          <w:szCs w:val="20"/>
          <w:color w:val="auto"/>
        </w:rPr>
        <w:tab/>
      </w:r>
      <w:r>
        <w:rPr>
          <w:rFonts w:ascii="Times New Roman" w:cs="Times New Roman" w:eastAsia="Times New Roman" w:hAnsi="Times New Roman"/>
          <w:sz w:val="14"/>
          <w:szCs w:val="14"/>
          <w:color w:val="auto"/>
        </w:rPr>
        <w:t>XBRL Instance Document</w:t>
      </w:r>
    </w:p>
    <w:p>
      <w:pPr>
        <w:spacing w:after="0" w:line="55"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101.SCH*</w:t>
      </w:r>
      <w:r>
        <w:rPr>
          <w:sz w:val="20"/>
          <w:szCs w:val="20"/>
          <w:color w:val="auto"/>
        </w:rPr>
        <w:tab/>
      </w:r>
      <w:r>
        <w:rPr>
          <w:rFonts w:ascii="Times New Roman" w:cs="Times New Roman" w:eastAsia="Times New Roman" w:hAnsi="Times New Roman"/>
          <w:sz w:val="14"/>
          <w:szCs w:val="14"/>
          <w:color w:val="auto"/>
        </w:rPr>
        <w:t>XBRL Taxonomy Extension Schema Document</w:t>
      </w:r>
    </w:p>
    <w:p>
      <w:pPr>
        <w:spacing w:after="0" w:line="55"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101.CAL*</w:t>
      </w:r>
      <w:r>
        <w:rPr>
          <w:sz w:val="20"/>
          <w:szCs w:val="20"/>
          <w:color w:val="auto"/>
        </w:rPr>
        <w:tab/>
      </w:r>
      <w:r>
        <w:rPr>
          <w:rFonts w:ascii="Times New Roman" w:cs="Times New Roman" w:eastAsia="Times New Roman" w:hAnsi="Times New Roman"/>
          <w:sz w:val="14"/>
          <w:szCs w:val="14"/>
          <w:color w:val="auto"/>
        </w:rPr>
        <w:t>XBRL Taxonomy Extension Calculation Linkbase Document</w:t>
      </w:r>
    </w:p>
    <w:p>
      <w:pPr>
        <w:spacing w:after="0" w:line="55"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101.DEF*</w:t>
      </w:r>
      <w:r>
        <w:rPr>
          <w:sz w:val="20"/>
          <w:szCs w:val="20"/>
          <w:color w:val="auto"/>
        </w:rPr>
        <w:tab/>
      </w:r>
      <w:r>
        <w:rPr>
          <w:rFonts w:ascii="Times New Roman" w:cs="Times New Roman" w:eastAsia="Times New Roman" w:hAnsi="Times New Roman"/>
          <w:sz w:val="14"/>
          <w:szCs w:val="14"/>
          <w:color w:val="auto"/>
        </w:rPr>
        <w:t>XBRL Taxonomy Extension Definition Linkbase Document</w:t>
      </w:r>
    </w:p>
    <w:p>
      <w:pPr>
        <w:spacing w:after="0" w:line="55"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101.LAB*</w:t>
      </w:r>
      <w:r>
        <w:rPr>
          <w:sz w:val="20"/>
          <w:szCs w:val="20"/>
          <w:color w:val="auto"/>
        </w:rPr>
        <w:tab/>
      </w:r>
      <w:r>
        <w:rPr>
          <w:rFonts w:ascii="Times New Roman" w:cs="Times New Roman" w:eastAsia="Times New Roman" w:hAnsi="Times New Roman"/>
          <w:sz w:val="14"/>
          <w:szCs w:val="14"/>
          <w:color w:val="auto"/>
        </w:rPr>
        <w:t>XBRL Taxonomy Extension Label Linkbase Document</w:t>
      </w:r>
    </w:p>
    <w:p>
      <w:pPr>
        <w:spacing w:after="0" w:line="55"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4"/>
          <w:szCs w:val="14"/>
          <w:color w:val="auto"/>
        </w:rPr>
        <w:t>101.PRE*</w:t>
      </w:r>
      <w:r>
        <w:rPr>
          <w:sz w:val="20"/>
          <w:szCs w:val="20"/>
          <w:color w:val="auto"/>
        </w:rPr>
        <w:tab/>
      </w:r>
      <w:r>
        <w:rPr>
          <w:rFonts w:ascii="Times New Roman" w:cs="Times New Roman" w:eastAsia="Times New Roman" w:hAnsi="Times New Roman"/>
          <w:sz w:val="14"/>
          <w:szCs w:val="14"/>
          <w:color w:val="auto"/>
        </w:rPr>
        <w:t>XBRL Taxonomy Extension Presentation Linkbase Document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5" w:lineRule="exact"/>
        <w:rPr>
          <w:sz w:val="20"/>
          <w:szCs w:val="20"/>
          <w:color w:val="auto"/>
        </w:rPr>
      </w:pPr>
    </w:p>
    <w:p>
      <w:pPr>
        <w:ind w:left="520" w:hanging="514"/>
        <w:spacing w:after="0" w:line="265" w:lineRule="auto"/>
        <w:tabs>
          <w:tab w:leader="none" w:pos="10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460"/>
          </w:cols>
          <w:pgMar w:left="220" w:top="125" w:right="219" w:bottom="1440" w:gutter="0" w:footer="0" w:header="0"/>
          <w:type w:val="continuous"/>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7840" w:type="dxa"/>
            <w:vAlign w:val="bottom"/>
            <w:gridSpan w:val="2"/>
          </w:tcPr>
          <w:p>
            <w:pPr>
              <w:ind w:left="342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r>
      <w:tr>
        <w:trPr>
          <w:trHeight w:val="420"/>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 September 12, 2019</w:t>
            </w:r>
          </w:p>
        </w:tc>
        <w:tc>
          <w:tcPr>
            <w:tcW w:w="37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Eric S. Yuan</w:t>
            </w:r>
          </w:p>
        </w:tc>
      </w:tr>
      <w:tr>
        <w:trPr>
          <w:trHeight w:val="23"/>
        </w:trPr>
        <w:tc>
          <w:tcPr>
            <w:tcW w:w="3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184"/>
        </w:trPr>
        <w:tc>
          <w:tcPr>
            <w:tcW w:w="35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216"/>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6"/>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420"/>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 September 12, 2019</w:t>
            </w:r>
          </w:p>
        </w:tc>
        <w:tc>
          <w:tcPr>
            <w:tcW w:w="3740" w:type="dxa"/>
            <w:vAlign w:val="bottom"/>
          </w:tcPr>
          <w:p>
            <w:pPr>
              <w:ind w:left="3420"/>
              <w:spacing w:after="0"/>
              <w:rPr>
                <w:sz w:val="20"/>
                <w:szCs w:val="20"/>
                <w:color w:val="auto"/>
              </w:rPr>
            </w:pPr>
            <w:r>
              <w:rPr>
                <w:rFonts w:ascii="Times New Roman" w:cs="Times New Roman" w:eastAsia="Times New Roman" w:hAnsi="Times New Roman"/>
                <w:sz w:val="14"/>
                <w:szCs w:val="14"/>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Kelly Steckelberg</w:t>
            </w:r>
          </w:p>
        </w:tc>
      </w:tr>
      <w:tr>
        <w:trPr>
          <w:trHeight w:val="23"/>
        </w:trPr>
        <w:tc>
          <w:tcPr>
            <w:tcW w:w="3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184"/>
        </w:trPr>
        <w:tc>
          <w:tcPr>
            <w:tcW w:w="35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Kelly Steckelberg</w:t>
            </w:r>
          </w:p>
        </w:tc>
      </w:tr>
      <w:tr>
        <w:trPr>
          <w:trHeight w:val="216"/>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16"/>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r>
        <w:trPr>
          <w:trHeight w:val="916"/>
        </w:trPr>
        <w:tc>
          <w:tcPr>
            <w:tcW w:w="3580" w:type="dxa"/>
            <w:vAlign w:val="bottom"/>
          </w:tcPr>
          <w:p>
            <w:pPr>
              <w:spacing w:after="0"/>
              <w:rPr>
                <w:sz w:val="24"/>
                <w:szCs w:val="24"/>
                <w:color w:val="auto"/>
              </w:rPr>
            </w:pPr>
          </w:p>
        </w:tc>
        <w:tc>
          <w:tcPr>
            <w:tcW w:w="3740" w:type="dxa"/>
            <w:vAlign w:val="bottom"/>
          </w:tcPr>
          <w:p>
            <w:pPr>
              <w:jc w:val="right"/>
              <w:ind w:right="1468"/>
              <w:spacing w:after="0"/>
              <w:rPr>
                <w:sz w:val="20"/>
                <w:szCs w:val="20"/>
                <w:color w:val="auto"/>
              </w:rPr>
            </w:pPr>
            <w:r>
              <w:rPr>
                <w:rFonts w:ascii="Times New Roman" w:cs="Times New Roman" w:eastAsia="Times New Roman" w:hAnsi="Times New Roman"/>
                <w:sz w:val="14"/>
                <w:szCs w:val="14"/>
                <w:color w:val="auto"/>
              </w:rPr>
              <w:t>61</w:t>
            </w:r>
          </w:p>
        </w:tc>
        <w:tc>
          <w:tcPr>
            <w:tcW w:w="4100" w:type="dxa"/>
            <w:vAlign w:val="bottom"/>
          </w:tcPr>
          <w:p>
            <w:pPr>
              <w:spacing w:after="0"/>
              <w:rPr>
                <w:sz w:val="24"/>
                <w:szCs w:val="24"/>
                <w:color w:val="auto"/>
              </w:rPr>
            </w:pPr>
          </w:p>
        </w:tc>
      </w:tr>
    </w:tbl>
    <w:p>
      <w:pPr>
        <w:sectPr>
          <w:pgSz w:w="11900" w:h="16838" w:orient="portrait"/>
          <w:cols w:equalWidth="0" w:num="1">
            <w:col w:w="11440"/>
          </w:cols>
          <w:pgMar w:left="220" w:top="125" w:right="239" w:bottom="1440"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9885045</wp:posOffset>
            </wp:positionV>
            <wp:extent cx="721741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S. Yuan, certify that:</w:t>
      </w:r>
    </w:p>
    <w:p>
      <w:pPr>
        <w:spacing w:after="0" w:line="152" w:lineRule="exact"/>
        <w:rPr>
          <w:sz w:val="20"/>
          <w:szCs w:val="20"/>
          <w:color w:val="auto"/>
        </w:rPr>
      </w:pPr>
    </w:p>
    <w:p>
      <w:pPr>
        <w:ind w:left="1040" w:hanging="517"/>
        <w:spacing w:after="0"/>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Zoom Video Communications, Inc.;</w:t>
      </w:r>
    </w:p>
    <w:p>
      <w:pPr>
        <w:spacing w:after="0" w:line="151" w:lineRule="exact"/>
        <w:rPr>
          <w:rFonts w:ascii="Times New Roman" w:cs="Times New Roman" w:eastAsia="Times New Roman" w:hAnsi="Times New Roman"/>
          <w:sz w:val="14"/>
          <w:szCs w:val="14"/>
          <w:color w:val="auto"/>
        </w:rPr>
      </w:pPr>
    </w:p>
    <w:p>
      <w:pPr>
        <w:ind w:left="1040" w:right="220" w:hanging="517"/>
        <w:spacing w:after="0" w:line="294"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4"/>
          <w:szCs w:val="14"/>
          <w:color w:val="auto"/>
        </w:rPr>
      </w:pPr>
    </w:p>
    <w:p>
      <w:pPr>
        <w:ind w:left="1040" w:right="320" w:hanging="517"/>
        <w:spacing w:after="0" w:line="294"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5" w:lineRule="exact"/>
        <w:rPr>
          <w:rFonts w:ascii="Times New Roman" w:cs="Times New Roman" w:eastAsia="Times New Roman" w:hAnsi="Times New Roman"/>
          <w:sz w:val="14"/>
          <w:szCs w:val="14"/>
          <w:color w:val="auto"/>
        </w:rPr>
      </w:pP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for the registrant and have:</w:t>
      </w:r>
    </w:p>
    <w:p>
      <w:pPr>
        <w:spacing w:after="0" w:line="137" w:lineRule="exact"/>
        <w:rPr>
          <w:rFonts w:ascii="Times New Roman" w:cs="Times New Roman" w:eastAsia="Times New Roman" w:hAnsi="Times New Roman"/>
          <w:sz w:val="14"/>
          <w:szCs w:val="14"/>
          <w:color w:val="auto"/>
        </w:rPr>
      </w:pPr>
    </w:p>
    <w:p>
      <w:pPr>
        <w:ind w:left="1560" w:hanging="519"/>
        <w:spacing w:after="0" w:line="275" w:lineRule="auto"/>
        <w:tabs>
          <w:tab w:leader="none" w:pos="155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4"/>
          <w:szCs w:val="14"/>
          <w:color w:val="auto"/>
        </w:rPr>
      </w:pPr>
    </w:p>
    <w:p>
      <w:pPr>
        <w:ind w:left="1560" w:right="400" w:hanging="519"/>
        <w:spacing w:after="0" w:line="294" w:lineRule="auto"/>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4"/>
          <w:szCs w:val="14"/>
          <w:color w:val="auto"/>
        </w:rPr>
      </w:pPr>
    </w:p>
    <w:p>
      <w:pPr>
        <w:ind w:left="1560" w:right="40" w:hanging="519"/>
        <w:spacing w:after="0" w:line="275" w:lineRule="auto"/>
        <w:tabs>
          <w:tab w:leader="none" w:pos="155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1040" w:right="200" w:hanging="517"/>
        <w:spacing w:after="0" w:line="294" w:lineRule="auto"/>
        <w:tabs>
          <w:tab w:leader="none" w:pos="10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Times New Roman" w:cs="Times New Roman" w:eastAsia="Times New Roman" w:hAnsi="Times New Roman"/>
          <w:sz w:val="14"/>
          <w:szCs w:val="14"/>
          <w:color w:val="auto"/>
        </w:rPr>
      </w:pPr>
    </w:p>
    <w:p>
      <w:pPr>
        <w:ind w:left="1560" w:right="20" w:hanging="519"/>
        <w:spacing w:after="0" w:line="294" w:lineRule="auto"/>
        <w:tabs>
          <w:tab w:leader="none" w:pos="155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Times New Roman" w:cs="Times New Roman" w:eastAsia="Times New Roman" w:hAnsi="Times New Roman"/>
          <w:sz w:val="14"/>
          <w:szCs w:val="14"/>
          <w:color w:val="auto"/>
        </w:rPr>
      </w:pPr>
    </w:p>
    <w:p>
      <w:pPr>
        <w:ind w:left="1560" w:hanging="519"/>
        <w:spacing w:after="0"/>
        <w:tabs>
          <w:tab w:leader="none" w:pos="1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420" w:type="dxa"/>
            <w:vAlign w:val="bottom"/>
          </w:tcPr>
          <w:p>
            <w:pPr>
              <w:ind w:left="6720"/>
              <w:spacing w:after="0"/>
              <w:rPr>
                <w:sz w:val="20"/>
                <w:szCs w:val="20"/>
                <w:color w:val="auto"/>
              </w:rPr>
            </w:pPr>
            <w:r>
              <w:rPr>
                <w:rFonts w:ascii="Times New Roman" w:cs="Times New Roman" w:eastAsia="Times New Roman" w:hAnsi="Times New Roman"/>
                <w:sz w:val="14"/>
                <w:szCs w:val="14"/>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Eric S. Yuan</w:t>
            </w:r>
          </w:p>
        </w:tc>
      </w:tr>
      <w:tr>
        <w:trPr>
          <w:trHeight w:val="23"/>
        </w:trPr>
        <w:tc>
          <w:tcPr>
            <w:tcW w:w="74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84"/>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Date: September 12, 2019</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216"/>
        </w:trPr>
        <w:tc>
          <w:tcPr>
            <w:tcW w:w="74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6"/>
        </w:trPr>
        <w:tc>
          <w:tcPr>
            <w:tcW w:w="74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460"/>
          </w:cols>
          <w:pgMar w:left="220" w:top="737" w:right="2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Kelly Steckelberg, certify that:</w:t>
      </w:r>
    </w:p>
    <w:p>
      <w:pPr>
        <w:spacing w:after="0" w:line="152" w:lineRule="exact"/>
        <w:rPr>
          <w:sz w:val="20"/>
          <w:szCs w:val="20"/>
          <w:color w:val="auto"/>
        </w:rPr>
      </w:pPr>
    </w:p>
    <w:p>
      <w:pPr>
        <w:ind w:left="1040" w:hanging="517"/>
        <w:spacing w:after="0"/>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Zoom Video Communications, Inc.;</w:t>
      </w:r>
    </w:p>
    <w:p>
      <w:pPr>
        <w:spacing w:after="0" w:line="162" w:lineRule="exact"/>
        <w:rPr>
          <w:rFonts w:ascii="Times New Roman" w:cs="Times New Roman" w:eastAsia="Times New Roman" w:hAnsi="Times New Roman"/>
          <w:sz w:val="14"/>
          <w:szCs w:val="14"/>
          <w:color w:val="auto"/>
        </w:rPr>
      </w:pPr>
    </w:p>
    <w:p>
      <w:pPr>
        <w:ind w:left="1040" w:right="220" w:hanging="517"/>
        <w:spacing w:after="0" w:line="294"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Times New Roman" w:cs="Times New Roman" w:eastAsia="Times New Roman" w:hAnsi="Times New Roman"/>
          <w:sz w:val="14"/>
          <w:szCs w:val="14"/>
          <w:color w:val="auto"/>
        </w:rPr>
      </w:pPr>
    </w:p>
    <w:p>
      <w:pPr>
        <w:ind w:left="1040" w:right="320" w:hanging="517"/>
        <w:spacing w:after="0" w:line="294"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5" w:lineRule="exact"/>
        <w:rPr>
          <w:rFonts w:ascii="Times New Roman" w:cs="Times New Roman" w:eastAsia="Times New Roman" w:hAnsi="Times New Roman"/>
          <w:sz w:val="14"/>
          <w:szCs w:val="14"/>
          <w:color w:val="auto"/>
        </w:rPr>
      </w:pP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for the registrant and have:</w:t>
      </w:r>
    </w:p>
    <w:p>
      <w:pPr>
        <w:spacing w:after="0" w:line="148" w:lineRule="exact"/>
        <w:rPr>
          <w:rFonts w:ascii="Times New Roman" w:cs="Times New Roman" w:eastAsia="Times New Roman" w:hAnsi="Times New Roman"/>
          <w:sz w:val="14"/>
          <w:szCs w:val="14"/>
          <w:color w:val="auto"/>
        </w:rPr>
      </w:pPr>
    </w:p>
    <w:p>
      <w:pPr>
        <w:ind w:left="1560" w:hanging="519"/>
        <w:spacing w:after="0" w:line="275" w:lineRule="auto"/>
        <w:tabs>
          <w:tab w:leader="none" w:pos="155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ind w:left="1560" w:right="400" w:hanging="519"/>
        <w:spacing w:after="0" w:line="294" w:lineRule="auto"/>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Times New Roman" w:cs="Times New Roman" w:eastAsia="Times New Roman" w:hAnsi="Times New Roman"/>
          <w:sz w:val="14"/>
          <w:szCs w:val="14"/>
          <w:color w:val="auto"/>
        </w:rPr>
      </w:pPr>
    </w:p>
    <w:p>
      <w:pPr>
        <w:ind w:left="1560" w:right="40" w:hanging="519"/>
        <w:spacing w:after="0" w:line="275" w:lineRule="auto"/>
        <w:tabs>
          <w:tab w:leader="none" w:pos="155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4"/>
          <w:szCs w:val="14"/>
          <w:color w:val="auto"/>
        </w:rPr>
      </w:pPr>
    </w:p>
    <w:p>
      <w:pPr>
        <w:ind w:left="1040" w:right="200" w:hanging="517"/>
        <w:spacing w:after="0" w:line="294"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4"/>
          <w:szCs w:val="14"/>
          <w:color w:val="auto"/>
        </w:rPr>
      </w:pPr>
    </w:p>
    <w:p>
      <w:pPr>
        <w:ind w:left="1560" w:right="20" w:hanging="519"/>
        <w:spacing w:after="0" w:line="294" w:lineRule="auto"/>
        <w:tabs>
          <w:tab w:leader="none" w:pos="155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Times New Roman" w:cs="Times New Roman" w:eastAsia="Times New Roman" w:hAnsi="Times New Roman"/>
          <w:sz w:val="14"/>
          <w:szCs w:val="14"/>
          <w:color w:val="auto"/>
        </w:rPr>
      </w:pPr>
    </w:p>
    <w:p>
      <w:pPr>
        <w:ind w:left="1560" w:hanging="519"/>
        <w:spacing w:after="0"/>
        <w:tabs>
          <w:tab w:leader="none" w:pos="15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2" w:lineRule="exact"/>
        <w:rPr>
          <w:sz w:val="20"/>
          <w:szCs w:val="20"/>
          <w:color w:val="auto"/>
        </w:rPr>
      </w:pPr>
    </w:p>
    <w:p>
      <w:pPr>
        <w:ind w:left="6980"/>
        <w:spacing w:after="0"/>
        <w:tabs>
          <w:tab w:leader="none" w:pos="7320" w:val="left"/>
        </w:tabs>
        <w:rPr>
          <w:sz w:val="20"/>
          <w:szCs w:val="20"/>
          <w:color w:val="auto"/>
        </w:rPr>
      </w:pPr>
      <w:r>
        <w:rPr>
          <w:rFonts w:ascii="Times New Roman" w:cs="Times New Roman" w:eastAsia="Times New Roman" w:hAnsi="Times New Roman"/>
          <w:sz w:val="14"/>
          <w:szCs w:val="14"/>
          <w:color w:val="auto"/>
        </w:rPr>
        <w:t>By:</w:t>
        <w:tab/>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4650740</wp:posOffset>
            </wp:positionH>
            <wp:positionV relativeFrom="paragraph">
              <wp:posOffset>30480</wp:posOffset>
            </wp:positionV>
            <wp:extent cx="26003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45" w:lineRule="exact"/>
        <w:rPr>
          <w:sz w:val="20"/>
          <w:szCs w:val="20"/>
          <w:color w:val="auto"/>
        </w:rPr>
      </w:pPr>
    </w:p>
    <w:p>
      <w:pPr>
        <w:ind w:left="7340" w:right="2780" w:hanging="7316"/>
        <w:spacing w:after="0" w:line="319" w:lineRule="auto"/>
        <w:tabs>
          <w:tab w:leader="none" w:pos="7320" w:val="left"/>
        </w:tabs>
        <w:rPr>
          <w:sz w:val="20"/>
          <w:szCs w:val="20"/>
          <w:color w:val="auto"/>
        </w:rPr>
      </w:pPr>
      <w:r>
        <w:rPr>
          <w:rFonts w:ascii="Times New Roman" w:cs="Times New Roman" w:eastAsia="Times New Roman" w:hAnsi="Times New Roman"/>
          <w:sz w:val="14"/>
          <w:szCs w:val="14"/>
          <w:color w:val="auto"/>
        </w:rPr>
        <w:t>Date: September 12, 2019</w:t>
      </w:r>
      <w:r>
        <w:rPr>
          <w:sz w:val="20"/>
          <w:szCs w:val="20"/>
          <w:color w:val="auto"/>
        </w:rPr>
        <w:tab/>
      </w:r>
      <w:r>
        <w:rPr>
          <w:rFonts w:ascii="Times New Roman" w:cs="Times New Roman" w:eastAsia="Times New Roman" w:hAnsi="Times New Roman"/>
          <w:sz w:val="14"/>
          <w:szCs w:val="14"/>
          <w:color w:val="auto"/>
        </w:rPr>
        <w:t>Kelly Steckelberg Chief Financial Officer</w:t>
      </w:r>
    </w:p>
    <w:p>
      <w:pPr>
        <w:spacing w:after="0" w:line="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460"/>
          </w:cols>
          <w:pgMar w:left="220" w:top="877" w:right="2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 OF THE SARBANES-OXLEY ACT OF 2002</w:t>
      </w:r>
    </w:p>
    <w:p>
      <w:pPr>
        <w:spacing w:after="0" w:line="200" w:lineRule="exact"/>
        <w:rPr>
          <w:sz w:val="20"/>
          <w:szCs w:val="20"/>
          <w:color w:val="auto"/>
        </w:rPr>
      </w:pPr>
    </w:p>
    <w:p>
      <w:pPr>
        <w:spacing w:after="0" w:line="28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I, Eric S. Yuan, certify, pursuant to 18 U.S.C. Section 1350, as adopted pursuant to Section 906 of the Sarbanes-Oxley Act of 2002, that the Quarterly Report on Form 10-Q of Zoom Video Communications, Inc. for the fiscal quarter ended July 31, 2019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2" w:lineRule="exact"/>
        <w:rPr>
          <w:sz w:val="20"/>
          <w:szCs w:val="20"/>
          <w:color w:val="auto"/>
        </w:rPr>
      </w:pPr>
    </w:p>
    <w:p>
      <w:pPr>
        <w:ind w:left="20"/>
        <w:spacing w:after="0"/>
        <w:tabs>
          <w:tab w:leader="none" w:pos="6960" w:val="left"/>
        </w:tabs>
        <w:rPr>
          <w:sz w:val="20"/>
          <w:szCs w:val="20"/>
          <w:color w:val="auto"/>
        </w:rPr>
      </w:pPr>
      <w:r>
        <w:rPr>
          <w:rFonts w:ascii="Times New Roman" w:cs="Times New Roman" w:eastAsia="Times New Roman" w:hAnsi="Times New Roman"/>
          <w:sz w:val="14"/>
          <w:szCs w:val="14"/>
          <w:color w:val="auto"/>
        </w:rPr>
        <w:t>Date: September 12, 2019</w:t>
      </w:r>
      <w:r>
        <w:rPr>
          <w:sz w:val="20"/>
          <w:szCs w:val="20"/>
          <w:color w:val="auto"/>
        </w:rPr>
        <w:tab/>
      </w:r>
      <w:r>
        <w:rPr>
          <w:rFonts w:ascii="Times New Roman" w:cs="Times New Roman" w:eastAsia="Times New Roman" w:hAnsi="Times New Roman"/>
          <w:sz w:val="14"/>
          <w:szCs w:val="14"/>
          <w:color w:val="auto"/>
        </w:rPr>
        <w:t>By: /s/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30480</wp:posOffset>
            </wp:positionV>
            <wp:extent cx="26003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4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Eric S. Yuan</w:t>
      </w:r>
    </w:p>
    <w:p>
      <w:pPr>
        <w:spacing w:after="0" w:line="5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5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I, Kelly Steckelberg, certify, pursuant to 18 U.S.C. Section 1350, as adopted pursuant to Section 906 of the Sarbanes-Oxley Act of 2002, that the Quarterly Report on Form 10-Q of Zoom Video Communications, Inc. for the fiscal quarter ended July 31, 2019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72" w:lineRule="exact"/>
        <w:rPr>
          <w:sz w:val="20"/>
          <w:szCs w:val="20"/>
          <w:color w:val="auto"/>
        </w:rPr>
      </w:pPr>
    </w:p>
    <w:p>
      <w:pPr>
        <w:ind w:left="20"/>
        <w:spacing w:after="0"/>
        <w:tabs>
          <w:tab w:leader="none" w:pos="6960" w:val="left"/>
        </w:tabs>
        <w:rPr>
          <w:sz w:val="20"/>
          <w:szCs w:val="20"/>
          <w:color w:val="auto"/>
        </w:rPr>
      </w:pPr>
      <w:r>
        <w:rPr>
          <w:rFonts w:ascii="Times New Roman" w:cs="Times New Roman" w:eastAsia="Times New Roman" w:hAnsi="Times New Roman"/>
          <w:sz w:val="14"/>
          <w:szCs w:val="14"/>
          <w:color w:val="auto"/>
        </w:rPr>
        <w:t>Date: September 12, 2019</w:t>
      </w:r>
      <w:r>
        <w:rPr>
          <w:sz w:val="20"/>
          <w:szCs w:val="20"/>
          <w:color w:val="auto"/>
        </w:rPr>
        <w:tab/>
      </w:r>
      <w:r>
        <w:rPr>
          <w:rFonts w:ascii="Times New Roman" w:cs="Times New Roman" w:eastAsia="Times New Roman" w:hAnsi="Times New Roman"/>
          <w:sz w:val="14"/>
          <w:szCs w:val="14"/>
          <w:color w:val="auto"/>
        </w:rPr>
        <w:t>By: /s/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30480</wp:posOffset>
            </wp:positionV>
            <wp:extent cx="26003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600325" cy="6985"/>
                    </a:xfrm>
                    <a:prstGeom prst="rect">
                      <a:avLst/>
                    </a:prstGeom>
                    <a:noFill/>
                  </pic:spPr>
                </pic:pic>
              </a:graphicData>
            </a:graphic>
          </wp:anchor>
        </w:drawing>
      </w:r>
    </w:p>
    <w:p>
      <w:pPr>
        <w:spacing w:after="0" w:line="4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Kelly Steckelberg</w:t>
      </w:r>
    </w:p>
    <w:p>
      <w:pPr>
        <w:spacing w:after="0" w:line="5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460"/>
      </w:cols>
      <w:pgMar w:left="220" w:top="7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24" Type="http://schemas.openxmlformats.org/officeDocument/2006/relationships/hyperlink" Target="http://www.sec.gov/Archives/edgar/data/1585521/000119312519115111/d736915dex31.htm" TargetMode="External"/><Relationship Id="rId25"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2019-12-28T06:22:38Z</dcterms:created>
  <dcterms:modified xsi:type="dcterms:W3CDTF">2019-12-28T06:22:38Z</dcterms:modified>
</cp:coreProperties>
</file>