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386080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411480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jc w:val="center"/>
        <w:ind w:right="-19"/>
        <w:spacing w:after="0" w:line="233" w:lineRule="auto"/>
        <w:rPr>
          <w:sz w:val="20"/>
          <w:szCs w:val="20"/>
          <w:color w:val="auto"/>
        </w:rPr>
      </w:pPr>
      <w:r>
        <w:rPr>
          <w:rFonts w:ascii="Times New Roman" w:cs="Times New Roman" w:eastAsia="Times New Roman" w:hAnsi="Times New Roman"/>
          <w:sz w:val="20"/>
          <w:szCs w:val="20"/>
          <w:b w:val="1"/>
          <w:bCs w:val="1"/>
          <w:color w:val="auto"/>
        </w:rPr>
        <w:t>Washington, D.C. 20549</w:t>
      </w:r>
    </w:p>
    <w:p>
      <w:pPr>
        <w:ind w:left="322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___________________________________________________________________</w:t>
      </w:r>
    </w:p>
    <w:p>
      <w:pPr>
        <w:spacing w:after="0" w:line="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FORM 10-Q</w:t>
      </w:r>
    </w:p>
    <w:p>
      <w:pPr>
        <w:spacing w:after="0" w:line="27"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___________________________________________________________________</w:t>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40" w:lineRule="exact"/>
        <w:rPr>
          <w:sz w:val="24"/>
          <w:szCs w:val="24"/>
          <w:color w:val="auto"/>
        </w:rPr>
      </w:pPr>
    </w:p>
    <w:p>
      <w:pPr>
        <w:ind w:left="560" w:right="540" w:hanging="534"/>
        <w:spacing w:after="0" w:line="238" w:lineRule="auto"/>
        <w:tabs>
          <w:tab w:leader="none" w:pos="5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October 31, 2020</w:t>
      </w:r>
    </w:p>
    <w:p>
      <w:pPr>
        <w:spacing w:after="0" w:line="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0" w:lineRule="exact"/>
        <w:rPr>
          <w:sz w:val="24"/>
          <w:szCs w:val="24"/>
          <w:color w:val="auto"/>
        </w:rPr>
      </w:pPr>
    </w:p>
    <w:p>
      <w:pPr>
        <w:ind w:left="560" w:right="520" w:hanging="534"/>
        <w:spacing w:after="0" w:line="238" w:lineRule="auto"/>
        <w:tabs>
          <w:tab w:leader="none" w:pos="56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88"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7520" w:type="dxa"/>
            <w:vAlign w:val="bottom"/>
            <w:gridSpan w:val="6"/>
          </w:tcPr>
          <w:p>
            <w:pPr>
              <w:ind w:left="346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3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w:t>
            </w:r>
          </w:p>
        </w:tc>
      </w:tr>
      <w:tr>
        <w:trPr>
          <w:trHeight w:val="245"/>
        </w:trPr>
        <w:tc>
          <w:tcPr>
            <w:tcW w:w="3920" w:type="dxa"/>
            <w:vAlign w:val="bottom"/>
          </w:tcPr>
          <w:p>
            <w:pPr>
              <w:spacing w:after="0"/>
              <w:rPr>
                <w:sz w:val="21"/>
                <w:szCs w:val="21"/>
                <w:color w:val="auto"/>
              </w:rPr>
            </w:pPr>
          </w:p>
        </w:tc>
        <w:tc>
          <w:tcPr>
            <w:tcW w:w="360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Commission File Number 001-38865</w:t>
            </w:r>
          </w:p>
        </w:tc>
        <w:tc>
          <w:tcPr>
            <w:tcW w:w="3680" w:type="dxa"/>
            <w:vAlign w:val="bottom"/>
          </w:tcPr>
          <w:p>
            <w:pPr>
              <w:spacing w:after="0"/>
              <w:rPr>
                <w:sz w:val="21"/>
                <w:szCs w:val="21"/>
                <w:color w:val="auto"/>
              </w:rPr>
            </w:pPr>
          </w:p>
        </w:tc>
      </w:tr>
      <w:tr>
        <w:trPr>
          <w:trHeight w:val="190"/>
        </w:trPr>
        <w:tc>
          <w:tcPr>
            <w:tcW w:w="1120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___________________________________________________________________</w:t>
            </w:r>
          </w:p>
        </w:tc>
      </w:tr>
      <w:tr>
        <w:trPr>
          <w:trHeight w:val="458"/>
        </w:trPr>
        <w:tc>
          <w:tcPr>
            <w:tcW w:w="11200" w:type="dxa"/>
            <w:vAlign w:val="bottom"/>
            <w:gridSpan w:val="7"/>
          </w:tcPr>
          <w:p>
            <w:pPr>
              <w:jc w:val="center"/>
              <w:spacing w:after="0"/>
              <w:rPr>
                <w:sz w:val="20"/>
                <w:szCs w:val="20"/>
                <w:color w:val="auto"/>
              </w:rPr>
            </w:pPr>
            <w:r>
              <w:rPr>
                <w:rFonts w:ascii="Times New Roman" w:cs="Times New Roman" w:eastAsia="Times New Roman" w:hAnsi="Times New Roman"/>
                <w:sz w:val="38"/>
                <w:szCs w:val="38"/>
                <w:b w:val="1"/>
                <w:bCs w:val="1"/>
                <w:color w:val="auto"/>
                <w:w w:val="99"/>
              </w:rPr>
              <w:t>Zoom Video Communications, Inc.</w:t>
            </w:r>
          </w:p>
        </w:tc>
      </w:tr>
      <w:tr>
        <w:trPr>
          <w:trHeight w:val="162"/>
        </w:trPr>
        <w:tc>
          <w:tcPr>
            <w:tcW w:w="3920" w:type="dxa"/>
            <w:vAlign w:val="bottom"/>
          </w:tcPr>
          <w:p>
            <w:pPr>
              <w:spacing w:after="0"/>
              <w:rPr>
                <w:sz w:val="14"/>
                <w:szCs w:val="14"/>
                <w:color w:val="auto"/>
              </w:rPr>
            </w:pPr>
          </w:p>
        </w:tc>
        <w:tc>
          <w:tcPr>
            <w:tcW w:w="360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3680" w:type="dxa"/>
            <w:vAlign w:val="bottom"/>
          </w:tcPr>
          <w:p>
            <w:pPr>
              <w:spacing w:after="0"/>
              <w:rPr>
                <w:sz w:val="14"/>
                <w:szCs w:val="14"/>
                <w:color w:val="auto"/>
              </w:rPr>
            </w:pPr>
          </w:p>
        </w:tc>
      </w:tr>
      <w:tr>
        <w:trPr>
          <w:trHeight w:val="190"/>
        </w:trPr>
        <w:tc>
          <w:tcPr>
            <w:tcW w:w="1120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___________________________________________________________________</w:t>
            </w:r>
          </w:p>
        </w:tc>
      </w:tr>
      <w:tr>
        <w:trPr>
          <w:trHeight w:val="242"/>
        </w:trPr>
        <w:tc>
          <w:tcPr>
            <w:tcW w:w="3920" w:type="dxa"/>
            <w:vAlign w:val="bottom"/>
          </w:tcPr>
          <w:p>
            <w:pPr>
              <w:jc w:val="center"/>
              <w:ind w:left="163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680" w:type="dxa"/>
            <w:vAlign w:val="bottom"/>
          </w:tcPr>
          <w:p>
            <w:pPr>
              <w:jc w:val="center"/>
              <w:ind w:right="1799"/>
              <w:spacing w:after="0"/>
              <w:rPr>
                <w:sz w:val="20"/>
                <w:szCs w:val="20"/>
                <w:color w:val="auto"/>
              </w:rPr>
            </w:pPr>
            <w:r>
              <w:rPr>
                <w:rFonts w:ascii="Times New Roman" w:cs="Times New Roman" w:eastAsia="Times New Roman" w:hAnsi="Times New Roman"/>
                <w:sz w:val="18"/>
                <w:szCs w:val="18"/>
                <w:b w:val="1"/>
                <w:bCs w:val="1"/>
                <w:color w:val="auto"/>
              </w:rPr>
              <w:t>61-1648780</w:t>
            </w:r>
          </w:p>
        </w:tc>
      </w:tr>
      <w:tr>
        <w:trPr>
          <w:trHeight w:val="146"/>
        </w:trPr>
        <w:tc>
          <w:tcPr>
            <w:tcW w:w="3920" w:type="dxa"/>
            <w:vAlign w:val="bottom"/>
          </w:tcPr>
          <w:p>
            <w:pPr>
              <w:jc w:val="center"/>
              <w:ind w:left="1632"/>
              <w:spacing w:after="0" w:line="146"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80" w:type="dxa"/>
            <w:vAlign w:val="bottom"/>
          </w:tcPr>
          <w:p>
            <w:pPr>
              <w:jc w:val="center"/>
              <w:ind w:right="1799"/>
              <w:spacing w:after="0" w:line="146"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920" w:type="dxa"/>
            <w:vAlign w:val="bottom"/>
          </w:tcPr>
          <w:p>
            <w:pPr>
              <w:jc w:val="center"/>
              <w:ind w:left="1632"/>
              <w:spacing w:after="0"/>
              <w:rPr>
                <w:sz w:val="20"/>
                <w:szCs w:val="20"/>
                <w:color w:val="auto"/>
              </w:rPr>
            </w:pPr>
            <w:r>
              <w:rPr>
                <w:rFonts w:ascii="Times New Roman" w:cs="Times New Roman" w:eastAsia="Times New Roman" w:hAnsi="Times New Roman"/>
                <w:sz w:val="14"/>
                <w:szCs w:val="14"/>
                <w:b w:val="1"/>
                <w:bCs w:val="1"/>
                <w:color w:val="auto"/>
              </w:rPr>
              <w:t>of incorporation or organization)</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680" w:type="dxa"/>
            <w:vAlign w:val="bottom"/>
          </w:tcPr>
          <w:p>
            <w:pPr>
              <w:jc w:val="center"/>
              <w:ind w:right="1799"/>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00"/>
        </w:trPr>
        <w:tc>
          <w:tcPr>
            <w:tcW w:w="3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80" w:type="dxa"/>
            <w:vAlign w:val="bottom"/>
            <w:gridSpan w:val="3"/>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55 Almaden Boulevard, 6</w:t>
            </w:r>
            <w:r>
              <w:rPr>
                <w:rFonts w:ascii="Times New Roman" w:cs="Times New Roman" w:eastAsia="Times New Roman" w:hAnsi="Times New Roman"/>
                <w:sz w:val="16"/>
                <w:szCs w:val="16"/>
                <w:b w:val="1"/>
                <w:bCs w:val="1"/>
                <w:color w:val="auto"/>
              </w:rPr>
              <w:t>th</w:t>
            </w:r>
            <w:r>
              <w:rPr>
                <w:rFonts w:ascii="Times New Roman" w:cs="Times New Roman" w:eastAsia="Times New Roman" w:hAnsi="Times New Roman"/>
                <w:sz w:val="18"/>
                <w:szCs w:val="18"/>
                <w:b w:val="1"/>
                <w:bCs w:val="1"/>
                <w:color w:val="auto"/>
              </w:rPr>
              <w:t xml:space="preserve"> Floor</w:t>
            </w:r>
          </w:p>
        </w:tc>
        <w:tc>
          <w:tcPr>
            <w:tcW w:w="3680" w:type="dxa"/>
            <w:vAlign w:val="bottom"/>
          </w:tcPr>
          <w:p>
            <w:pPr>
              <w:spacing w:after="0"/>
              <w:rPr>
                <w:sz w:val="24"/>
                <w:szCs w:val="24"/>
                <w:color w:val="auto"/>
              </w:rPr>
            </w:pPr>
          </w:p>
        </w:tc>
      </w:tr>
      <w:tr>
        <w:trPr>
          <w:trHeight w:val="212"/>
        </w:trPr>
        <w:tc>
          <w:tcPr>
            <w:tcW w:w="3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80" w:type="dxa"/>
            <w:vAlign w:val="bottom"/>
            <w:gridSpan w:val="3"/>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San Jose, California 95113</w:t>
            </w:r>
          </w:p>
        </w:tc>
        <w:tc>
          <w:tcPr>
            <w:tcW w:w="3680" w:type="dxa"/>
            <w:vAlign w:val="bottom"/>
          </w:tcPr>
          <w:p>
            <w:pPr>
              <w:spacing w:after="0"/>
              <w:rPr>
                <w:sz w:val="18"/>
                <w:szCs w:val="18"/>
                <w:color w:val="auto"/>
              </w:rPr>
            </w:pPr>
          </w:p>
        </w:tc>
      </w:tr>
      <w:tr>
        <w:trPr>
          <w:trHeight w:val="192"/>
        </w:trPr>
        <w:tc>
          <w:tcPr>
            <w:tcW w:w="3920" w:type="dxa"/>
            <w:vAlign w:val="bottom"/>
          </w:tcPr>
          <w:p>
            <w:pPr>
              <w:spacing w:after="0"/>
              <w:rPr>
                <w:sz w:val="16"/>
                <w:szCs w:val="16"/>
                <w:color w:val="auto"/>
              </w:rPr>
            </w:pPr>
          </w:p>
        </w:tc>
        <w:tc>
          <w:tcPr>
            <w:tcW w:w="360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i w:val="1"/>
                <w:iCs w:val="1"/>
                <w:color w:val="auto"/>
              </w:rPr>
              <w:t>(Address of principal executive offices and Zip Code)</w:t>
            </w:r>
          </w:p>
        </w:tc>
        <w:tc>
          <w:tcPr>
            <w:tcW w:w="3680" w:type="dxa"/>
            <w:vAlign w:val="bottom"/>
          </w:tcPr>
          <w:p>
            <w:pPr>
              <w:spacing w:after="0"/>
              <w:rPr>
                <w:sz w:val="16"/>
                <w:szCs w:val="16"/>
                <w:color w:val="auto"/>
              </w:rPr>
            </w:pPr>
          </w:p>
        </w:tc>
      </w:tr>
      <w:tr>
        <w:trPr>
          <w:trHeight w:val="280"/>
        </w:trPr>
        <w:tc>
          <w:tcPr>
            <w:tcW w:w="3920" w:type="dxa"/>
            <w:vAlign w:val="bottom"/>
          </w:tcPr>
          <w:p>
            <w:pPr>
              <w:spacing w:after="0"/>
              <w:rPr>
                <w:sz w:val="24"/>
                <w:szCs w:val="24"/>
                <w:color w:val="auto"/>
              </w:rPr>
            </w:pPr>
          </w:p>
        </w:tc>
        <w:tc>
          <w:tcPr>
            <w:tcW w:w="2940" w:type="dxa"/>
            <w:vAlign w:val="bottom"/>
            <w:gridSpan w:val="3"/>
          </w:tcPr>
          <w:p>
            <w:pPr>
              <w:jc w:val="center"/>
              <w:ind w:left="381"/>
              <w:spacing w:after="0"/>
              <w:rPr>
                <w:sz w:val="20"/>
                <w:szCs w:val="20"/>
                <w:color w:val="auto"/>
              </w:rPr>
            </w:pPr>
            <w:r>
              <w:rPr>
                <w:rFonts w:ascii="Times New Roman" w:cs="Times New Roman" w:eastAsia="Times New Roman" w:hAnsi="Times New Roman"/>
                <w:sz w:val="18"/>
                <w:szCs w:val="18"/>
                <w:b w:val="1"/>
                <w:bCs w:val="1"/>
                <w:color w:val="auto"/>
                <w:w w:val="99"/>
              </w:rPr>
              <w:t>(888) 799-9666</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164"/>
        </w:trPr>
        <w:tc>
          <w:tcPr>
            <w:tcW w:w="3920" w:type="dxa"/>
            <w:vAlign w:val="bottom"/>
          </w:tcPr>
          <w:p>
            <w:pPr>
              <w:spacing w:after="0"/>
              <w:rPr>
                <w:sz w:val="14"/>
                <w:szCs w:val="14"/>
                <w:color w:val="auto"/>
              </w:rPr>
            </w:pPr>
          </w:p>
        </w:tc>
        <w:tc>
          <w:tcPr>
            <w:tcW w:w="360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i w:val="1"/>
                <w:iCs w:val="1"/>
                <w:color w:val="auto"/>
              </w:rPr>
              <w:t>(Registrant’s telephone number, including area code)</w:t>
            </w:r>
          </w:p>
        </w:tc>
        <w:tc>
          <w:tcPr>
            <w:tcW w:w="3680" w:type="dxa"/>
            <w:vAlign w:val="bottom"/>
          </w:tcPr>
          <w:p>
            <w:pPr>
              <w:spacing w:after="0"/>
              <w:rPr>
                <w:sz w:val="14"/>
                <w:szCs w:val="14"/>
                <w:color w:val="auto"/>
              </w:rPr>
            </w:pPr>
          </w:p>
        </w:tc>
      </w:tr>
      <w:tr>
        <w:trPr>
          <w:trHeight w:val="190"/>
        </w:trPr>
        <w:tc>
          <w:tcPr>
            <w:tcW w:w="1120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___________________________________________________________________</w:t>
            </w:r>
          </w:p>
        </w:tc>
      </w:tr>
      <w:tr>
        <w:trPr>
          <w:trHeight w:val="247"/>
        </w:trPr>
        <w:tc>
          <w:tcPr>
            <w:tcW w:w="7520" w:type="dxa"/>
            <w:vAlign w:val="bottom"/>
            <w:gridSpan w:val="6"/>
          </w:tcPr>
          <w:p>
            <w:pPr>
              <w:jc w:val="center"/>
              <w:ind w:left="3652"/>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680" w:type="dxa"/>
            <w:vAlign w:val="bottom"/>
          </w:tcPr>
          <w:p>
            <w:pPr>
              <w:spacing w:after="0"/>
              <w:rPr>
                <w:sz w:val="21"/>
                <w:szCs w:val="21"/>
                <w:color w:val="auto"/>
              </w:rPr>
            </w:pPr>
          </w:p>
        </w:tc>
      </w:tr>
      <w:tr>
        <w:trPr>
          <w:trHeight w:val="233"/>
        </w:trPr>
        <w:tc>
          <w:tcPr>
            <w:tcW w:w="3920" w:type="dxa"/>
            <w:vAlign w:val="bottom"/>
          </w:tcPr>
          <w:p>
            <w:pPr>
              <w:jc w:val="center"/>
              <w:ind w:left="232"/>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80" w:type="dxa"/>
            <w:vAlign w:val="bottom"/>
            <w:gridSpan w:val="3"/>
          </w:tcPr>
          <w:p>
            <w:pPr>
              <w:jc w:val="center"/>
              <w:ind w:right="660"/>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3680" w:type="dxa"/>
            <w:vAlign w:val="bottom"/>
          </w:tcPr>
          <w:p>
            <w:pPr>
              <w:jc w:val="center"/>
              <w:ind w:right="479"/>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7"/>
        </w:trPr>
        <w:tc>
          <w:tcPr>
            <w:tcW w:w="3920" w:type="dxa"/>
            <w:vAlign w:val="bottom"/>
            <w:tcBorders>
              <w:top w:val="single" w:sz="8" w:color="auto"/>
            </w:tcBorders>
          </w:tcPr>
          <w:p>
            <w:pPr>
              <w:jc w:val="center"/>
              <w:ind w:left="232"/>
              <w:spacing w:after="0"/>
              <w:rPr>
                <w:sz w:val="20"/>
                <w:szCs w:val="20"/>
                <w:color w:val="auto"/>
              </w:rPr>
            </w:pPr>
            <w:r>
              <w:rPr>
                <w:rFonts w:ascii="Times New Roman" w:cs="Times New Roman" w:eastAsia="Times New Roman" w:hAnsi="Times New Roman"/>
                <w:sz w:val="16"/>
                <w:szCs w:val="16"/>
                <w:color w:val="auto"/>
              </w:rPr>
              <w:t>Class A Common Stock, $0.001 par value per share</w:t>
            </w:r>
          </w:p>
        </w:tc>
        <w:tc>
          <w:tcPr>
            <w:tcW w:w="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ZM</w:t>
            </w:r>
          </w:p>
        </w:tc>
        <w:tc>
          <w:tcPr>
            <w:tcW w:w="10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3680" w:type="dxa"/>
            <w:vAlign w:val="bottom"/>
            <w:tcBorders>
              <w:top w:val="single" w:sz="8" w:color="auto"/>
            </w:tcBorders>
          </w:tcPr>
          <w:p>
            <w:pPr>
              <w:jc w:val="center"/>
              <w:ind w:right="479"/>
              <w:spacing w:after="0"/>
              <w:rPr>
                <w:sz w:val="20"/>
                <w:szCs w:val="20"/>
                <w:color w:val="auto"/>
              </w:rPr>
            </w:pPr>
            <w:r>
              <w:rPr>
                <w:rFonts w:ascii="Times New Roman" w:cs="Times New Roman" w:eastAsia="Times New Roman" w:hAnsi="Times New Roman"/>
                <w:sz w:val="16"/>
                <w:szCs w:val="16"/>
                <w:color w:val="auto"/>
              </w:rPr>
              <w:t>The Nasdaq Global Select Market</w:t>
            </w:r>
          </w:p>
        </w:tc>
      </w:tr>
    </w:tbl>
    <w:p>
      <w:pPr>
        <w:spacing w:after="0" w:line="100" w:lineRule="exact"/>
        <w:rPr>
          <w:sz w:val="24"/>
          <w:szCs w:val="24"/>
          <w:color w:val="auto"/>
        </w:rPr>
      </w:pPr>
    </w:p>
    <w:p>
      <w:pPr>
        <w:jc w:val="both"/>
        <w:ind w:right="20"/>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Exchange Act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 w:lineRule="exact"/>
        <w:rPr>
          <w:sz w:val="24"/>
          <w:szCs w:val="24"/>
          <w:color w:val="auto"/>
        </w:rPr>
      </w:pPr>
    </w:p>
    <w:p>
      <w:pPr>
        <w:jc w:val="both"/>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 w:lineRule="exact"/>
        <w:rPr>
          <w:sz w:val="24"/>
          <w:szCs w:val="24"/>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1"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24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4900" w:type="dxa"/>
            <w:vAlign w:val="bottom"/>
          </w:tcPr>
          <w:p>
            <w:pPr>
              <w:ind w:left="2700"/>
              <w:spacing w:after="0"/>
              <w:rPr>
                <w:sz w:val="20"/>
                <w:szCs w:val="20"/>
                <w:color w:val="auto"/>
              </w:rPr>
            </w:pPr>
            <w:r>
              <w:rPr>
                <w:rFonts w:ascii="Times New Roman" w:cs="Times New Roman" w:eastAsia="Times New Roman" w:hAnsi="Times New Roman"/>
                <w:sz w:val="16"/>
                <w:szCs w:val="16"/>
                <w:color w:val="auto"/>
              </w:rPr>
              <w:t>Accelerated filer</w:t>
            </w:r>
          </w:p>
        </w:tc>
        <w:tc>
          <w:tcPr>
            <w:tcW w:w="560" w:type="dxa"/>
            <w:vAlign w:val="bottom"/>
          </w:tcPr>
          <w:p>
            <w:pPr>
              <w:ind w:left="4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16"/>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24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4900" w:type="dxa"/>
            <w:vAlign w:val="bottom"/>
          </w:tcPr>
          <w:p>
            <w:pPr>
              <w:ind w:left="27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60" w:type="dxa"/>
            <w:vAlign w:val="bottom"/>
          </w:tcPr>
          <w:p>
            <w:pPr>
              <w:ind w:left="4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24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4900" w:type="dxa"/>
            <w:vAlign w:val="bottom"/>
          </w:tcPr>
          <w:p>
            <w:pPr>
              <w:spacing w:after="0"/>
              <w:rPr>
                <w:sz w:val="19"/>
                <w:szCs w:val="19"/>
                <w:color w:val="auto"/>
              </w:rPr>
            </w:pPr>
          </w:p>
        </w:tc>
        <w:tc>
          <w:tcPr>
            <w:tcW w:w="560" w:type="dxa"/>
            <w:vAlign w:val="bottom"/>
          </w:tcPr>
          <w:p>
            <w:pPr>
              <w:spacing w:after="0"/>
              <w:rPr>
                <w:sz w:val="19"/>
                <w:szCs w:val="19"/>
                <w:color w:val="auto"/>
              </w:rPr>
            </w:pPr>
          </w:p>
        </w:tc>
      </w:tr>
    </w:tbl>
    <w:p>
      <w:pPr>
        <w:spacing w:after="0" w:line="90" w:lineRule="exact"/>
        <w:rPr>
          <w:sz w:val="24"/>
          <w:szCs w:val="24"/>
          <w:color w:val="auto"/>
        </w:rPr>
      </w:pPr>
    </w:p>
    <w:p>
      <w:pPr>
        <w:spacing w:after="0" w:line="20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84" w:lineRule="exact"/>
        <w:tabs>
          <w:tab w:leader="none" w:pos="7500" w:val="left"/>
          <w:tab w:leader="none" w:pos="814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38" w:lineRule="exact"/>
        <w:rPr>
          <w:sz w:val="24"/>
          <w:szCs w:val="24"/>
          <w:color w:val="auto"/>
        </w:rPr>
      </w:pPr>
    </w:p>
    <w:p>
      <w:pPr>
        <w:spacing w:after="0" w:line="257" w:lineRule="auto"/>
        <w:rPr>
          <w:sz w:val="20"/>
          <w:szCs w:val="20"/>
          <w:color w:val="auto"/>
        </w:rPr>
      </w:pPr>
      <w:r>
        <w:rPr>
          <w:rFonts w:ascii="Times New Roman" w:cs="Times New Roman" w:eastAsia="Times New Roman" w:hAnsi="Times New Roman"/>
          <w:sz w:val="16"/>
          <w:szCs w:val="16"/>
          <w:color w:val="auto"/>
        </w:rPr>
        <w:t>As of November 20, 2020, the number of shares of the registrant’s Class A common stock outstanding was 198,715,606 and the number of shares of the registrant’s Class B common stock outstanding was 87,291,446.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835660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21590</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46990</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9720" w:type="dxa"/>
            <w:vAlign w:val="bottom"/>
            <w:gridSpan w:val="17"/>
          </w:tcPr>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5"/>
        </w:trPr>
        <w:tc>
          <w:tcPr>
            <w:tcW w:w="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80" w:type="dxa"/>
            <w:vAlign w:val="bottom"/>
            <w:gridSpan w:val="13"/>
          </w:tcPr>
          <w:p>
            <w:pPr>
              <w:jc w:val="center"/>
              <w:ind w:right="2120"/>
              <w:spacing w:after="0"/>
              <w:rPr>
                <w:sz w:val="20"/>
                <w:szCs w:val="20"/>
                <w:color w:val="auto"/>
              </w:rPr>
            </w:pPr>
            <w:r>
              <w:rPr>
                <w:rFonts w:ascii="Times New Roman" w:cs="Times New Roman" w:eastAsia="Times New Roman" w:hAnsi="Times New Roman"/>
                <w:sz w:val="18"/>
                <w:szCs w:val="18"/>
                <w:b w:val="1"/>
                <w:bCs w:val="1"/>
                <w:color w:val="auto"/>
                <w:w w:val="99"/>
              </w:rPr>
              <w:t>Zoom Video Communications, Inc.</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380" w:type="dxa"/>
            <w:vAlign w:val="bottom"/>
            <w:gridSpan w:val="12"/>
          </w:tcPr>
          <w:p>
            <w:pPr>
              <w:jc w:val="center"/>
              <w:ind w:right="2820"/>
              <w:spacing w:after="0"/>
              <w:rPr>
                <w:sz w:val="20"/>
                <w:szCs w:val="20"/>
                <w:color w:val="auto"/>
              </w:rPr>
            </w:pPr>
            <w:r>
              <w:rPr>
                <w:rFonts w:ascii="Times New Roman" w:cs="Times New Roman" w:eastAsia="Times New Roman" w:hAnsi="Times New Roman"/>
                <w:sz w:val="18"/>
                <w:szCs w:val="18"/>
                <w:b w:val="1"/>
                <w:bCs w:val="1"/>
                <w:color w:val="auto"/>
                <w:w w:val="99"/>
              </w:rPr>
              <w:t>Quarterly Report on Form 10-Q</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80" w:type="dxa"/>
            <w:vAlign w:val="bottom"/>
            <w:gridSpan w:val="13"/>
          </w:tcPr>
          <w:p>
            <w:pPr>
              <w:jc w:val="center"/>
              <w:ind w:right="2100"/>
              <w:spacing w:after="0"/>
              <w:rPr>
                <w:sz w:val="20"/>
                <w:szCs w:val="20"/>
                <w:color w:val="auto"/>
              </w:rPr>
            </w:pPr>
            <w:r>
              <w:rPr>
                <w:rFonts w:ascii="Times New Roman" w:cs="Times New Roman" w:eastAsia="Times New Roman" w:hAnsi="Times New Roman"/>
                <w:sz w:val="18"/>
                <w:szCs w:val="18"/>
                <w:b w:val="1"/>
                <w:bCs w:val="1"/>
                <w:color w:val="auto"/>
                <w:w w:val="99"/>
              </w:rPr>
              <w:t>For the Quarterly Period Ended October 31, 2020</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380" w:type="dxa"/>
            <w:vAlign w:val="bottom"/>
            <w:gridSpan w:val="12"/>
          </w:tcPr>
          <w:p>
            <w:pPr>
              <w:jc w:val="center"/>
              <w:ind w:right="28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80" w:type="dxa"/>
            <w:vAlign w:val="bottom"/>
          </w:tcPr>
          <w:p>
            <w:pPr>
              <w:spacing w:after="0"/>
              <w:rPr>
                <w:sz w:val="22"/>
                <w:szCs w:val="22"/>
                <w:color w:val="auto"/>
              </w:rPr>
            </w:pPr>
          </w:p>
        </w:tc>
        <w:tc>
          <w:tcPr>
            <w:tcW w:w="8840" w:type="dxa"/>
            <w:vAlign w:val="bottom"/>
            <w:gridSpan w:val="16"/>
            <w:vMerge w:val="restart"/>
          </w:tcPr>
          <w:p>
            <w:pPr>
              <w:ind w:left="20"/>
              <w:spacing w:after="0"/>
              <w:rPr>
                <w:rFonts w:ascii="Times New Roman" w:cs="Times New Roman" w:eastAsia="Times New Roman" w:hAnsi="Times New Roman"/>
                <w:sz w:val="18"/>
                <w:szCs w:val="18"/>
                <w:u w:val="single" w:color="auto"/>
                <w:color w:val="0000FF"/>
              </w:rPr>
            </w:pPr>
            <w:hyperlink w:anchor="page4">
              <w:r>
                <w:rPr>
                  <w:rFonts w:ascii="Times New Roman" w:cs="Times New Roman" w:eastAsia="Times New Roman" w:hAnsi="Times New Roman"/>
                  <w:sz w:val="18"/>
                  <w:szCs w:val="18"/>
                  <w:u w:val="single" w:color="auto"/>
                  <w:color w:val="0000FF"/>
                </w:rPr>
                <w:t>PART I – Financial Information</w:t>
              </w:r>
            </w:hyperlink>
          </w:p>
        </w:tc>
        <w:tc>
          <w:tcPr>
            <w:tcW w:w="15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228"/>
        </w:trPr>
        <w:tc>
          <w:tcPr>
            <w:tcW w:w="880" w:type="dxa"/>
            <w:vAlign w:val="bottom"/>
          </w:tcPr>
          <w:p>
            <w:pPr>
              <w:spacing w:after="0"/>
              <w:rPr>
                <w:sz w:val="19"/>
                <w:szCs w:val="19"/>
                <w:color w:val="auto"/>
              </w:rPr>
            </w:pPr>
          </w:p>
        </w:tc>
        <w:tc>
          <w:tcPr>
            <w:tcW w:w="8840" w:type="dxa"/>
            <w:vAlign w:val="bottom"/>
            <w:gridSpan w:val="16"/>
            <w:vMerge w:val="continue"/>
          </w:tcPr>
          <w:p>
            <w:pPr>
              <w:spacing w:after="0"/>
              <w:rPr>
                <w:sz w:val="19"/>
                <w:szCs w:val="19"/>
                <w:color w:val="auto"/>
              </w:rPr>
            </w:pPr>
          </w:p>
        </w:tc>
        <w:tc>
          <w:tcPr>
            <w:tcW w:w="1420" w:type="dxa"/>
            <w:vAlign w:val="bottom"/>
            <w:tcBorders>
              <w:top w:val="single" w:sz="8" w:color="auto"/>
            </w:tcBorders>
          </w:tcPr>
          <w:p>
            <w:pPr>
              <w:jc w:val="center"/>
              <w:spacing w:after="0"/>
              <w:rPr>
                <w:rFonts w:ascii="Times New Roman" w:cs="Times New Roman" w:eastAsia="Times New Roman" w:hAnsi="Times New Roman"/>
                <w:sz w:val="18"/>
                <w:szCs w:val="18"/>
                <w:color w:val="auto"/>
              </w:rPr>
            </w:pPr>
            <w:hyperlink w:anchor="page4">
              <w:r>
                <w:rPr>
                  <w:rFonts w:ascii="Times New Roman" w:cs="Times New Roman" w:eastAsia="Times New Roman" w:hAnsi="Times New Roman"/>
                  <w:sz w:val="18"/>
                  <w:szCs w:val="18"/>
                  <w:color w:val="auto"/>
                </w:rPr>
                <w:t>5</w:t>
              </w:r>
            </w:hyperlink>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4"/>
        </w:trPr>
        <w:tc>
          <w:tcPr>
            <w:tcW w:w="880" w:type="dxa"/>
            <w:vAlign w:val="bottom"/>
          </w:tcPr>
          <w:p>
            <w:pPr>
              <w:ind w:left="20"/>
              <w:spacing w:after="0"/>
              <w:rPr>
                <w:rFonts w:ascii="Times New Roman" w:cs="Times New Roman" w:eastAsia="Times New Roman" w:hAnsi="Times New Roman"/>
                <w:sz w:val="18"/>
                <w:szCs w:val="18"/>
                <w:color w:val="auto"/>
              </w:rPr>
            </w:pPr>
            <w:hyperlink w:anchor="page5">
              <w:r>
                <w:rPr>
                  <w:rFonts w:ascii="Times New Roman" w:cs="Times New Roman" w:eastAsia="Times New Roman" w:hAnsi="Times New Roman"/>
                  <w:sz w:val="18"/>
                  <w:szCs w:val="18"/>
                  <w:color w:val="auto"/>
                </w:rPr>
                <w:t>Item 1.</w:t>
              </w:r>
            </w:hyperlink>
          </w:p>
        </w:tc>
        <w:tc>
          <w:tcPr>
            <w:tcW w:w="8840" w:type="dxa"/>
            <w:vAlign w:val="bottom"/>
            <w:gridSpan w:val="16"/>
          </w:tcPr>
          <w:p>
            <w:pPr>
              <w:ind w:left="20"/>
              <w:spacing w:after="0"/>
              <w:rPr>
                <w:rFonts w:ascii="Times New Roman" w:cs="Times New Roman" w:eastAsia="Times New Roman" w:hAnsi="Times New Roman"/>
                <w:sz w:val="18"/>
                <w:szCs w:val="18"/>
                <w:u w:val="single" w:color="auto"/>
                <w:color w:val="0000FF"/>
              </w:rPr>
            </w:pPr>
            <w:hyperlink w:anchor="page5">
              <w:r>
                <w:rPr>
                  <w:rFonts w:ascii="Times New Roman" w:cs="Times New Roman" w:eastAsia="Times New Roman" w:hAnsi="Times New Roman"/>
                  <w:sz w:val="18"/>
                  <w:szCs w:val="18"/>
                  <w:u w:val="single" w:color="auto"/>
                  <w:color w:val="0000FF"/>
                </w:rPr>
                <w:t>Financial Statements (Unaudited)</w:t>
              </w:r>
            </w:hyperlink>
          </w:p>
        </w:tc>
        <w:tc>
          <w:tcPr>
            <w:tcW w:w="1420" w:type="dxa"/>
            <w:vAlign w:val="bottom"/>
          </w:tcPr>
          <w:p>
            <w:pPr>
              <w:jc w:val="center"/>
              <w:spacing w:after="0"/>
              <w:rPr>
                <w:rFonts w:ascii="Times New Roman" w:cs="Times New Roman" w:eastAsia="Times New Roman" w:hAnsi="Times New Roman"/>
                <w:sz w:val="18"/>
                <w:szCs w:val="18"/>
                <w:color w:val="auto"/>
              </w:rPr>
            </w:pPr>
            <w:hyperlink w:anchor="page5">
              <w:r>
                <w:rPr>
                  <w:rFonts w:ascii="Times New Roman" w:cs="Times New Roman" w:eastAsia="Times New Roman" w:hAnsi="Times New Roman"/>
                  <w:sz w:val="18"/>
                  <w:szCs w:val="18"/>
                  <w:color w:val="auto"/>
                </w:rPr>
                <w:t>5</w:t>
              </w:r>
            </w:hyperlink>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8840" w:type="dxa"/>
            <w:vAlign w:val="bottom"/>
            <w:gridSpan w:val="16"/>
          </w:tcPr>
          <w:p>
            <w:pPr>
              <w:ind w:left="20"/>
              <w:spacing w:after="0"/>
              <w:rPr>
                <w:rFonts w:ascii="Times New Roman" w:cs="Times New Roman" w:eastAsia="Times New Roman" w:hAnsi="Times New Roman"/>
                <w:sz w:val="18"/>
                <w:szCs w:val="18"/>
                <w:u w:val="single" w:color="auto"/>
                <w:color w:val="0000FF"/>
              </w:rPr>
            </w:pPr>
            <w:hyperlink w:anchor="page5">
              <w:r>
                <w:rPr>
                  <w:rFonts w:ascii="Times New Roman" w:cs="Times New Roman" w:eastAsia="Times New Roman" w:hAnsi="Times New Roman"/>
                  <w:sz w:val="18"/>
                  <w:szCs w:val="18"/>
                  <w:u w:val="single" w:color="auto"/>
                  <w:color w:val="0000FF"/>
                </w:rPr>
                <w:t>Condensed Consolidated Balance Sheets as of October 31, 2020 and January 31, 2020</w:t>
              </w:r>
            </w:hyperlink>
          </w:p>
        </w:tc>
        <w:tc>
          <w:tcPr>
            <w:tcW w:w="1420" w:type="dxa"/>
            <w:vAlign w:val="bottom"/>
          </w:tcPr>
          <w:p>
            <w:pPr>
              <w:jc w:val="center"/>
              <w:spacing w:after="0"/>
              <w:rPr>
                <w:rFonts w:ascii="Times New Roman" w:cs="Times New Roman" w:eastAsia="Times New Roman" w:hAnsi="Times New Roman"/>
                <w:sz w:val="18"/>
                <w:szCs w:val="18"/>
                <w:color w:val="auto"/>
              </w:rPr>
            </w:pPr>
            <w:hyperlink w:anchor="page5">
              <w:r>
                <w:rPr>
                  <w:rFonts w:ascii="Times New Roman" w:cs="Times New Roman" w:eastAsia="Times New Roman" w:hAnsi="Times New Roman"/>
                  <w:sz w:val="18"/>
                  <w:szCs w:val="18"/>
                  <w:color w:val="auto"/>
                </w:rPr>
                <w:t>5</w:t>
              </w:r>
            </w:hyperlink>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880" w:type="dxa"/>
            <w:vAlign w:val="bottom"/>
          </w:tcPr>
          <w:p>
            <w:pPr>
              <w:spacing w:after="0"/>
              <w:rPr>
                <w:sz w:val="24"/>
                <w:szCs w:val="24"/>
                <w:color w:val="auto"/>
              </w:rPr>
            </w:pPr>
          </w:p>
        </w:tc>
        <w:tc>
          <w:tcPr>
            <w:tcW w:w="8840" w:type="dxa"/>
            <w:vAlign w:val="bottom"/>
            <w:gridSpan w:val="16"/>
          </w:tcPr>
          <w:p>
            <w:pPr>
              <w:ind w:left="20"/>
              <w:spacing w:after="0"/>
              <w:rPr>
                <w:rFonts w:ascii="Times New Roman" w:cs="Times New Roman" w:eastAsia="Times New Roman" w:hAnsi="Times New Roman"/>
                <w:sz w:val="18"/>
                <w:szCs w:val="18"/>
                <w:color w:val="0000FF"/>
              </w:rPr>
            </w:pPr>
            <w:hyperlink w:anchor="page5">
              <w:r>
                <w:rPr>
                  <w:rFonts w:ascii="Times New Roman" w:cs="Times New Roman" w:eastAsia="Times New Roman" w:hAnsi="Times New Roman"/>
                  <w:sz w:val="18"/>
                  <w:szCs w:val="18"/>
                  <w:u w:val="single" w:color="auto"/>
                  <w:color w:val="0000FF"/>
                </w:rPr>
                <w:t>Condensed Consolidated Statements of Operations for the</w:t>
              </w:r>
              <w:r>
                <w:rPr>
                  <w:rFonts w:ascii="Times New Roman" w:cs="Times New Roman" w:eastAsia="Times New Roman" w:hAnsi="Times New Roman"/>
                  <w:sz w:val="18"/>
                  <w:szCs w:val="18"/>
                  <w:color w:val="0000FF"/>
                </w:rPr>
                <w:t xml:space="preserve"> Three and Nine Months Ended </w:t>
              </w:r>
              <w:r>
                <w:rPr>
                  <w:rFonts w:ascii="Times New Roman" w:cs="Times New Roman" w:eastAsia="Times New Roman" w:hAnsi="Times New Roman"/>
                  <w:sz w:val="18"/>
                  <w:szCs w:val="18"/>
                  <w:u w:val="single" w:color="auto"/>
                  <w:color w:val="0000FF"/>
                </w:rPr>
                <w:t>October 31, 2020</w:t>
              </w:r>
              <w:r>
                <w:rPr>
                  <w:rFonts w:ascii="Times New Roman" w:cs="Times New Roman" w:eastAsia="Times New Roman" w:hAnsi="Times New Roman"/>
                  <w:sz w:val="18"/>
                  <w:szCs w:val="18"/>
                  <w:color w:val="0000FF"/>
                </w:rPr>
                <w:t xml:space="preserve"> and 2019</w:t>
              </w:r>
            </w:hyperlink>
          </w:p>
        </w:tc>
        <w:tc>
          <w:tcPr>
            <w:tcW w:w="1420" w:type="dxa"/>
            <w:vAlign w:val="bottom"/>
          </w:tcPr>
          <w:p>
            <w:pPr>
              <w:jc w:val="center"/>
              <w:spacing w:after="0"/>
              <w:rPr>
                <w:rFonts w:ascii="Times New Roman" w:cs="Times New Roman" w:eastAsia="Times New Roman" w:hAnsi="Times New Roman"/>
                <w:sz w:val="18"/>
                <w:szCs w:val="18"/>
                <w:color w:val="auto"/>
              </w:rPr>
            </w:pPr>
            <w:hyperlink w:anchor="page5">
              <w:r>
                <w:rPr>
                  <w:rFonts w:ascii="Times New Roman" w:cs="Times New Roman" w:eastAsia="Times New Roman" w:hAnsi="Times New Roman"/>
                  <w:sz w:val="18"/>
                  <w:szCs w:val="18"/>
                  <w:color w:val="auto"/>
                </w:rPr>
                <w:t>6</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880" w:type="dxa"/>
            <w:vAlign w:val="bottom"/>
          </w:tcPr>
          <w:p>
            <w:pPr>
              <w:spacing w:after="0"/>
              <w:rPr>
                <w:sz w:val="24"/>
                <w:szCs w:val="24"/>
                <w:color w:val="auto"/>
              </w:rPr>
            </w:pPr>
          </w:p>
        </w:tc>
        <w:tc>
          <w:tcPr>
            <w:tcW w:w="8840" w:type="dxa"/>
            <w:vAlign w:val="bottom"/>
            <w:gridSpan w:val="16"/>
          </w:tcPr>
          <w:p>
            <w:pPr>
              <w:ind w:left="20"/>
              <w:spacing w:after="0"/>
              <w:rPr>
                <w:rFonts w:ascii="Times New Roman" w:cs="Times New Roman" w:eastAsia="Times New Roman" w:hAnsi="Times New Roman"/>
                <w:sz w:val="18"/>
                <w:szCs w:val="18"/>
                <w:color w:val="0000FF"/>
              </w:rPr>
            </w:pPr>
            <w:hyperlink w:anchor="page6">
              <w:r>
                <w:rPr>
                  <w:rFonts w:ascii="Times New Roman" w:cs="Times New Roman" w:eastAsia="Times New Roman" w:hAnsi="Times New Roman"/>
                  <w:sz w:val="18"/>
                  <w:szCs w:val="18"/>
                  <w:u w:val="single" w:color="auto"/>
                  <w:color w:val="0000FF"/>
                </w:rPr>
                <w:t>Condensed Consolidated Statements of Comprehensive Income for the</w:t>
              </w:r>
              <w:r>
                <w:rPr>
                  <w:rFonts w:ascii="Times New Roman" w:cs="Times New Roman" w:eastAsia="Times New Roman" w:hAnsi="Times New Roman"/>
                  <w:sz w:val="18"/>
                  <w:szCs w:val="18"/>
                  <w:color w:val="0000FF"/>
                </w:rPr>
                <w:t xml:space="preserve"> Three and Nine Months Ended </w:t>
              </w:r>
              <w:r>
                <w:rPr>
                  <w:rFonts w:ascii="Times New Roman" w:cs="Times New Roman" w:eastAsia="Times New Roman" w:hAnsi="Times New Roman"/>
                  <w:sz w:val="18"/>
                  <w:szCs w:val="18"/>
                  <w:u w:val="single" w:color="auto"/>
                  <w:color w:val="0000FF"/>
                </w:rPr>
                <w:t>October 31, 2020</w:t>
              </w:r>
            </w:hyperlink>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680" w:type="dxa"/>
            <w:vAlign w:val="bottom"/>
            <w:tcBorders>
              <w:bottom w:val="single" w:sz="8" w:color="0000FF"/>
            </w:tcBorders>
          </w:tcPr>
          <w:p>
            <w:pPr>
              <w:ind w:left="20"/>
              <w:spacing w:after="0" w:line="156" w:lineRule="exact"/>
              <w:rPr>
                <w:rFonts w:ascii="Times New Roman" w:cs="Times New Roman" w:eastAsia="Times New Roman" w:hAnsi="Times New Roman"/>
                <w:sz w:val="18"/>
                <w:szCs w:val="18"/>
                <w:color w:val="0000FF"/>
                <w:w w:val="96"/>
              </w:rPr>
            </w:pPr>
            <w:hyperlink w:anchor="page6">
              <w:r>
                <w:rPr>
                  <w:rFonts w:ascii="Times New Roman" w:cs="Times New Roman" w:eastAsia="Times New Roman" w:hAnsi="Times New Roman"/>
                  <w:sz w:val="18"/>
                  <w:szCs w:val="18"/>
                  <w:color w:val="0000FF"/>
                  <w:w w:val="96"/>
                </w:rPr>
                <w:t>and 2019</w:t>
              </w:r>
            </w:hyperlink>
          </w:p>
        </w:tc>
        <w:tc>
          <w:tcPr>
            <w:tcW w:w="4480" w:type="dxa"/>
            <w:vAlign w:val="bottom"/>
            <w:gridSpan w:val="5"/>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1260" w:type="dxa"/>
            <w:vAlign w:val="bottom"/>
            <w:tcBorders>
              <w:top w:val="single" w:sz="8" w:color="0000FF"/>
            </w:tcBorders>
            <w:gridSpan w:val="2"/>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gridSpan w:val="3"/>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tcPr>
          <w:p>
            <w:pPr>
              <w:jc w:val="center"/>
              <w:spacing w:after="0" w:line="156" w:lineRule="exact"/>
              <w:rPr>
                <w:rFonts w:ascii="Times New Roman" w:cs="Times New Roman" w:eastAsia="Times New Roman" w:hAnsi="Times New Roman"/>
                <w:sz w:val="18"/>
                <w:szCs w:val="18"/>
                <w:color w:val="auto"/>
              </w:rPr>
            </w:pPr>
            <w:hyperlink w:anchor="page6">
              <w:r>
                <w:rPr>
                  <w:rFonts w:ascii="Times New Roman" w:cs="Times New Roman" w:eastAsia="Times New Roman" w:hAnsi="Times New Roman"/>
                  <w:sz w:val="18"/>
                  <w:szCs w:val="18"/>
                  <w:color w:val="auto"/>
                </w:rPr>
                <w:t>7</w:t>
              </w:r>
            </w:hyperlink>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6"/>
        </w:trPr>
        <w:tc>
          <w:tcPr>
            <w:tcW w:w="880" w:type="dxa"/>
            <w:vAlign w:val="bottom"/>
          </w:tcPr>
          <w:p>
            <w:pPr>
              <w:spacing w:after="0"/>
              <w:rPr>
                <w:sz w:val="24"/>
                <w:szCs w:val="24"/>
                <w:color w:val="auto"/>
              </w:rPr>
            </w:pPr>
          </w:p>
        </w:tc>
        <w:tc>
          <w:tcPr>
            <w:tcW w:w="8840" w:type="dxa"/>
            <w:vAlign w:val="bottom"/>
            <w:gridSpan w:val="16"/>
          </w:tcPr>
          <w:p>
            <w:pPr>
              <w:ind w:left="20"/>
              <w:spacing w:after="0"/>
              <w:rPr>
                <w:rFonts w:ascii="Times New Roman" w:cs="Times New Roman" w:eastAsia="Times New Roman" w:hAnsi="Times New Roman"/>
                <w:sz w:val="18"/>
                <w:szCs w:val="18"/>
                <w:color w:val="0000FF"/>
              </w:rPr>
            </w:pPr>
            <w:hyperlink w:anchor="page7">
              <w:r>
                <w:rPr>
                  <w:rFonts w:ascii="Times New Roman" w:cs="Times New Roman" w:eastAsia="Times New Roman" w:hAnsi="Times New Roman"/>
                  <w:sz w:val="18"/>
                  <w:szCs w:val="18"/>
                  <w:u w:val="single" w:color="auto"/>
                  <w:color w:val="0000FF"/>
                </w:rPr>
                <w:t>Condensed Consolidated Statements of Convertible Preferred Stock and Stockholders’ Equity (Deficit)</w:t>
              </w:r>
              <w:r>
                <w:rPr>
                  <w:rFonts w:ascii="Times New Roman" w:cs="Times New Roman" w:eastAsia="Times New Roman" w:hAnsi="Times New Roman"/>
                  <w:sz w:val="18"/>
                  <w:szCs w:val="18"/>
                  <w:color w:val="0000FF"/>
                </w:rPr>
                <w:t xml:space="preserve"> for the Three and</w:t>
              </w:r>
            </w:hyperlink>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880" w:type="dxa"/>
            <w:vAlign w:val="bottom"/>
          </w:tcPr>
          <w:p>
            <w:pPr>
              <w:spacing w:after="0"/>
              <w:rPr>
                <w:sz w:val="13"/>
                <w:szCs w:val="13"/>
                <w:color w:val="auto"/>
              </w:rPr>
            </w:pPr>
          </w:p>
        </w:tc>
        <w:tc>
          <w:tcPr>
            <w:tcW w:w="7480" w:type="dxa"/>
            <w:vAlign w:val="bottom"/>
            <w:gridSpan w:val="11"/>
          </w:tcPr>
          <w:p>
            <w:pPr>
              <w:ind w:left="20"/>
              <w:spacing w:after="0" w:line="156" w:lineRule="exact"/>
              <w:rPr>
                <w:rFonts w:ascii="Times New Roman" w:cs="Times New Roman" w:eastAsia="Times New Roman" w:hAnsi="Times New Roman"/>
                <w:sz w:val="18"/>
                <w:szCs w:val="18"/>
                <w:color w:val="0000FF"/>
              </w:rPr>
            </w:pPr>
            <w:hyperlink w:anchor="page7">
              <w:r>
                <w:rPr>
                  <w:rFonts w:ascii="Times New Roman" w:cs="Times New Roman" w:eastAsia="Times New Roman" w:hAnsi="Times New Roman"/>
                  <w:sz w:val="18"/>
                  <w:szCs w:val="18"/>
                  <w:color w:val="0000FF"/>
                </w:rPr>
                <w:t xml:space="preserve">Nine Months Ended </w:t>
              </w:r>
              <w:r>
                <w:rPr>
                  <w:rFonts w:ascii="Times New Roman" w:cs="Times New Roman" w:eastAsia="Times New Roman" w:hAnsi="Times New Roman"/>
                  <w:sz w:val="18"/>
                  <w:szCs w:val="18"/>
                  <w:u w:val="single" w:color="auto"/>
                  <w:color w:val="0000FF"/>
                </w:rPr>
                <w:t>October 31, 2020</w:t>
              </w:r>
              <w:r>
                <w:rPr>
                  <w:rFonts w:ascii="Times New Roman" w:cs="Times New Roman" w:eastAsia="Times New Roman" w:hAnsi="Times New Roman"/>
                  <w:sz w:val="18"/>
                  <w:szCs w:val="18"/>
                  <w:color w:val="0000FF"/>
                </w:rPr>
                <w:t xml:space="preserve"> and 2019</w:t>
              </w:r>
            </w:hyperlink>
          </w:p>
        </w:tc>
        <w:tc>
          <w:tcPr>
            <w:tcW w:w="260" w:type="dxa"/>
            <w:vAlign w:val="bottom"/>
            <w:tcBorders>
              <w:top w:val="single" w:sz="8" w:color="0000FF"/>
            </w:tcBorders>
          </w:tcPr>
          <w:p>
            <w:pPr>
              <w:spacing w:after="0"/>
              <w:rPr>
                <w:sz w:val="13"/>
                <w:szCs w:val="13"/>
                <w:color w:val="auto"/>
              </w:rPr>
            </w:pPr>
          </w:p>
        </w:tc>
        <w:tc>
          <w:tcPr>
            <w:tcW w:w="980" w:type="dxa"/>
            <w:vAlign w:val="bottom"/>
            <w:tcBorders>
              <w:top w:val="single" w:sz="8" w:color="0000FF"/>
            </w:tcBorders>
            <w:gridSpan w:val="3"/>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tcPr>
          <w:p>
            <w:pPr>
              <w:jc w:val="center"/>
              <w:spacing w:after="0" w:line="156" w:lineRule="exact"/>
              <w:rPr>
                <w:rFonts w:ascii="Times New Roman" w:cs="Times New Roman" w:eastAsia="Times New Roman" w:hAnsi="Times New Roman"/>
                <w:sz w:val="18"/>
                <w:szCs w:val="18"/>
                <w:color w:val="auto"/>
              </w:rPr>
            </w:pPr>
            <w:hyperlink w:anchor="page7">
              <w:r>
                <w:rPr>
                  <w:rFonts w:ascii="Times New Roman" w:cs="Times New Roman" w:eastAsia="Times New Roman" w:hAnsi="Times New Roman"/>
                  <w:sz w:val="18"/>
                  <w:szCs w:val="18"/>
                  <w:color w:val="auto"/>
                </w:rPr>
                <w:t>8</w:t>
              </w:r>
            </w:hyperlink>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 w:type="dxa"/>
            <w:vAlign w:val="bottom"/>
          </w:tcPr>
          <w:p>
            <w:pPr>
              <w:spacing w:after="0"/>
              <w:rPr>
                <w:sz w:val="18"/>
                <w:szCs w:val="18"/>
                <w:color w:val="auto"/>
              </w:rPr>
            </w:pPr>
          </w:p>
        </w:tc>
        <w:tc>
          <w:tcPr>
            <w:tcW w:w="8840" w:type="dxa"/>
            <w:vAlign w:val="bottom"/>
            <w:gridSpan w:val="16"/>
          </w:tcPr>
          <w:p>
            <w:pPr>
              <w:ind w:left="20"/>
              <w:spacing w:after="0"/>
              <w:rPr>
                <w:rFonts w:ascii="Times New Roman" w:cs="Times New Roman" w:eastAsia="Times New Roman" w:hAnsi="Times New Roman"/>
                <w:sz w:val="18"/>
                <w:szCs w:val="18"/>
                <w:color w:val="0000FF"/>
              </w:rPr>
            </w:pPr>
            <w:hyperlink w:anchor="page10">
              <w:r>
                <w:rPr>
                  <w:rFonts w:ascii="Times New Roman" w:cs="Times New Roman" w:eastAsia="Times New Roman" w:hAnsi="Times New Roman"/>
                  <w:sz w:val="18"/>
                  <w:szCs w:val="18"/>
                  <w:color w:val="0000FF"/>
                </w:rPr>
                <w:t xml:space="preserve">Condensed Consolidated Statements of Cash Flows for the Nine Months Ended </w:t>
              </w:r>
              <w:r>
                <w:rPr>
                  <w:rFonts w:ascii="Times New Roman" w:cs="Times New Roman" w:eastAsia="Times New Roman" w:hAnsi="Times New Roman"/>
                  <w:sz w:val="18"/>
                  <w:szCs w:val="18"/>
                  <w:u w:val="single" w:color="auto"/>
                  <w:color w:val="0000FF"/>
                </w:rPr>
                <w:t>October 31, 2020</w:t>
              </w:r>
              <w:r>
                <w:rPr>
                  <w:rFonts w:ascii="Times New Roman" w:cs="Times New Roman" w:eastAsia="Times New Roman" w:hAnsi="Times New Roman"/>
                  <w:sz w:val="18"/>
                  <w:szCs w:val="18"/>
                  <w:color w:val="0000FF"/>
                </w:rPr>
                <w:t xml:space="preserve"> and 2019</w:t>
              </w:r>
            </w:hyperlink>
          </w:p>
        </w:tc>
        <w:tc>
          <w:tcPr>
            <w:tcW w:w="1420" w:type="dxa"/>
            <w:vAlign w:val="bottom"/>
          </w:tcPr>
          <w:p>
            <w:pPr>
              <w:jc w:val="center"/>
              <w:spacing w:after="0"/>
              <w:rPr>
                <w:rFonts w:ascii="Times New Roman" w:cs="Times New Roman" w:eastAsia="Times New Roman" w:hAnsi="Times New Roman"/>
                <w:sz w:val="18"/>
                <w:szCs w:val="18"/>
                <w:color w:val="auto"/>
                <w:w w:val="99"/>
              </w:rPr>
            </w:pPr>
            <w:hyperlink w:anchor="page10">
              <w:r>
                <w:rPr>
                  <w:rFonts w:ascii="Times New Roman" w:cs="Times New Roman" w:eastAsia="Times New Roman" w:hAnsi="Times New Roman"/>
                  <w:sz w:val="18"/>
                  <w:szCs w:val="18"/>
                  <w:color w:val="auto"/>
                  <w:w w:val="99"/>
                </w:rPr>
                <w:t>11</w:t>
              </w:r>
            </w:hyperlink>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880" w:type="dxa"/>
            <w:vAlign w:val="bottom"/>
          </w:tcPr>
          <w:p>
            <w:pPr>
              <w:spacing w:after="0"/>
              <w:rPr>
                <w:sz w:val="21"/>
                <w:szCs w:val="21"/>
                <w:color w:val="auto"/>
              </w:rPr>
            </w:pPr>
          </w:p>
        </w:tc>
        <w:tc>
          <w:tcPr>
            <w:tcW w:w="5780" w:type="dxa"/>
            <w:vAlign w:val="bottom"/>
            <w:tcBorders>
              <w:top w:val="single" w:sz="8" w:color="0000FF"/>
            </w:tcBorders>
            <w:gridSpan w:val="7"/>
          </w:tcPr>
          <w:p>
            <w:pPr>
              <w:ind w:left="20"/>
              <w:spacing w:after="0"/>
              <w:rPr>
                <w:rFonts w:ascii="Times New Roman" w:cs="Times New Roman" w:eastAsia="Times New Roman" w:hAnsi="Times New Roman"/>
                <w:sz w:val="18"/>
                <w:szCs w:val="18"/>
                <w:u w:val="single" w:color="auto"/>
                <w:color w:val="0000FF"/>
              </w:rPr>
            </w:pPr>
            <w:hyperlink w:anchor="page12">
              <w:r>
                <w:rPr>
                  <w:rFonts w:ascii="Times New Roman" w:cs="Times New Roman" w:eastAsia="Times New Roman" w:hAnsi="Times New Roman"/>
                  <w:sz w:val="18"/>
                  <w:szCs w:val="18"/>
                  <w:u w:val="single" w:color="auto"/>
                  <w:color w:val="0000FF"/>
                </w:rPr>
                <w:t>Notes to Condensed Consolidated Financial Statements</w:t>
              </w:r>
            </w:hyperlink>
          </w:p>
        </w:tc>
        <w:tc>
          <w:tcPr>
            <w:tcW w:w="1260" w:type="dxa"/>
            <w:vAlign w:val="bottom"/>
            <w:gridSpan w:val="2"/>
          </w:tcPr>
          <w:p>
            <w:pPr>
              <w:spacing w:after="0"/>
              <w:rPr>
                <w:sz w:val="21"/>
                <w:szCs w:val="21"/>
                <w:color w:val="auto"/>
              </w:rPr>
            </w:pPr>
          </w:p>
        </w:tc>
        <w:tc>
          <w:tcPr>
            <w:tcW w:w="700" w:type="dxa"/>
            <w:vAlign w:val="bottom"/>
            <w:tcBorders>
              <w:top w:val="single" w:sz="8" w:color="0000FF"/>
            </w:tcBorders>
            <w:gridSpan w:val="3"/>
          </w:tcPr>
          <w:p>
            <w:pPr>
              <w:spacing w:after="0"/>
              <w:rPr>
                <w:sz w:val="21"/>
                <w:szCs w:val="21"/>
                <w:color w:val="auto"/>
              </w:rPr>
            </w:pPr>
          </w:p>
        </w:tc>
        <w:tc>
          <w:tcPr>
            <w:tcW w:w="1100" w:type="dxa"/>
            <w:vAlign w:val="bottom"/>
            <w:gridSpan w:val="4"/>
          </w:tcPr>
          <w:p>
            <w:pPr>
              <w:spacing w:after="0"/>
              <w:rPr>
                <w:sz w:val="21"/>
                <w:szCs w:val="21"/>
                <w:color w:val="auto"/>
              </w:rPr>
            </w:pPr>
          </w:p>
        </w:tc>
        <w:tc>
          <w:tcPr>
            <w:tcW w:w="1420" w:type="dxa"/>
            <w:vAlign w:val="bottom"/>
          </w:tcPr>
          <w:p>
            <w:pPr>
              <w:jc w:val="center"/>
              <w:spacing w:after="0"/>
              <w:rPr>
                <w:rFonts w:ascii="Times New Roman" w:cs="Times New Roman" w:eastAsia="Times New Roman" w:hAnsi="Times New Roman"/>
                <w:sz w:val="18"/>
                <w:szCs w:val="18"/>
                <w:color w:val="auto"/>
                <w:w w:val="99"/>
              </w:rPr>
            </w:pPr>
            <w:hyperlink w:anchor="page12">
              <w:r>
                <w:rPr>
                  <w:rFonts w:ascii="Times New Roman" w:cs="Times New Roman" w:eastAsia="Times New Roman" w:hAnsi="Times New Roman"/>
                  <w:sz w:val="18"/>
                  <w:szCs w:val="18"/>
                  <w:color w:val="auto"/>
                  <w:w w:val="99"/>
                </w:rPr>
                <w:t>13</w:t>
              </w:r>
            </w:hyperlink>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80" w:type="dxa"/>
            <w:vAlign w:val="bottom"/>
          </w:tcPr>
          <w:p>
            <w:pPr>
              <w:ind w:left="20"/>
              <w:spacing w:after="0"/>
              <w:rPr>
                <w:rFonts w:ascii="Times New Roman" w:cs="Times New Roman" w:eastAsia="Times New Roman" w:hAnsi="Times New Roman"/>
                <w:sz w:val="18"/>
                <w:szCs w:val="18"/>
                <w:color w:val="auto"/>
              </w:rPr>
            </w:pPr>
            <w:hyperlink w:anchor="page27">
              <w:r>
                <w:rPr>
                  <w:rFonts w:ascii="Times New Roman" w:cs="Times New Roman" w:eastAsia="Times New Roman" w:hAnsi="Times New Roman"/>
                  <w:sz w:val="18"/>
                  <w:szCs w:val="18"/>
                  <w:color w:val="auto"/>
                </w:rPr>
                <w:t>Item 2.</w:t>
              </w:r>
            </w:hyperlink>
          </w:p>
        </w:tc>
        <w:tc>
          <w:tcPr>
            <w:tcW w:w="8840" w:type="dxa"/>
            <w:vAlign w:val="bottom"/>
            <w:gridSpan w:val="16"/>
          </w:tcPr>
          <w:p>
            <w:pPr>
              <w:ind w:left="20"/>
              <w:spacing w:after="0"/>
              <w:rPr>
                <w:rFonts w:ascii="Times New Roman" w:cs="Times New Roman" w:eastAsia="Times New Roman" w:hAnsi="Times New Roman"/>
                <w:sz w:val="18"/>
                <w:szCs w:val="18"/>
                <w:u w:val="single" w:color="auto"/>
                <w:color w:val="0000FF"/>
              </w:rPr>
            </w:pPr>
            <w:hyperlink w:anchor="page27">
              <w:r>
                <w:rPr>
                  <w:rFonts w:ascii="Times New Roman" w:cs="Times New Roman" w:eastAsia="Times New Roman" w:hAnsi="Times New Roman"/>
                  <w:sz w:val="18"/>
                  <w:szCs w:val="18"/>
                  <w:u w:val="single" w:color="auto"/>
                  <w:color w:val="0000FF"/>
                </w:rPr>
                <w:t>Management’s Discussion and Analysis of Financial Condition and Results of Operations</w:t>
              </w:r>
            </w:hyperlink>
          </w:p>
        </w:tc>
        <w:tc>
          <w:tcPr>
            <w:tcW w:w="1420" w:type="dxa"/>
            <w:vAlign w:val="bottom"/>
          </w:tcPr>
          <w:p>
            <w:pPr>
              <w:jc w:val="center"/>
              <w:spacing w:after="0"/>
              <w:rPr>
                <w:rFonts w:ascii="Times New Roman" w:cs="Times New Roman" w:eastAsia="Times New Roman" w:hAnsi="Times New Roman"/>
                <w:sz w:val="18"/>
                <w:szCs w:val="18"/>
                <w:color w:val="auto"/>
                <w:w w:val="99"/>
              </w:rPr>
            </w:pPr>
            <w:hyperlink w:anchor="page27">
              <w:r>
                <w:rPr>
                  <w:rFonts w:ascii="Times New Roman" w:cs="Times New Roman" w:eastAsia="Times New Roman" w:hAnsi="Times New Roman"/>
                  <w:sz w:val="18"/>
                  <w:szCs w:val="18"/>
                  <w:color w:val="auto"/>
                  <w:w w:val="99"/>
                </w:rPr>
                <w:t>27</w:t>
              </w:r>
            </w:hyperlink>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80" w:type="dxa"/>
            <w:vAlign w:val="bottom"/>
          </w:tcPr>
          <w:p>
            <w:pPr>
              <w:ind w:left="20"/>
              <w:spacing w:after="0"/>
              <w:rPr>
                <w:rFonts w:ascii="Times New Roman" w:cs="Times New Roman" w:eastAsia="Times New Roman" w:hAnsi="Times New Roman"/>
                <w:sz w:val="18"/>
                <w:szCs w:val="18"/>
                <w:color w:val="auto"/>
              </w:rPr>
            </w:pPr>
            <w:hyperlink w:anchor="page39">
              <w:r>
                <w:rPr>
                  <w:rFonts w:ascii="Times New Roman" w:cs="Times New Roman" w:eastAsia="Times New Roman" w:hAnsi="Times New Roman"/>
                  <w:sz w:val="18"/>
                  <w:szCs w:val="18"/>
                  <w:color w:val="auto"/>
                </w:rPr>
                <w:t>Item 3.</w:t>
              </w:r>
            </w:hyperlink>
          </w:p>
        </w:tc>
        <w:tc>
          <w:tcPr>
            <w:tcW w:w="8840" w:type="dxa"/>
            <w:vAlign w:val="bottom"/>
            <w:gridSpan w:val="16"/>
          </w:tcPr>
          <w:p>
            <w:pPr>
              <w:ind w:left="20"/>
              <w:spacing w:after="0"/>
              <w:rPr>
                <w:rFonts w:ascii="Times New Roman" w:cs="Times New Roman" w:eastAsia="Times New Roman" w:hAnsi="Times New Roman"/>
                <w:sz w:val="18"/>
                <w:szCs w:val="18"/>
                <w:u w:val="single" w:color="auto"/>
                <w:color w:val="0000FF"/>
              </w:rPr>
            </w:pPr>
            <w:hyperlink w:anchor="page39">
              <w:r>
                <w:rPr>
                  <w:rFonts w:ascii="Times New Roman" w:cs="Times New Roman" w:eastAsia="Times New Roman" w:hAnsi="Times New Roman"/>
                  <w:sz w:val="18"/>
                  <w:szCs w:val="18"/>
                  <w:u w:val="single" w:color="auto"/>
                  <w:color w:val="0000FF"/>
                </w:rPr>
                <w:t>Quantitative and Qualitative Disclosures About Market Risk</w:t>
              </w:r>
            </w:hyperlink>
          </w:p>
        </w:tc>
        <w:tc>
          <w:tcPr>
            <w:tcW w:w="1420" w:type="dxa"/>
            <w:vAlign w:val="bottom"/>
          </w:tcPr>
          <w:p>
            <w:pPr>
              <w:jc w:val="center"/>
              <w:spacing w:after="0"/>
              <w:rPr>
                <w:rFonts w:ascii="Times New Roman" w:cs="Times New Roman" w:eastAsia="Times New Roman" w:hAnsi="Times New Roman"/>
                <w:sz w:val="18"/>
                <w:szCs w:val="18"/>
                <w:color w:val="auto"/>
                <w:w w:val="99"/>
              </w:rPr>
            </w:pPr>
            <w:hyperlink w:anchor="page39">
              <w:r>
                <w:rPr>
                  <w:rFonts w:ascii="Times New Roman" w:cs="Times New Roman" w:eastAsia="Times New Roman" w:hAnsi="Times New Roman"/>
                  <w:sz w:val="18"/>
                  <w:szCs w:val="18"/>
                  <w:color w:val="auto"/>
                  <w:w w:val="99"/>
                </w:rPr>
                <w:t>39</w:t>
              </w:r>
            </w:hyperlink>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80" w:type="dxa"/>
            <w:vAlign w:val="bottom"/>
          </w:tcPr>
          <w:p>
            <w:pPr>
              <w:ind w:left="20"/>
              <w:spacing w:after="0"/>
              <w:rPr>
                <w:rFonts w:ascii="Times New Roman" w:cs="Times New Roman" w:eastAsia="Times New Roman" w:hAnsi="Times New Roman"/>
                <w:sz w:val="18"/>
                <w:szCs w:val="18"/>
                <w:color w:val="auto"/>
              </w:rPr>
            </w:pPr>
            <w:hyperlink w:anchor="page39">
              <w:r>
                <w:rPr>
                  <w:rFonts w:ascii="Times New Roman" w:cs="Times New Roman" w:eastAsia="Times New Roman" w:hAnsi="Times New Roman"/>
                  <w:sz w:val="18"/>
                  <w:szCs w:val="18"/>
                  <w:color w:val="auto"/>
                </w:rPr>
                <w:t>Item 4.</w:t>
              </w:r>
            </w:hyperlink>
          </w:p>
        </w:tc>
        <w:tc>
          <w:tcPr>
            <w:tcW w:w="8840" w:type="dxa"/>
            <w:vAlign w:val="bottom"/>
            <w:gridSpan w:val="16"/>
          </w:tcPr>
          <w:p>
            <w:pPr>
              <w:ind w:left="20"/>
              <w:spacing w:after="0"/>
              <w:rPr>
                <w:rFonts w:ascii="Times New Roman" w:cs="Times New Roman" w:eastAsia="Times New Roman" w:hAnsi="Times New Roman"/>
                <w:sz w:val="18"/>
                <w:szCs w:val="18"/>
                <w:u w:val="single" w:color="auto"/>
                <w:color w:val="0000FF"/>
              </w:rPr>
            </w:pPr>
            <w:hyperlink w:anchor="page39">
              <w:r>
                <w:rPr>
                  <w:rFonts w:ascii="Times New Roman" w:cs="Times New Roman" w:eastAsia="Times New Roman" w:hAnsi="Times New Roman"/>
                  <w:sz w:val="18"/>
                  <w:szCs w:val="18"/>
                  <w:u w:val="single" w:color="auto"/>
                  <w:color w:val="0000FF"/>
                </w:rPr>
                <w:t>Controls and Procedures</w:t>
              </w:r>
            </w:hyperlink>
          </w:p>
        </w:tc>
        <w:tc>
          <w:tcPr>
            <w:tcW w:w="1420" w:type="dxa"/>
            <w:vAlign w:val="bottom"/>
          </w:tcPr>
          <w:p>
            <w:pPr>
              <w:jc w:val="center"/>
              <w:spacing w:after="0"/>
              <w:rPr>
                <w:rFonts w:ascii="Times New Roman" w:cs="Times New Roman" w:eastAsia="Times New Roman" w:hAnsi="Times New Roman"/>
                <w:sz w:val="18"/>
                <w:szCs w:val="18"/>
                <w:color w:val="auto"/>
                <w:w w:val="99"/>
              </w:rPr>
            </w:pPr>
            <w:hyperlink w:anchor="page39">
              <w:r>
                <w:rPr>
                  <w:rFonts w:ascii="Times New Roman" w:cs="Times New Roman" w:eastAsia="Times New Roman" w:hAnsi="Times New Roman"/>
                  <w:sz w:val="18"/>
                  <w:szCs w:val="18"/>
                  <w:color w:val="auto"/>
                  <w:w w:val="99"/>
                </w:rPr>
                <w:t>39</w:t>
              </w:r>
            </w:hyperlink>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880" w:type="dxa"/>
            <w:vAlign w:val="bottom"/>
          </w:tcPr>
          <w:p>
            <w:pPr>
              <w:spacing w:after="0"/>
              <w:rPr>
                <w:sz w:val="24"/>
                <w:szCs w:val="24"/>
                <w:color w:val="auto"/>
              </w:rPr>
            </w:pPr>
          </w:p>
        </w:tc>
        <w:tc>
          <w:tcPr>
            <w:tcW w:w="8840" w:type="dxa"/>
            <w:vAlign w:val="bottom"/>
            <w:gridSpan w:val="16"/>
          </w:tcPr>
          <w:p>
            <w:pPr>
              <w:ind w:left="20"/>
              <w:spacing w:after="0"/>
              <w:rPr>
                <w:rFonts w:ascii="Times New Roman" w:cs="Times New Roman" w:eastAsia="Times New Roman" w:hAnsi="Times New Roman"/>
                <w:sz w:val="18"/>
                <w:szCs w:val="18"/>
                <w:u w:val="single" w:color="auto"/>
                <w:color w:val="0000FF"/>
              </w:rPr>
            </w:pPr>
            <w:hyperlink w:anchor="page39">
              <w:r>
                <w:rPr>
                  <w:rFonts w:ascii="Times New Roman" w:cs="Times New Roman" w:eastAsia="Times New Roman" w:hAnsi="Times New Roman"/>
                  <w:sz w:val="18"/>
                  <w:szCs w:val="18"/>
                  <w:u w:val="single" w:color="auto"/>
                  <w:color w:val="0000FF"/>
                </w:rPr>
                <w:t>PART II – Other Information</w:t>
              </w:r>
            </w:hyperlink>
          </w:p>
        </w:tc>
        <w:tc>
          <w:tcPr>
            <w:tcW w:w="1420" w:type="dxa"/>
            <w:vAlign w:val="bottom"/>
          </w:tcPr>
          <w:p>
            <w:pPr>
              <w:jc w:val="center"/>
              <w:spacing w:after="0"/>
              <w:rPr>
                <w:rFonts w:ascii="Times New Roman" w:cs="Times New Roman" w:eastAsia="Times New Roman" w:hAnsi="Times New Roman"/>
                <w:sz w:val="18"/>
                <w:szCs w:val="18"/>
                <w:color w:val="auto"/>
                <w:w w:val="99"/>
              </w:rPr>
            </w:pPr>
            <w:hyperlink w:anchor="page39">
              <w:r>
                <w:rPr>
                  <w:rFonts w:ascii="Times New Roman" w:cs="Times New Roman" w:eastAsia="Times New Roman" w:hAnsi="Times New Roman"/>
                  <w:sz w:val="18"/>
                  <w:szCs w:val="18"/>
                  <w:color w:val="auto"/>
                  <w:w w:val="99"/>
                </w:rPr>
                <w:t>40</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880" w:type="dxa"/>
            <w:vAlign w:val="bottom"/>
          </w:tcPr>
          <w:p>
            <w:pPr>
              <w:ind w:left="20"/>
              <w:spacing w:after="0"/>
              <w:rPr>
                <w:rFonts w:ascii="Times New Roman" w:cs="Times New Roman" w:eastAsia="Times New Roman" w:hAnsi="Times New Roman"/>
                <w:sz w:val="18"/>
                <w:szCs w:val="18"/>
                <w:color w:val="auto"/>
              </w:rPr>
            </w:pPr>
            <w:hyperlink w:anchor="page40">
              <w:r>
                <w:rPr>
                  <w:rFonts w:ascii="Times New Roman" w:cs="Times New Roman" w:eastAsia="Times New Roman" w:hAnsi="Times New Roman"/>
                  <w:sz w:val="18"/>
                  <w:szCs w:val="18"/>
                  <w:color w:val="auto"/>
                </w:rPr>
                <w:t>Item 1.</w:t>
              </w:r>
            </w:hyperlink>
          </w:p>
        </w:tc>
        <w:tc>
          <w:tcPr>
            <w:tcW w:w="8840" w:type="dxa"/>
            <w:vAlign w:val="bottom"/>
            <w:gridSpan w:val="16"/>
          </w:tcPr>
          <w:p>
            <w:pPr>
              <w:ind w:left="20"/>
              <w:spacing w:after="0"/>
              <w:rPr>
                <w:rFonts w:ascii="Times New Roman" w:cs="Times New Roman" w:eastAsia="Times New Roman" w:hAnsi="Times New Roman"/>
                <w:sz w:val="18"/>
                <w:szCs w:val="18"/>
                <w:u w:val="single" w:color="auto"/>
                <w:color w:val="0000FF"/>
              </w:rPr>
            </w:pPr>
            <w:hyperlink w:anchor="page40">
              <w:r>
                <w:rPr>
                  <w:rFonts w:ascii="Times New Roman" w:cs="Times New Roman" w:eastAsia="Times New Roman" w:hAnsi="Times New Roman"/>
                  <w:sz w:val="18"/>
                  <w:szCs w:val="18"/>
                  <w:u w:val="single" w:color="auto"/>
                  <w:color w:val="0000FF"/>
                </w:rPr>
                <w:t>Legal Proceedings</w:t>
              </w:r>
            </w:hyperlink>
          </w:p>
        </w:tc>
        <w:tc>
          <w:tcPr>
            <w:tcW w:w="1420" w:type="dxa"/>
            <w:vAlign w:val="bottom"/>
          </w:tcPr>
          <w:p>
            <w:pPr>
              <w:jc w:val="center"/>
              <w:spacing w:after="0"/>
              <w:rPr>
                <w:rFonts w:ascii="Times New Roman" w:cs="Times New Roman" w:eastAsia="Times New Roman" w:hAnsi="Times New Roman"/>
                <w:sz w:val="18"/>
                <w:szCs w:val="18"/>
                <w:color w:val="auto"/>
                <w:w w:val="99"/>
              </w:rPr>
            </w:pPr>
            <w:hyperlink w:anchor="page40">
              <w:r>
                <w:rPr>
                  <w:rFonts w:ascii="Times New Roman" w:cs="Times New Roman" w:eastAsia="Times New Roman" w:hAnsi="Times New Roman"/>
                  <w:sz w:val="18"/>
                  <w:szCs w:val="18"/>
                  <w:color w:val="auto"/>
                  <w:w w:val="99"/>
                </w:rPr>
                <w:t>40</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80" w:type="dxa"/>
            <w:vAlign w:val="bottom"/>
          </w:tcPr>
          <w:p>
            <w:pPr>
              <w:ind w:left="20"/>
              <w:spacing w:after="0"/>
              <w:rPr>
                <w:rFonts w:ascii="Times New Roman" w:cs="Times New Roman" w:eastAsia="Times New Roman" w:hAnsi="Times New Roman"/>
                <w:sz w:val="18"/>
                <w:szCs w:val="18"/>
                <w:color w:val="auto"/>
              </w:rPr>
            </w:pPr>
            <w:hyperlink w:anchor="page40">
              <w:r>
                <w:rPr>
                  <w:rFonts w:ascii="Times New Roman" w:cs="Times New Roman" w:eastAsia="Times New Roman" w:hAnsi="Times New Roman"/>
                  <w:sz w:val="18"/>
                  <w:szCs w:val="18"/>
                  <w:color w:val="auto"/>
                </w:rPr>
                <w:t>Item 1A</w:t>
              </w:r>
            </w:hyperlink>
          </w:p>
        </w:tc>
        <w:tc>
          <w:tcPr>
            <w:tcW w:w="8840" w:type="dxa"/>
            <w:vAlign w:val="bottom"/>
            <w:gridSpan w:val="16"/>
          </w:tcPr>
          <w:p>
            <w:pPr>
              <w:ind w:left="20"/>
              <w:spacing w:after="0"/>
              <w:rPr>
                <w:rFonts w:ascii="Times New Roman" w:cs="Times New Roman" w:eastAsia="Times New Roman" w:hAnsi="Times New Roman"/>
                <w:sz w:val="18"/>
                <w:szCs w:val="18"/>
                <w:u w:val="single" w:color="auto"/>
                <w:color w:val="0000FF"/>
              </w:rPr>
            </w:pPr>
            <w:hyperlink w:anchor="page40">
              <w:r>
                <w:rPr>
                  <w:rFonts w:ascii="Times New Roman" w:cs="Times New Roman" w:eastAsia="Times New Roman" w:hAnsi="Times New Roman"/>
                  <w:sz w:val="18"/>
                  <w:szCs w:val="18"/>
                  <w:u w:val="single" w:color="auto"/>
                  <w:color w:val="0000FF"/>
                </w:rPr>
                <w:t>Risk Factors</w:t>
              </w:r>
            </w:hyperlink>
          </w:p>
        </w:tc>
        <w:tc>
          <w:tcPr>
            <w:tcW w:w="1420" w:type="dxa"/>
            <w:vAlign w:val="bottom"/>
          </w:tcPr>
          <w:p>
            <w:pPr>
              <w:jc w:val="center"/>
              <w:spacing w:after="0"/>
              <w:rPr>
                <w:rFonts w:ascii="Times New Roman" w:cs="Times New Roman" w:eastAsia="Times New Roman" w:hAnsi="Times New Roman"/>
                <w:sz w:val="18"/>
                <w:szCs w:val="18"/>
                <w:color w:val="auto"/>
                <w:w w:val="99"/>
              </w:rPr>
            </w:pPr>
            <w:hyperlink w:anchor="page40">
              <w:r>
                <w:rPr>
                  <w:rFonts w:ascii="Times New Roman" w:cs="Times New Roman" w:eastAsia="Times New Roman" w:hAnsi="Times New Roman"/>
                  <w:sz w:val="18"/>
                  <w:szCs w:val="18"/>
                  <w:color w:val="auto"/>
                  <w:w w:val="99"/>
                </w:rPr>
                <w:t>41</w:t>
              </w:r>
            </w:hyperlink>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 w:type="dxa"/>
            <w:vAlign w:val="bottom"/>
          </w:tcPr>
          <w:p>
            <w:pPr>
              <w:ind w:left="20"/>
              <w:spacing w:after="0"/>
              <w:rPr>
                <w:rFonts w:ascii="Times New Roman" w:cs="Times New Roman" w:eastAsia="Times New Roman" w:hAnsi="Times New Roman"/>
                <w:sz w:val="18"/>
                <w:szCs w:val="18"/>
                <w:color w:val="auto"/>
              </w:rPr>
            </w:pPr>
            <w:hyperlink w:anchor="page70">
              <w:r>
                <w:rPr>
                  <w:rFonts w:ascii="Times New Roman" w:cs="Times New Roman" w:eastAsia="Times New Roman" w:hAnsi="Times New Roman"/>
                  <w:sz w:val="18"/>
                  <w:szCs w:val="18"/>
                  <w:color w:val="auto"/>
                </w:rPr>
                <w:t>Item 2.</w:t>
              </w:r>
            </w:hyperlink>
          </w:p>
        </w:tc>
        <w:tc>
          <w:tcPr>
            <w:tcW w:w="8840" w:type="dxa"/>
            <w:vAlign w:val="bottom"/>
            <w:gridSpan w:val="16"/>
          </w:tcPr>
          <w:p>
            <w:pPr>
              <w:ind w:left="20"/>
              <w:spacing w:after="0"/>
              <w:rPr>
                <w:rFonts w:ascii="Times New Roman" w:cs="Times New Roman" w:eastAsia="Times New Roman" w:hAnsi="Times New Roman"/>
                <w:sz w:val="18"/>
                <w:szCs w:val="18"/>
                <w:u w:val="single" w:color="auto"/>
                <w:color w:val="0000FF"/>
              </w:rPr>
            </w:pPr>
            <w:hyperlink w:anchor="page70">
              <w:r>
                <w:rPr>
                  <w:rFonts w:ascii="Times New Roman" w:cs="Times New Roman" w:eastAsia="Times New Roman" w:hAnsi="Times New Roman"/>
                  <w:sz w:val="18"/>
                  <w:szCs w:val="18"/>
                  <w:u w:val="single" w:color="auto"/>
                  <w:color w:val="0000FF"/>
                </w:rPr>
                <w:t>Unregistered Sales of Equity Securities and Use of Proceeds</w:t>
              </w:r>
            </w:hyperlink>
          </w:p>
        </w:tc>
        <w:tc>
          <w:tcPr>
            <w:tcW w:w="1420" w:type="dxa"/>
            <w:vAlign w:val="bottom"/>
          </w:tcPr>
          <w:p>
            <w:pPr>
              <w:jc w:val="center"/>
              <w:spacing w:after="0"/>
              <w:rPr>
                <w:rFonts w:ascii="Times New Roman" w:cs="Times New Roman" w:eastAsia="Times New Roman" w:hAnsi="Times New Roman"/>
                <w:sz w:val="18"/>
                <w:szCs w:val="18"/>
                <w:color w:val="auto"/>
                <w:w w:val="99"/>
              </w:rPr>
            </w:pPr>
            <w:hyperlink w:anchor="page70">
              <w:r>
                <w:rPr>
                  <w:rFonts w:ascii="Times New Roman" w:cs="Times New Roman" w:eastAsia="Times New Roman" w:hAnsi="Times New Roman"/>
                  <w:sz w:val="18"/>
                  <w:szCs w:val="18"/>
                  <w:color w:val="auto"/>
                  <w:w w:val="99"/>
                </w:rPr>
                <w:t>70</w:t>
              </w:r>
            </w:hyperlink>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80" w:type="dxa"/>
            <w:vAlign w:val="bottom"/>
          </w:tcPr>
          <w:p>
            <w:pPr>
              <w:ind w:left="20"/>
              <w:spacing w:after="0"/>
              <w:rPr>
                <w:rFonts w:ascii="Times New Roman" w:cs="Times New Roman" w:eastAsia="Times New Roman" w:hAnsi="Times New Roman"/>
                <w:sz w:val="18"/>
                <w:szCs w:val="18"/>
                <w:color w:val="auto"/>
              </w:rPr>
            </w:pPr>
            <w:hyperlink w:anchor="page70">
              <w:r>
                <w:rPr>
                  <w:rFonts w:ascii="Times New Roman" w:cs="Times New Roman" w:eastAsia="Times New Roman" w:hAnsi="Times New Roman"/>
                  <w:sz w:val="18"/>
                  <w:szCs w:val="18"/>
                  <w:color w:val="auto"/>
                </w:rPr>
                <w:t>Item 3.</w:t>
              </w:r>
            </w:hyperlink>
          </w:p>
        </w:tc>
        <w:tc>
          <w:tcPr>
            <w:tcW w:w="8840" w:type="dxa"/>
            <w:vAlign w:val="bottom"/>
            <w:gridSpan w:val="16"/>
          </w:tcPr>
          <w:p>
            <w:pPr>
              <w:ind w:left="20"/>
              <w:spacing w:after="0"/>
              <w:rPr>
                <w:rFonts w:ascii="Times New Roman" w:cs="Times New Roman" w:eastAsia="Times New Roman" w:hAnsi="Times New Roman"/>
                <w:sz w:val="18"/>
                <w:szCs w:val="18"/>
                <w:u w:val="single" w:color="auto"/>
                <w:color w:val="0000FF"/>
              </w:rPr>
            </w:pPr>
            <w:hyperlink w:anchor="page70">
              <w:r>
                <w:rPr>
                  <w:rFonts w:ascii="Times New Roman" w:cs="Times New Roman" w:eastAsia="Times New Roman" w:hAnsi="Times New Roman"/>
                  <w:sz w:val="18"/>
                  <w:szCs w:val="18"/>
                  <w:u w:val="single" w:color="auto"/>
                  <w:color w:val="0000FF"/>
                </w:rPr>
                <w:t>Defaults Upon Senior Securities</w:t>
              </w:r>
            </w:hyperlink>
          </w:p>
        </w:tc>
        <w:tc>
          <w:tcPr>
            <w:tcW w:w="1420" w:type="dxa"/>
            <w:vAlign w:val="bottom"/>
          </w:tcPr>
          <w:p>
            <w:pPr>
              <w:jc w:val="center"/>
              <w:spacing w:after="0"/>
              <w:rPr>
                <w:rFonts w:ascii="Times New Roman" w:cs="Times New Roman" w:eastAsia="Times New Roman" w:hAnsi="Times New Roman"/>
                <w:sz w:val="18"/>
                <w:szCs w:val="18"/>
                <w:color w:val="auto"/>
                <w:w w:val="99"/>
              </w:rPr>
            </w:pPr>
            <w:hyperlink w:anchor="page70">
              <w:r>
                <w:rPr>
                  <w:rFonts w:ascii="Times New Roman" w:cs="Times New Roman" w:eastAsia="Times New Roman" w:hAnsi="Times New Roman"/>
                  <w:sz w:val="18"/>
                  <w:szCs w:val="18"/>
                  <w:color w:val="auto"/>
                  <w:w w:val="99"/>
                </w:rPr>
                <w:t>70</w:t>
              </w:r>
            </w:hyperlink>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 w:type="dxa"/>
            <w:vAlign w:val="bottom"/>
          </w:tcPr>
          <w:p>
            <w:pPr>
              <w:ind w:left="20"/>
              <w:spacing w:after="0"/>
              <w:rPr>
                <w:rFonts w:ascii="Times New Roman" w:cs="Times New Roman" w:eastAsia="Times New Roman" w:hAnsi="Times New Roman"/>
                <w:sz w:val="18"/>
                <w:szCs w:val="18"/>
                <w:color w:val="auto"/>
              </w:rPr>
            </w:pPr>
            <w:hyperlink w:anchor="page70">
              <w:r>
                <w:rPr>
                  <w:rFonts w:ascii="Times New Roman" w:cs="Times New Roman" w:eastAsia="Times New Roman" w:hAnsi="Times New Roman"/>
                  <w:sz w:val="18"/>
                  <w:szCs w:val="18"/>
                  <w:color w:val="auto"/>
                </w:rPr>
                <w:t>Item 4.</w:t>
              </w:r>
            </w:hyperlink>
          </w:p>
        </w:tc>
        <w:tc>
          <w:tcPr>
            <w:tcW w:w="8840" w:type="dxa"/>
            <w:vAlign w:val="bottom"/>
            <w:gridSpan w:val="16"/>
          </w:tcPr>
          <w:p>
            <w:pPr>
              <w:ind w:left="20"/>
              <w:spacing w:after="0"/>
              <w:rPr>
                <w:rFonts w:ascii="Times New Roman" w:cs="Times New Roman" w:eastAsia="Times New Roman" w:hAnsi="Times New Roman"/>
                <w:sz w:val="18"/>
                <w:szCs w:val="18"/>
                <w:u w:val="single" w:color="auto"/>
                <w:color w:val="0000FF"/>
              </w:rPr>
            </w:pPr>
            <w:hyperlink w:anchor="page70">
              <w:r>
                <w:rPr>
                  <w:rFonts w:ascii="Times New Roman" w:cs="Times New Roman" w:eastAsia="Times New Roman" w:hAnsi="Times New Roman"/>
                  <w:sz w:val="18"/>
                  <w:szCs w:val="18"/>
                  <w:u w:val="single" w:color="auto"/>
                  <w:color w:val="0000FF"/>
                </w:rPr>
                <w:t>Mine Safety Disclosures</w:t>
              </w:r>
            </w:hyperlink>
          </w:p>
        </w:tc>
        <w:tc>
          <w:tcPr>
            <w:tcW w:w="1420" w:type="dxa"/>
            <w:vAlign w:val="bottom"/>
          </w:tcPr>
          <w:p>
            <w:pPr>
              <w:jc w:val="center"/>
              <w:spacing w:after="0"/>
              <w:rPr>
                <w:rFonts w:ascii="Times New Roman" w:cs="Times New Roman" w:eastAsia="Times New Roman" w:hAnsi="Times New Roman"/>
                <w:sz w:val="18"/>
                <w:szCs w:val="18"/>
                <w:color w:val="auto"/>
                <w:w w:val="99"/>
              </w:rPr>
            </w:pPr>
            <w:hyperlink w:anchor="page70">
              <w:r>
                <w:rPr>
                  <w:rFonts w:ascii="Times New Roman" w:cs="Times New Roman" w:eastAsia="Times New Roman" w:hAnsi="Times New Roman"/>
                  <w:sz w:val="18"/>
                  <w:szCs w:val="18"/>
                  <w:color w:val="auto"/>
                  <w:w w:val="99"/>
                </w:rPr>
                <w:t>70</w:t>
              </w:r>
            </w:hyperlink>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 w:type="dxa"/>
            <w:vAlign w:val="bottom"/>
          </w:tcPr>
          <w:p>
            <w:pPr>
              <w:ind w:left="20"/>
              <w:spacing w:after="0"/>
              <w:rPr>
                <w:rFonts w:ascii="Times New Roman" w:cs="Times New Roman" w:eastAsia="Times New Roman" w:hAnsi="Times New Roman"/>
                <w:sz w:val="18"/>
                <w:szCs w:val="18"/>
                <w:color w:val="auto"/>
              </w:rPr>
            </w:pPr>
            <w:hyperlink w:anchor="page70">
              <w:r>
                <w:rPr>
                  <w:rFonts w:ascii="Times New Roman" w:cs="Times New Roman" w:eastAsia="Times New Roman" w:hAnsi="Times New Roman"/>
                  <w:sz w:val="18"/>
                  <w:szCs w:val="18"/>
                  <w:color w:val="auto"/>
                </w:rPr>
                <w:t>Item 5.</w:t>
              </w:r>
            </w:hyperlink>
          </w:p>
        </w:tc>
        <w:tc>
          <w:tcPr>
            <w:tcW w:w="8840" w:type="dxa"/>
            <w:vAlign w:val="bottom"/>
            <w:gridSpan w:val="16"/>
          </w:tcPr>
          <w:p>
            <w:pPr>
              <w:ind w:left="20"/>
              <w:spacing w:after="0"/>
              <w:rPr>
                <w:rFonts w:ascii="Times New Roman" w:cs="Times New Roman" w:eastAsia="Times New Roman" w:hAnsi="Times New Roman"/>
                <w:sz w:val="18"/>
                <w:szCs w:val="18"/>
                <w:u w:val="single" w:color="auto"/>
                <w:color w:val="0000FF"/>
              </w:rPr>
            </w:pPr>
            <w:hyperlink w:anchor="page70">
              <w:r>
                <w:rPr>
                  <w:rFonts w:ascii="Times New Roman" w:cs="Times New Roman" w:eastAsia="Times New Roman" w:hAnsi="Times New Roman"/>
                  <w:sz w:val="18"/>
                  <w:szCs w:val="18"/>
                  <w:u w:val="single" w:color="auto"/>
                  <w:color w:val="0000FF"/>
                </w:rPr>
                <w:t>Other Information</w:t>
              </w:r>
            </w:hyperlink>
          </w:p>
        </w:tc>
        <w:tc>
          <w:tcPr>
            <w:tcW w:w="1420" w:type="dxa"/>
            <w:vAlign w:val="bottom"/>
          </w:tcPr>
          <w:p>
            <w:pPr>
              <w:jc w:val="center"/>
              <w:spacing w:after="0"/>
              <w:rPr>
                <w:rFonts w:ascii="Times New Roman" w:cs="Times New Roman" w:eastAsia="Times New Roman" w:hAnsi="Times New Roman"/>
                <w:sz w:val="18"/>
                <w:szCs w:val="18"/>
                <w:color w:val="auto"/>
                <w:w w:val="99"/>
              </w:rPr>
            </w:pPr>
            <w:hyperlink w:anchor="page70">
              <w:r>
                <w:rPr>
                  <w:rFonts w:ascii="Times New Roman" w:cs="Times New Roman" w:eastAsia="Times New Roman" w:hAnsi="Times New Roman"/>
                  <w:sz w:val="18"/>
                  <w:szCs w:val="18"/>
                  <w:color w:val="auto"/>
                  <w:w w:val="99"/>
                </w:rPr>
                <w:t>70</w:t>
              </w:r>
            </w:hyperlink>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 w:type="dxa"/>
            <w:vAlign w:val="bottom"/>
          </w:tcPr>
          <w:p>
            <w:pPr>
              <w:ind w:left="20"/>
              <w:spacing w:after="0"/>
              <w:rPr>
                <w:rFonts w:ascii="Times New Roman" w:cs="Times New Roman" w:eastAsia="Times New Roman" w:hAnsi="Times New Roman"/>
                <w:sz w:val="18"/>
                <w:szCs w:val="18"/>
                <w:color w:val="auto"/>
              </w:rPr>
            </w:pPr>
            <w:hyperlink w:anchor="page70">
              <w:r>
                <w:rPr>
                  <w:rFonts w:ascii="Times New Roman" w:cs="Times New Roman" w:eastAsia="Times New Roman" w:hAnsi="Times New Roman"/>
                  <w:sz w:val="18"/>
                  <w:szCs w:val="18"/>
                  <w:color w:val="auto"/>
                </w:rPr>
                <w:t>Item 6.</w:t>
              </w:r>
            </w:hyperlink>
          </w:p>
        </w:tc>
        <w:tc>
          <w:tcPr>
            <w:tcW w:w="8840" w:type="dxa"/>
            <w:vAlign w:val="bottom"/>
            <w:gridSpan w:val="16"/>
          </w:tcPr>
          <w:p>
            <w:pPr>
              <w:ind w:left="20"/>
              <w:spacing w:after="0"/>
              <w:rPr>
                <w:rFonts w:ascii="Times New Roman" w:cs="Times New Roman" w:eastAsia="Times New Roman" w:hAnsi="Times New Roman"/>
                <w:sz w:val="18"/>
                <w:szCs w:val="18"/>
                <w:u w:val="single" w:color="auto"/>
                <w:color w:val="0000FF"/>
              </w:rPr>
            </w:pPr>
            <w:hyperlink w:anchor="page70">
              <w:r>
                <w:rPr>
                  <w:rFonts w:ascii="Times New Roman" w:cs="Times New Roman" w:eastAsia="Times New Roman" w:hAnsi="Times New Roman"/>
                  <w:sz w:val="18"/>
                  <w:szCs w:val="18"/>
                  <w:u w:val="single" w:color="auto"/>
                  <w:color w:val="0000FF"/>
                </w:rPr>
                <w:t>Exhibits</w:t>
              </w:r>
            </w:hyperlink>
          </w:p>
        </w:tc>
        <w:tc>
          <w:tcPr>
            <w:tcW w:w="1420" w:type="dxa"/>
            <w:vAlign w:val="bottom"/>
          </w:tcPr>
          <w:p>
            <w:pPr>
              <w:jc w:val="center"/>
              <w:spacing w:after="0"/>
              <w:rPr>
                <w:rFonts w:ascii="Times New Roman" w:cs="Times New Roman" w:eastAsia="Times New Roman" w:hAnsi="Times New Roman"/>
                <w:sz w:val="18"/>
                <w:szCs w:val="18"/>
                <w:color w:val="auto"/>
                <w:w w:val="99"/>
              </w:rPr>
            </w:pPr>
            <w:hyperlink w:anchor="page70">
              <w:r>
                <w:rPr>
                  <w:rFonts w:ascii="Times New Roman" w:cs="Times New Roman" w:eastAsia="Times New Roman" w:hAnsi="Times New Roman"/>
                  <w:sz w:val="18"/>
                  <w:szCs w:val="18"/>
                  <w:color w:val="auto"/>
                  <w:w w:val="99"/>
                </w:rPr>
                <w:t>71</w:t>
              </w:r>
            </w:hyperlink>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8840" w:type="dxa"/>
            <w:vAlign w:val="bottom"/>
            <w:gridSpan w:val="16"/>
          </w:tcPr>
          <w:p>
            <w:pPr>
              <w:ind w:left="20"/>
              <w:spacing w:after="0"/>
              <w:rPr>
                <w:rFonts w:ascii="Times New Roman" w:cs="Times New Roman" w:eastAsia="Times New Roman" w:hAnsi="Times New Roman"/>
                <w:sz w:val="18"/>
                <w:szCs w:val="18"/>
                <w:u w:val="single" w:color="auto"/>
                <w:color w:val="0000FF"/>
              </w:rPr>
            </w:pPr>
            <w:hyperlink w:anchor="page71">
              <w:r>
                <w:rPr>
                  <w:rFonts w:ascii="Times New Roman" w:cs="Times New Roman" w:eastAsia="Times New Roman" w:hAnsi="Times New Roman"/>
                  <w:sz w:val="18"/>
                  <w:szCs w:val="18"/>
                  <w:u w:val="single" w:color="auto"/>
                  <w:color w:val="0000FF"/>
                </w:rPr>
                <w:t>Signatures</w:t>
              </w:r>
            </w:hyperlink>
          </w:p>
        </w:tc>
        <w:tc>
          <w:tcPr>
            <w:tcW w:w="1420" w:type="dxa"/>
            <w:vAlign w:val="bottom"/>
          </w:tcPr>
          <w:p>
            <w:pPr>
              <w:jc w:val="center"/>
              <w:spacing w:after="0"/>
              <w:rPr>
                <w:rFonts w:ascii="Times New Roman" w:cs="Times New Roman" w:eastAsia="Times New Roman" w:hAnsi="Times New Roman"/>
                <w:sz w:val="18"/>
                <w:szCs w:val="18"/>
                <w:color w:val="auto"/>
                <w:w w:val="99"/>
              </w:rPr>
            </w:pPr>
            <w:hyperlink w:anchor="page71">
              <w:r>
                <w:rPr>
                  <w:rFonts w:ascii="Times New Roman" w:cs="Times New Roman" w:eastAsia="Times New Roman" w:hAnsi="Times New Roman"/>
                  <w:sz w:val="18"/>
                  <w:szCs w:val="18"/>
                  <w:color w:val="auto"/>
                  <w:w w:val="99"/>
                </w:rPr>
                <w:t>72</w:t>
              </w:r>
            </w:hyperlink>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12"/>
        </w:trPr>
        <w:tc>
          <w:tcPr>
            <w:tcW w:w="880" w:type="dxa"/>
            <w:vAlign w:val="bottom"/>
          </w:tcPr>
          <w:p>
            <w:pPr>
              <w:spacing w:after="0"/>
              <w:rPr>
                <w:sz w:val="24"/>
                <w:szCs w:val="24"/>
                <w:color w:val="auto"/>
              </w:rPr>
            </w:pPr>
          </w:p>
        </w:tc>
        <w:tc>
          <w:tcPr>
            <w:tcW w:w="5160" w:type="dxa"/>
            <w:vAlign w:val="bottom"/>
            <w:gridSpan w:val="6"/>
          </w:tcPr>
          <w:p>
            <w:pPr>
              <w:jc w:val="center"/>
              <w:ind w:left="4230"/>
              <w:spacing w:after="0"/>
              <w:rPr>
                <w:sz w:val="20"/>
                <w:szCs w:val="20"/>
                <w:color w:val="auto"/>
              </w:rPr>
            </w:pPr>
            <w:r>
              <w:rPr>
                <w:rFonts w:ascii="Times New Roman" w:cs="Times New Roman" w:eastAsia="Times New Roman" w:hAnsi="Times New Roman"/>
                <w:sz w:val="18"/>
                <w:szCs w:val="18"/>
                <w:color w:val="auto"/>
                <w:w w:val="88"/>
              </w:rPr>
              <w:t>2</w:t>
            </w: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2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Section 27A of the Securities Act of 1933, as amended (the “Securities Act”), and Section 21E of the Securities Exchange Act of 1934, as amended, which statements involve substantial risks and uncertainties.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Forward-looking statements contained in this Quarterly Report on Form 10-Q include, but are not limited to, statements about: our future financial performance, including our revenue, cost of revenue, gross profit, margins, and operating expenses; market trends; trends in our key business metrics; the sufficiency of our cash and cash equivalents, investments, and cash provided by sales of our products and services to meet our efforts to enhance the security and privacy of our platform; our efforts to enhance the security and privacy of our platform; the potential impacts of the COVID-19 pandemic and related public health measures on our business, the business of our customers, suppliers and channel partners, and the economy; our liquidity needs; our ability to become the ubiquitous platform for communications; our ability to attract new customers and retain existing customers; our ability to successfully expand into our existing markets and into new markets; our ability to effectively manage our growth and future expenses; and the impact of recent accounting pronouncements on our unaudited condensed consolidated financial statements.</w:t>
      </w:r>
    </w:p>
    <w:p>
      <w:pPr>
        <w:spacing w:after="0" w:line="82"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You should not rely 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spacing w:after="0" w:line="8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on information available to us as of the date of this Quarterly Report on Form 10-Q. While we believe that such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7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7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You should read this Quarterly Report on Form 10-Q and the documents that we reference in this Quarterly Report on Form 10-Q and have filed with the Securities and Exchange Commission as exhibits to this Quarterly Report on Form 10-Q with the understanding that our actual future results, levels of activity, performance, and events and circumstances may be materially different from what we expect.</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SELECTED RISKS AFFECTING OUR BUSINESS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Investing in our Class A common stock involves numerous risks, including the risks described in “Part II—Other Information, Item 1A. Risk Factors” of this Quarterly Report on Form 10-Q. Below are some of these risks, any one of which could materially adversely affect our business, financial condition, results of operations, and prospects.</w:t>
      </w:r>
    </w:p>
    <w:p>
      <w:pPr>
        <w:spacing w:after="0" w:line="68" w:lineRule="exact"/>
        <w:rPr>
          <w:sz w:val="20"/>
          <w:szCs w:val="20"/>
          <w:color w:val="auto"/>
        </w:rPr>
      </w:pPr>
    </w:p>
    <w:p>
      <w:pPr>
        <w:ind w:left="660" w:hanging="166"/>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on our ability to attract new customers and hosts, retain and upsell additional products to existing customers, and upgrade free hosts to our paid offerings. Any decline in new customers and hosts, renewals, or upgrades would harm our business.</w:t>
      </w:r>
    </w:p>
    <w:p>
      <w:pPr>
        <w:spacing w:after="0" w:line="53" w:lineRule="exact"/>
        <w:rPr>
          <w:rFonts w:ascii="Times New Roman" w:cs="Times New Roman" w:eastAsia="Times New Roman" w:hAnsi="Times New Roman"/>
          <w:sz w:val="18"/>
          <w:szCs w:val="18"/>
          <w:color w:val="auto"/>
        </w:rPr>
      </w:pPr>
    </w:p>
    <w:p>
      <w:pPr>
        <w:jc w:val="both"/>
        <w:ind w:left="660" w:hanging="166"/>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in the fiscal quarter ended April 30, 2020, we faced unprecedented usage of our video-first communications platform largely due to the COVID-19 pandemic. We expect our user growth rate to slow or decline once the impact of the COVID-19 pandemic tapers, particularly as a vaccine becomes widely available, and users return to work or school or are otherwise no longer subject to shelter-in-place mandates.</w:t>
      </w:r>
    </w:p>
    <w:p>
      <w:pPr>
        <w:spacing w:after="0" w:line="67"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which makes it difficult to evaluate our prospects and future results of operations.</w:t>
      </w:r>
    </w:p>
    <w:p>
      <w:pPr>
        <w:spacing w:after="0" w:line="117" w:lineRule="exact"/>
        <w:rPr>
          <w:rFonts w:ascii="Times New Roman" w:cs="Times New Roman" w:eastAsia="Times New Roman" w:hAnsi="Times New Roman"/>
          <w:sz w:val="18"/>
          <w:szCs w:val="18"/>
          <w:color w:val="auto"/>
        </w:rPr>
      </w:pPr>
    </w:p>
    <w:p>
      <w:pPr>
        <w:ind w:left="660" w:hanging="166"/>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delays, or outages in service from our co-located data centers and a variety of other factors, including increased usage stemming from the COVID-19 pandemic, would impair the delivery of our services, require us to issue credits or pay penalties, and harm our business.</w:t>
      </w:r>
    </w:p>
    <w:p>
      <w:pPr>
        <w:spacing w:after="0" w:line="5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competitive markets, and we must continue to compete effectively.</w:t>
      </w:r>
    </w:p>
    <w:p>
      <w:pPr>
        <w:spacing w:after="0" w:line="117"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sustain our revenue growth rate in the future, and we expect our revenue growth rate to generally decline in future periods.</w:t>
      </w:r>
    </w:p>
    <w:p>
      <w:pPr>
        <w:spacing w:after="0" w:line="117" w:lineRule="exact"/>
        <w:rPr>
          <w:rFonts w:ascii="Times New Roman" w:cs="Times New Roman" w:eastAsia="Times New Roman" w:hAnsi="Times New Roman"/>
          <w:sz w:val="18"/>
          <w:szCs w:val="18"/>
          <w:color w:val="auto"/>
        </w:rPr>
      </w:pPr>
    </w:p>
    <w:p>
      <w:pPr>
        <w:ind w:left="660" w:hanging="166"/>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Failures in internet infrastructure or interference with broadband access could cause current or potential users to believe that our systems are unreliable, possibly leading our customers and hosts to switch to our competitors, or to cancel their subscriptions to our platform.</w:t>
      </w:r>
    </w:p>
    <w:p>
      <w:pPr>
        <w:spacing w:after="0" w:line="5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we increase sales to large organizations, our sales cycles could lengthen, and we could experience greater deployment challenges.</w:t>
      </w:r>
    </w:p>
    <w:p>
      <w:pPr>
        <w:spacing w:after="0" w:line="117" w:lineRule="exact"/>
        <w:rPr>
          <w:rFonts w:ascii="Times New Roman" w:cs="Times New Roman" w:eastAsia="Times New Roman" w:hAnsi="Times New Roman"/>
          <w:sz w:val="18"/>
          <w:szCs w:val="18"/>
          <w:color w:val="auto"/>
        </w:rPr>
      </w:pPr>
    </w:p>
    <w:p>
      <w:pPr>
        <w:ind w:left="660" w:hanging="166"/>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generate revenue from sales of subscriptions to our platform, and any decline in demand for our platform or for communications and collaboration technologies in general would harm our business.</w:t>
      </w:r>
    </w:p>
    <w:p>
      <w:pPr>
        <w:spacing w:after="0" w:line="53" w:lineRule="exact"/>
        <w:rPr>
          <w:rFonts w:ascii="Times New Roman" w:cs="Times New Roman" w:eastAsia="Times New Roman" w:hAnsi="Times New Roman"/>
          <w:sz w:val="18"/>
          <w:szCs w:val="18"/>
          <w:color w:val="auto"/>
        </w:rPr>
      </w:pPr>
    </w:p>
    <w:p>
      <w:pPr>
        <w:jc w:val="both"/>
        <w:ind w:left="660" w:hanging="166"/>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experience of our users depends upon the interoperability of our platform across devices, operating systems, and third-party applications that we do not control, and if we are not able to maintain and expand our relationships with third parties to integrate our platform with their solutions, our business may be harmed.</w:t>
      </w:r>
    </w:p>
    <w:p>
      <w:pPr>
        <w:spacing w:after="0" w:line="67"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respond to rapid technological changes, extend our platform or develop new features.</w:t>
      </w:r>
    </w:p>
    <w:p>
      <w:pPr>
        <w:spacing w:after="0" w:line="117" w:lineRule="exact"/>
        <w:rPr>
          <w:rFonts w:ascii="Times New Roman" w:cs="Times New Roman" w:eastAsia="Times New Roman" w:hAnsi="Times New Roman"/>
          <w:sz w:val="18"/>
          <w:szCs w:val="18"/>
          <w:color w:val="auto"/>
        </w:rPr>
      </w:pPr>
    </w:p>
    <w:p>
      <w:pPr>
        <w:jc w:val="both"/>
        <w:ind w:left="660" w:hanging="166"/>
        <w:spacing w:after="0" w:line="26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security measures have been compromised in the past and may be compromised in the future. If our security measures are compromised in the future or if our information technology fails, this could harm our reputation, expose us to significant fines and liability, impair our sales, and harm our business. In addition, our products and services may be perceived as not being secure. This perception may result in customers and hosts curtailing or ceasing their use of our products, our incurring significant liabilities, and our business being harmed.</w:t>
      </w:r>
    </w:p>
    <w:p>
      <w:pPr>
        <w:spacing w:after="0" w:line="71" w:lineRule="exact"/>
        <w:rPr>
          <w:rFonts w:ascii="Times New Roman" w:cs="Times New Roman" w:eastAsia="Times New Roman" w:hAnsi="Times New Roman"/>
          <w:sz w:val="18"/>
          <w:szCs w:val="18"/>
          <w:color w:val="auto"/>
        </w:rPr>
      </w:pPr>
    </w:p>
    <w:p>
      <w:pPr>
        <w:jc w:val="both"/>
        <w:ind w:left="660" w:hanging="166"/>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actual or perceived failure by us, our customers, partners, or vendors to comply with stringent and evolving privacy, data protection, and information security laws, regulations, standards, policies, and contractual obligations could harm our reputation and business or subject us to significant fines and liability.</w:t>
      </w:r>
    </w:p>
    <w:p>
      <w:pPr>
        <w:spacing w:after="0" w:line="67" w:lineRule="exact"/>
        <w:rPr>
          <w:rFonts w:ascii="Times New Roman" w:cs="Times New Roman" w:eastAsia="Times New Roman" w:hAnsi="Times New Roman"/>
          <w:sz w:val="18"/>
          <w:szCs w:val="18"/>
          <w:color w:val="auto"/>
        </w:rPr>
      </w:pPr>
    </w:p>
    <w:p>
      <w:pPr>
        <w:ind w:left="660" w:hanging="166"/>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continuing to expand our operations outside the United States, where we may be subject to increased business and economic risks that could harm our business.</w:t>
      </w:r>
    </w:p>
    <w:p>
      <w:pPr>
        <w:spacing w:after="0" w:line="53" w:lineRule="exact"/>
        <w:rPr>
          <w:rFonts w:ascii="Times New Roman" w:cs="Times New Roman" w:eastAsia="Times New Roman" w:hAnsi="Times New Roman"/>
          <w:sz w:val="18"/>
          <w:szCs w:val="18"/>
          <w:color w:val="auto"/>
        </w:rPr>
      </w:pPr>
    </w:p>
    <w:p>
      <w:pPr>
        <w:jc w:val="both"/>
        <w:ind w:left="660" w:hanging="166"/>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or assist law enforcement with enforcement of, a variety of U.S. and international laws that could result in claims, increase the cost of operations, or otherwise harm our business due to changes in the laws, changes in the interpretations of the laws, greater enforcement of the laws, or investigations into compliance with the laws.</w:t>
      </w:r>
    </w:p>
    <w:p>
      <w:pPr>
        <w:spacing w:after="0" w:line="67" w:lineRule="exact"/>
        <w:rPr>
          <w:rFonts w:ascii="Times New Roman" w:cs="Times New Roman" w:eastAsia="Times New Roman" w:hAnsi="Times New Roman"/>
          <w:sz w:val="18"/>
          <w:szCs w:val="18"/>
          <w:color w:val="auto"/>
        </w:rPr>
      </w:pPr>
    </w:p>
    <w:p>
      <w:pPr>
        <w:jc w:val="both"/>
        <w:ind w:left="660" w:hanging="166"/>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Zoom Phone is subject to U.S. federal and international regulation, and other products we may introduce in the future may also be subject to U.S. federal, state, or international laws, rules, and regulations. Any failure to comply with such laws, rules, and regulations could harm our business and expose us to liability.</w:t>
      </w:r>
    </w:p>
    <w:p>
      <w:pPr>
        <w:spacing w:after="0" w:line="67" w:lineRule="exact"/>
        <w:rPr>
          <w:rFonts w:ascii="Times New Roman" w:cs="Times New Roman" w:eastAsia="Times New Roman" w:hAnsi="Times New Roman"/>
          <w:sz w:val="18"/>
          <w:szCs w:val="18"/>
          <w:color w:val="auto"/>
        </w:rPr>
      </w:pPr>
    </w:p>
    <w:p>
      <w:pPr>
        <w:jc w:val="both"/>
        <w:ind w:left="660" w:hanging="166"/>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dual class structure of our common stock as contained in our amended and restated certificate of incorporation has the effect of concentrating voting control with those stockholders who held our stock prior to this offering, including our executive officers, employees, and directors and their affiliates, limiting your ability to influence corporate matters.</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If we are unable to adequately address these and other risks we face, our business may be harmed.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18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1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ZOOM VIDEO COMMUNICATIONS,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7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60" w:type="dxa"/>
            <w:vAlign w:val="bottom"/>
            <w:gridSpan w:val="2"/>
          </w:tcPr>
          <w:p>
            <w:pPr>
              <w:ind w:left="180"/>
              <w:spacing w:after="0" w:line="134" w:lineRule="exact"/>
              <w:rPr>
                <w:sz w:val="20"/>
                <w:szCs w:val="20"/>
                <w:color w:val="auto"/>
              </w:rPr>
            </w:pPr>
            <w:r>
              <w:rPr>
                <w:rFonts w:ascii="Times New Roman" w:cs="Times New Roman" w:eastAsia="Times New Roman" w:hAnsi="Times New Roman"/>
                <w:sz w:val="14"/>
                <w:szCs w:val="14"/>
                <w:b w:val="1"/>
                <w:bCs w:val="1"/>
                <w:color w:val="auto"/>
              </w:rPr>
              <w:t>October 31,</w:t>
            </w:r>
          </w:p>
        </w:tc>
        <w:tc>
          <w:tcPr>
            <w:tcW w:w="280" w:type="dxa"/>
            <w:vAlign w:val="bottom"/>
          </w:tcPr>
          <w:p>
            <w:pPr>
              <w:spacing w:after="0"/>
              <w:rPr>
                <w:sz w:val="11"/>
                <w:szCs w:val="11"/>
                <w:color w:val="auto"/>
              </w:rPr>
            </w:pPr>
          </w:p>
        </w:tc>
        <w:tc>
          <w:tcPr>
            <w:tcW w:w="1360" w:type="dxa"/>
            <w:vAlign w:val="bottom"/>
          </w:tcPr>
          <w:p>
            <w:pPr>
              <w:jc w:val="right"/>
              <w:ind w:right="380"/>
              <w:spacing w:after="0" w:line="134" w:lineRule="exact"/>
              <w:rPr>
                <w:sz w:val="20"/>
                <w:szCs w:val="20"/>
                <w:color w:val="auto"/>
              </w:rPr>
            </w:pPr>
            <w:r>
              <w:rPr>
                <w:rFonts w:ascii="Times New Roman" w:cs="Times New Roman" w:eastAsia="Times New Roman" w:hAnsi="Times New Roman"/>
                <w:sz w:val="14"/>
                <w:szCs w:val="14"/>
                <w:b w:val="1"/>
                <w:bCs w:val="1"/>
                <w:color w:val="auto"/>
              </w:rPr>
              <w:t>January 31,</w:t>
            </w:r>
          </w:p>
        </w:tc>
        <w:tc>
          <w:tcPr>
            <w:tcW w:w="0" w:type="dxa"/>
            <w:vAlign w:val="bottom"/>
          </w:tcPr>
          <w:p>
            <w:pPr>
              <w:spacing w:after="0"/>
              <w:rPr>
                <w:sz w:val="1"/>
                <w:szCs w:val="1"/>
                <w:color w:val="auto"/>
              </w:rPr>
            </w:pPr>
          </w:p>
        </w:tc>
      </w:tr>
      <w:tr>
        <w:trPr>
          <w:trHeight w:val="189"/>
        </w:trPr>
        <w:tc>
          <w:tcPr>
            <w:tcW w:w="78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196"/>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730,506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283,134</w:t>
            </w:r>
          </w:p>
        </w:tc>
        <w:tc>
          <w:tcPr>
            <w:tcW w:w="0" w:type="dxa"/>
            <w:vAlign w:val="bottom"/>
          </w:tcPr>
          <w:p>
            <w:pPr>
              <w:spacing w:after="0"/>
              <w:rPr>
                <w:sz w:val="1"/>
                <w:szCs w:val="1"/>
                <w:color w:val="auto"/>
              </w:rPr>
            </w:pPr>
          </w:p>
        </w:tc>
      </w:tr>
      <w:tr>
        <w:trPr>
          <w:trHeight w:val="213"/>
        </w:trPr>
        <w:tc>
          <w:tcPr>
            <w:tcW w:w="78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Marketable securities</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1,141,425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572,060</w:t>
            </w:r>
          </w:p>
        </w:tc>
        <w:tc>
          <w:tcPr>
            <w:tcW w:w="0" w:type="dxa"/>
            <w:vAlign w:val="bottom"/>
          </w:tcPr>
          <w:p>
            <w:pPr>
              <w:spacing w:after="0"/>
              <w:rPr>
                <w:sz w:val="1"/>
                <w:szCs w:val="1"/>
                <w:color w:val="auto"/>
              </w:rPr>
            </w:pPr>
          </w:p>
        </w:tc>
      </w:tr>
      <w:tr>
        <w:trPr>
          <w:trHeight w:val="165"/>
        </w:trPr>
        <w:tc>
          <w:tcPr>
            <w:tcW w:w="7800" w:type="dxa"/>
            <w:vAlign w:val="bottom"/>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Accounts receivable, net of allowances of $27,689 and $7,634 as of October 31, 2020 and January 31, 2020,</w:t>
            </w:r>
          </w:p>
        </w:tc>
        <w:tc>
          <w:tcPr>
            <w:tcW w:w="28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280,896</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120,435</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respectively</w:t>
            </w:r>
          </w:p>
        </w:tc>
        <w:tc>
          <w:tcPr>
            <w:tcW w:w="28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8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Deferred contract acquisition costs, current</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126,001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44,885</w:t>
            </w:r>
          </w:p>
        </w:tc>
        <w:tc>
          <w:tcPr>
            <w:tcW w:w="0" w:type="dxa"/>
            <w:vAlign w:val="bottom"/>
          </w:tcPr>
          <w:p>
            <w:pPr>
              <w:spacing w:after="0"/>
              <w:rPr>
                <w:sz w:val="1"/>
                <w:szCs w:val="1"/>
                <w:color w:val="auto"/>
              </w:rPr>
            </w:pPr>
          </w:p>
        </w:tc>
      </w:tr>
      <w:tr>
        <w:trPr>
          <w:trHeight w:val="219"/>
        </w:trPr>
        <w:tc>
          <w:tcPr>
            <w:tcW w:w="7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345,448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75,008</w:t>
            </w:r>
          </w:p>
        </w:tc>
        <w:tc>
          <w:tcPr>
            <w:tcW w:w="0" w:type="dxa"/>
            <w:vAlign w:val="bottom"/>
          </w:tcPr>
          <w:p>
            <w:pPr>
              <w:spacing w:after="0"/>
              <w:rPr>
                <w:sz w:val="1"/>
                <w:szCs w:val="1"/>
                <w:color w:val="auto"/>
              </w:rPr>
            </w:pPr>
          </w:p>
        </w:tc>
      </w:tr>
      <w:tr>
        <w:trPr>
          <w:trHeight w:val="207"/>
        </w:trPr>
        <w:tc>
          <w:tcPr>
            <w:tcW w:w="78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 current assets</w:t>
            </w:r>
          </w:p>
        </w:tc>
        <w:tc>
          <w:tcPr>
            <w:tcW w:w="2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2,624,276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1,095,522</w:t>
            </w:r>
          </w:p>
        </w:tc>
        <w:tc>
          <w:tcPr>
            <w:tcW w:w="0" w:type="dxa"/>
            <w:vAlign w:val="bottom"/>
          </w:tcPr>
          <w:p>
            <w:pPr>
              <w:spacing w:after="0"/>
              <w:rPr>
                <w:sz w:val="1"/>
                <w:szCs w:val="1"/>
                <w:color w:val="auto"/>
              </w:rPr>
            </w:pP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contract acquisition costs, noncurrent</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160,142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46,245</w:t>
            </w:r>
          </w:p>
        </w:tc>
        <w:tc>
          <w:tcPr>
            <w:tcW w:w="0" w:type="dxa"/>
            <w:vAlign w:val="bottom"/>
          </w:tcPr>
          <w:p>
            <w:pPr>
              <w:spacing w:after="0"/>
              <w:rPr>
                <w:sz w:val="1"/>
                <w:szCs w:val="1"/>
                <w:color w:val="auto"/>
              </w:rPr>
            </w:pPr>
          </w:p>
        </w:tc>
      </w:tr>
      <w:tr>
        <w:trPr>
          <w:trHeight w:val="213"/>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108,077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57,138</w:t>
            </w:r>
          </w:p>
        </w:tc>
        <w:tc>
          <w:tcPr>
            <w:tcW w:w="0" w:type="dxa"/>
            <w:vAlign w:val="bottom"/>
          </w:tcPr>
          <w:p>
            <w:pPr>
              <w:spacing w:after="0"/>
              <w:rPr>
                <w:sz w:val="1"/>
                <w:szCs w:val="1"/>
                <w:color w:val="auto"/>
              </w:rPr>
            </w:pP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63,008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68,608</w:t>
            </w:r>
          </w:p>
        </w:tc>
        <w:tc>
          <w:tcPr>
            <w:tcW w:w="0" w:type="dxa"/>
            <w:vAlign w:val="bottom"/>
          </w:tcPr>
          <w:p>
            <w:pPr>
              <w:spacing w:after="0"/>
              <w:rPr>
                <w:sz w:val="1"/>
                <w:szCs w:val="1"/>
                <w:color w:val="auto"/>
              </w:rPr>
            </w:pPr>
          </w:p>
        </w:tc>
      </w:tr>
      <w:tr>
        <w:trPr>
          <w:trHeight w:val="213"/>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24,340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 noncurrent</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70,468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22,332</w:t>
            </w:r>
          </w:p>
        </w:tc>
        <w:tc>
          <w:tcPr>
            <w:tcW w:w="0" w:type="dxa"/>
            <w:vAlign w:val="bottom"/>
          </w:tcPr>
          <w:p>
            <w:pPr>
              <w:spacing w:after="0"/>
              <w:rPr>
                <w:sz w:val="1"/>
                <w:szCs w:val="1"/>
                <w:color w:val="auto"/>
              </w:rPr>
            </w:pPr>
          </w:p>
        </w:tc>
      </w:tr>
      <w:tr>
        <w:trPr>
          <w:trHeight w:val="207"/>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3,050,311</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1,289,845</w:t>
            </w:r>
          </w:p>
        </w:tc>
        <w:tc>
          <w:tcPr>
            <w:tcW w:w="0" w:type="dxa"/>
            <w:vAlign w:val="bottom"/>
          </w:tcPr>
          <w:p>
            <w:pPr>
              <w:spacing w:after="0"/>
              <w:rPr>
                <w:sz w:val="1"/>
                <w:szCs w:val="1"/>
                <w:color w:val="auto"/>
              </w:rPr>
            </w:pP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12,666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1,596</w:t>
            </w:r>
          </w:p>
        </w:tc>
        <w:tc>
          <w:tcPr>
            <w:tcW w:w="0" w:type="dxa"/>
            <w:vAlign w:val="bottom"/>
          </w:tcPr>
          <w:p>
            <w:pPr>
              <w:spacing w:after="0"/>
              <w:rPr>
                <w:sz w:val="1"/>
                <w:szCs w:val="1"/>
                <w:color w:val="auto"/>
              </w:rPr>
            </w:pPr>
          </w:p>
        </w:tc>
      </w:tr>
      <w:tr>
        <w:trPr>
          <w:trHeight w:val="213"/>
        </w:trPr>
        <w:tc>
          <w:tcPr>
            <w:tcW w:w="78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565,520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122,692</w:t>
            </w:r>
          </w:p>
        </w:tc>
        <w:tc>
          <w:tcPr>
            <w:tcW w:w="0" w:type="dxa"/>
            <w:vAlign w:val="bottom"/>
          </w:tcPr>
          <w:p>
            <w:pPr>
              <w:spacing w:after="0"/>
              <w:rPr>
                <w:sz w:val="1"/>
                <w:szCs w:val="1"/>
                <w:color w:val="auto"/>
              </w:rPr>
            </w:pPr>
          </w:p>
        </w:tc>
      </w:tr>
      <w:tr>
        <w:trPr>
          <w:trHeight w:val="219"/>
        </w:trPr>
        <w:tc>
          <w:tcPr>
            <w:tcW w:w="7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revenue, current</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835,762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209,542</w:t>
            </w:r>
          </w:p>
        </w:tc>
        <w:tc>
          <w:tcPr>
            <w:tcW w:w="0" w:type="dxa"/>
            <w:vAlign w:val="bottom"/>
          </w:tcPr>
          <w:p>
            <w:pPr>
              <w:spacing w:after="0"/>
              <w:rPr>
                <w:sz w:val="1"/>
                <w:szCs w:val="1"/>
                <w:color w:val="auto"/>
              </w:rPr>
            </w:pPr>
          </w:p>
        </w:tc>
      </w:tr>
      <w:tr>
        <w:trPr>
          <w:trHeight w:val="207"/>
        </w:trPr>
        <w:tc>
          <w:tcPr>
            <w:tcW w:w="78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1,413,948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333,830</w:t>
            </w:r>
          </w:p>
        </w:tc>
        <w:tc>
          <w:tcPr>
            <w:tcW w:w="0" w:type="dxa"/>
            <w:vAlign w:val="bottom"/>
          </w:tcPr>
          <w:p>
            <w:pPr>
              <w:spacing w:after="0"/>
              <w:rPr>
                <w:sz w:val="1"/>
                <w:szCs w:val="1"/>
                <w:color w:val="auto"/>
              </w:rPr>
            </w:pP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revenue, noncurrent</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20,994</w:t>
            </w:r>
          </w:p>
        </w:tc>
        <w:tc>
          <w:tcPr>
            <w:tcW w:w="0" w:type="dxa"/>
            <w:vAlign w:val="bottom"/>
          </w:tcPr>
          <w:p>
            <w:pPr>
              <w:spacing w:after="0"/>
              <w:rPr>
                <w:sz w:val="1"/>
                <w:szCs w:val="1"/>
                <w:color w:val="auto"/>
              </w:rPr>
            </w:pPr>
          </w:p>
        </w:tc>
      </w:tr>
      <w:tr>
        <w:trPr>
          <w:trHeight w:val="213"/>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liabilities, noncurrent</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60,522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64,792</w:t>
            </w:r>
          </w:p>
        </w:tc>
        <w:tc>
          <w:tcPr>
            <w:tcW w:w="0" w:type="dxa"/>
            <w:vAlign w:val="bottom"/>
          </w:tcPr>
          <w:p>
            <w:pPr>
              <w:spacing w:after="0"/>
              <w:rPr>
                <w:sz w:val="1"/>
                <w:szCs w:val="1"/>
                <w:color w:val="auto"/>
              </w:rPr>
            </w:pP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liabilities, noncurrent</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56,988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36,286</w:t>
            </w:r>
          </w:p>
        </w:tc>
        <w:tc>
          <w:tcPr>
            <w:tcW w:w="0" w:type="dxa"/>
            <w:vAlign w:val="bottom"/>
          </w:tcPr>
          <w:p>
            <w:pPr>
              <w:spacing w:after="0"/>
              <w:rPr>
                <w:sz w:val="1"/>
                <w:szCs w:val="1"/>
                <w:color w:val="auto"/>
              </w:rPr>
            </w:pPr>
          </w:p>
        </w:tc>
      </w:tr>
      <w:tr>
        <w:trPr>
          <w:trHeight w:val="207"/>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2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1,550,393</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455,902</w:t>
            </w:r>
          </w:p>
        </w:tc>
        <w:tc>
          <w:tcPr>
            <w:tcW w:w="0" w:type="dxa"/>
            <w:vAlign w:val="bottom"/>
          </w:tcPr>
          <w:p>
            <w:pPr>
              <w:spacing w:after="0"/>
              <w:rPr>
                <w:sz w:val="1"/>
                <w:szCs w:val="1"/>
                <w:color w:val="auto"/>
              </w:rPr>
            </w:pPr>
          </w:p>
        </w:tc>
      </w:tr>
      <w:tr>
        <w:trPr>
          <w:trHeight w:val="19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7)</w:t>
            </w: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7800" w:type="dxa"/>
            <w:vAlign w:val="bottom"/>
            <w:shd w:val="clear" w:color="auto" w:fill="CCEEFF"/>
          </w:tcPr>
          <w:p>
            <w:pPr>
              <w:ind w:left="360"/>
              <w:spacing w:after="0" w:line="165" w:lineRule="exact"/>
              <w:rPr>
                <w:sz w:val="20"/>
                <w:szCs w:val="20"/>
                <w:color w:val="auto"/>
              </w:rPr>
            </w:pPr>
            <w:r>
              <w:rPr>
                <w:rFonts w:ascii="Times New Roman" w:cs="Times New Roman" w:eastAsia="Times New Roman" w:hAnsi="Times New Roman"/>
                <w:sz w:val="16"/>
                <w:szCs w:val="16"/>
                <w:color w:val="auto"/>
              </w:rPr>
              <w:t>Preferred stock, $0.001 par value per share, 200,000,000 shares authorized as of October 31, 2020 and January 31,</w:t>
            </w:r>
          </w:p>
        </w:tc>
        <w:tc>
          <w:tcPr>
            <w:tcW w:w="280" w:type="dxa"/>
            <w:vAlign w:val="bottom"/>
            <w:shd w:val="clear" w:color="auto" w:fill="CCEEFF"/>
          </w:tcPr>
          <w:p>
            <w:pPr>
              <w:spacing w:after="0"/>
              <w:rPr>
                <w:sz w:val="14"/>
                <w:szCs w:val="14"/>
                <w:color w:val="auto"/>
              </w:rPr>
            </w:pPr>
          </w:p>
        </w:tc>
        <w:tc>
          <w:tcPr>
            <w:tcW w:w="14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2020; zero shares issued and outstanding as of October 31, 2020 and January 31, 2020</w:t>
            </w:r>
          </w:p>
        </w:tc>
        <w:tc>
          <w:tcPr>
            <w:tcW w:w="280" w:type="dxa"/>
            <w:vAlign w:val="bottom"/>
            <w:shd w:val="clear" w:color="auto" w:fill="CCEEFF"/>
          </w:tcPr>
          <w:p>
            <w:pPr>
              <w:spacing w:after="0"/>
              <w:rPr>
                <w:sz w:val="18"/>
                <w:szCs w:val="18"/>
                <w:color w:val="auto"/>
              </w:rPr>
            </w:pPr>
          </w:p>
        </w:tc>
        <w:tc>
          <w:tcPr>
            <w:tcW w:w="146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800" w:type="dxa"/>
            <w:vAlign w:val="bottom"/>
          </w:tcPr>
          <w:p>
            <w:pPr>
              <w:ind w:left="360"/>
              <w:spacing w:after="0" w:line="162" w:lineRule="exact"/>
              <w:rPr>
                <w:sz w:val="20"/>
                <w:szCs w:val="20"/>
                <w:color w:val="auto"/>
              </w:rPr>
            </w:pPr>
            <w:r>
              <w:rPr>
                <w:rFonts w:ascii="Times New Roman" w:cs="Times New Roman" w:eastAsia="Times New Roman" w:hAnsi="Times New Roman"/>
                <w:sz w:val="16"/>
                <w:szCs w:val="16"/>
                <w:color w:val="auto"/>
              </w:rPr>
              <w:t>Common stock, $0.001 par value per share, 2,000,000,000 Class A shares authorized as of October 31, 2020 and</w:t>
            </w: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00" w:type="dxa"/>
            <w:vAlign w:val="bottom"/>
          </w:tcPr>
          <w:p>
            <w:pPr>
              <w:ind w:left="360"/>
              <w:spacing w:after="0" w:line="162" w:lineRule="exact"/>
              <w:rPr>
                <w:sz w:val="20"/>
                <w:szCs w:val="20"/>
                <w:color w:val="auto"/>
              </w:rPr>
            </w:pPr>
            <w:r>
              <w:rPr>
                <w:rFonts w:ascii="Times New Roman" w:cs="Times New Roman" w:eastAsia="Times New Roman" w:hAnsi="Times New Roman"/>
                <w:sz w:val="16"/>
                <w:szCs w:val="16"/>
                <w:color w:val="auto"/>
              </w:rPr>
              <w:t>January 31, 2020; 198,179,809 and 123,391,114 shares issued and outstanding as of October 31, 2020 and</w:t>
            </w: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00" w:type="dxa"/>
            <w:vAlign w:val="bottom"/>
          </w:tcPr>
          <w:p>
            <w:pPr>
              <w:ind w:left="360"/>
              <w:spacing w:after="0" w:line="162" w:lineRule="exact"/>
              <w:rPr>
                <w:sz w:val="20"/>
                <w:szCs w:val="20"/>
                <w:color w:val="auto"/>
              </w:rPr>
            </w:pPr>
            <w:r>
              <w:rPr>
                <w:rFonts w:ascii="Times New Roman" w:cs="Times New Roman" w:eastAsia="Times New Roman" w:hAnsi="Times New Roman"/>
                <w:sz w:val="16"/>
                <w:szCs w:val="16"/>
                <w:color w:val="auto"/>
              </w:rPr>
              <w:t>January 31, 2020, respectively; 300,000,000 Class B shares authorized as of October 31, 2020 and January 31,</w:t>
            </w: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00" w:type="dxa"/>
            <w:vAlign w:val="bottom"/>
          </w:tcPr>
          <w:p>
            <w:pPr>
              <w:ind w:left="360"/>
              <w:spacing w:after="0" w:line="162" w:lineRule="exact"/>
              <w:rPr>
                <w:sz w:val="20"/>
                <w:szCs w:val="20"/>
                <w:color w:val="auto"/>
              </w:rPr>
            </w:pPr>
            <w:r>
              <w:rPr>
                <w:rFonts w:ascii="Times New Roman" w:cs="Times New Roman" w:eastAsia="Times New Roman" w:hAnsi="Times New Roman"/>
                <w:sz w:val="16"/>
                <w:szCs w:val="16"/>
                <w:color w:val="auto"/>
              </w:rPr>
              <w:t>2020; 87,765,770 and 155,336,747 shares issued and outstanding as of October 31, 2020 and January 31, 2020,</w:t>
            </w:r>
          </w:p>
        </w:tc>
        <w:tc>
          <w:tcPr>
            <w:tcW w:w="280" w:type="dxa"/>
            <w:vAlign w:val="bottom"/>
          </w:tcPr>
          <w:p>
            <w:pPr>
              <w:spacing w:after="0"/>
              <w:rPr>
                <w:sz w:val="14"/>
                <w:szCs w:val="14"/>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0" w:type="dxa"/>
            <w:vAlign w:val="bottom"/>
          </w:tcPr>
          <w:p>
            <w:pPr>
              <w:spacing w:after="0"/>
              <w:rPr>
                <w:sz w:val="1"/>
                <w:szCs w:val="1"/>
                <w:color w:val="auto"/>
              </w:rPr>
            </w:pPr>
          </w:p>
        </w:tc>
      </w:tr>
      <w:tr>
        <w:trPr>
          <w:trHeight w:val="213"/>
        </w:trPr>
        <w:tc>
          <w:tcPr>
            <w:tcW w:w="78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respectively</w:t>
            </w:r>
          </w:p>
        </w:tc>
        <w:tc>
          <w:tcPr>
            <w:tcW w:w="28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1,086,459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832,705</w:t>
            </w:r>
          </w:p>
        </w:tc>
        <w:tc>
          <w:tcPr>
            <w:tcW w:w="0" w:type="dxa"/>
            <w:vAlign w:val="bottom"/>
          </w:tcPr>
          <w:p>
            <w:pPr>
              <w:spacing w:after="0"/>
              <w:rPr>
                <w:sz w:val="1"/>
                <w:szCs w:val="1"/>
                <w:color w:val="auto"/>
              </w:rPr>
            </w:pPr>
          </w:p>
        </w:tc>
      </w:tr>
      <w:tr>
        <w:trPr>
          <w:trHeight w:val="213"/>
        </w:trPr>
        <w:tc>
          <w:tcPr>
            <w:tcW w:w="78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809</w:t>
            </w:r>
          </w:p>
        </w:tc>
        <w:tc>
          <w:tcPr>
            <w:tcW w:w="0" w:type="dxa"/>
            <w:vAlign w:val="bottom"/>
          </w:tcPr>
          <w:p>
            <w:pPr>
              <w:spacing w:after="0"/>
              <w:rPr>
                <w:sz w:val="1"/>
                <w:szCs w:val="1"/>
                <w:color w:val="auto"/>
              </w:rPr>
            </w:pPr>
          </w:p>
        </w:tc>
      </w:tr>
      <w:tr>
        <w:trPr>
          <w:trHeight w:val="219"/>
        </w:trPr>
        <w:tc>
          <w:tcPr>
            <w:tcW w:w="7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Retained earnings</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411,858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0" w:type="dxa"/>
            <w:vAlign w:val="bottom"/>
          </w:tcPr>
          <w:p>
            <w:pPr>
              <w:spacing w:after="0"/>
              <w:rPr>
                <w:sz w:val="1"/>
                <w:szCs w:val="1"/>
                <w:color w:val="auto"/>
              </w:rPr>
            </w:pPr>
          </w:p>
        </w:tc>
      </w:tr>
      <w:tr>
        <w:trPr>
          <w:trHeight w:val="207"/>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1,499,918</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833,943</w:t>
            </w:r>
          </w:p>
        </w:tc>
        <w:tc>
          <w:tcPr>
            <w:tcW w:w="0" w:type="dxa"/>
            <w:vAlign w:val="bottom"/>
          </w:tcPr>
          <w:p>
            <w:pPr>
              <w:spacing w:after="0"/>
              <w:rPr>
                <w:sz w:val="1"/>
                <w:szCs w:val="1"/>
                <w:color w:val="auto"/>
              </w:rPr>
            </w:pPr>
          </w:p>
        </w:tc>
      </w:tr>
      <w:tr>
        <w:trPr>
          <w:trHeight w:val="235"/>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3,050,311</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1,289,845</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ZOOM VIDEO COMMUNICATIONS,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0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380" w:type="dxa"/>
            <w:vAlign w:val="bottom"/>
          </w:tcPr>
          <w:p>
            <w:pPr>
              <w:spacing w:after="0"/>
              <w:rPr>
                <w:sz w:val="16"/>
                <w:szCs w:val="16"/>
                <w:color w:val="auto"/>
              </w:rPr>
            </w:pPr>
          </w:p>
        </w:tc>
        <w:tc>
          <w:tcPr>
            <w:tcW w:w="3020" w:type="dxa"/>
            <w:vAlign w:val="bottom"/>
            <w:gridSpan w:val="4"/>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0" w:type="dxa"/>
            <w:vAlign w:val="bottom"/>
          </w:tcPr>
          <w:p>
            <w:pPr>
              <w:spacing w:after="0"/>
              <w:rPr>
                <w:sz w:val="1"/>
                <w:szCs w:val="1"/>
                <w:color w:val="auto"/>
              </w:rPr>
            </w:pPr>
          </w:p>
        </w:tc>
      </w:tr>
      <w:tr>
        <w:trPr>
          <w:trHeight w:val="188"/>
        </w:trPr>
        <w:tc>
          <w:tcPr>
            <w:tcW w:w="4340" w:type="dxa"/>
            <w:vAlign w:val="bottom"/>
            <w:tcBorders>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23"/>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777,196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166,593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1,768,883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434,407</w:t>
            </w:r>
          </w:p>
        </w:tc>
        <w:tc>
          <w:tcPr>
            <w:tcW w:w="0" w:type="dxa"/>
            <w:vAlign w:val="bottom"/>
          </w:tcPr>
          <w:p>
            <w:pPr>
              <w:spacing w:after="0"/>
              <w:rPr>
                <w:sz w:val="1"/>
                <w:szCs w:val="1"/>
                <w:color w:val="auto"/>
              </w:rPr>
            </w:pPr>
          </w:p>
        </w:tc>
      </w:tr>
      <w:tr>
        <w:trPr>
          <w:trHeight w:val="229"/>
        </w:trPr>
        <w:tc>
          <w:tcPr>
            <w:tcW w:w="4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258,727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30,845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554,705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82,849</w:t>
            </w:r>
          </w:p>
        </w:tc>
        <w:tc>
          <w:tcPr>
            <w:tcW w:w="0" w:type="dxa"/>
            <w:vAlign w:val="bottom"/>
          </w:tcPr>
          <w:p>
            <w:pPr>
              <w:spacing w:after="0"/>
              <w:rPr>
                <w:sz w:val="1"/>
                <w:szCs w:val="1"/>
                <w:color w:val="auto"/>
              </w:rPr>
            </w:pPr>
          </w:p>
        </w:tc>
      </w:tr>
      <w:tr>
        <w:trPr>
          <w:trHeight w:val="223"/>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518,469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135,748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1,214,178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351,558</w:t>
            </w:r>
          </w:p>
        </w:tc>
        <w:tc>
          <w:tcPr>
            <w:tcW w:w="0" w:type="dxa"/>
            <w:vAlign w:val="bottom"/>
          </w:tcPr>
          <w:p>
            <w:pPr>
              <w:spacing w:after="0"/>
              <w:rPr>
                <w:sz w:val="1"/>
                <w:szCs w:val="1"/>
                <w:color w:val="auto"/>
              </w:rPr>
            </w:pPr>
          </w:p>
        </w:tc>
      </w:tr>
      <w:tr>
        <w:trPr>
          <w:trHeight w:val="20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42,582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111,705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46,410</w:t>
            </w:r>
          </w:p>
        </w:tc>
        <w:tc>
          <w:tcPr>
            <w:tcW w:w="0" w:type="dxa"/>
            <w:vAlign w:val="bottom"/>
          </w:tcPr>
          <w:p>
            <w:pPr>
              <w:spacing w:after="0"/>
              <w:rPr>
                <w:sz w:val="1"/>
                <w:szCs w:val="1"/>
                <w:color w:val="auto"/>
              </w:rPr>
            </w:pPr>
          </w:p>
        </w:tc>
      </w:tr>
      <w:tr>
        <w:trPr>
          <w:trHeight w:val="229"/>
        </w:trPr>
        <w:tc>
          <w:tcPr>
            <w:tcW w:w="4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Sales and marketing</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190,157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96,048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470,886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239,741</w:t>
            </w:r>
          </w:p>
        </w:tc>
        <w:tc>
          <w:tcPr>
            <w:tcW w:w="0" w:type="dxa"/>
            <w:vAlign w:val="bottom"/>
          </w:tcPr>
          <w:p>
            <w:pPr>
              <w:spacing w:after="0"/>
              <w:rPr>
                <w:sz w:val="1"/>
                <w:szCs w:val="1"/>
                <w:color w:val="auto"/>
              </w:rPr>
            </w:pPr>
          </w:p>
        </w:tc>
      </w:tr>
      <w:tr>
        <w:trPr>
          <w:trHeight w:val="229"/>
        </w:trPr>
        <w:tc>
          <w:tcPr>
            <w:tcW w:w="4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93,488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227,856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63,264</w:t>
            </w:r>
          </w:p>
        </w:tc>
        <w:tc>
          <w:tcPr>
            <w:tcW w:w="0" w:type="dxa"/>
            <w:vAlign w:val="bottom"/>
          </w:tcPr>
          <w:p>
            <w:pPr>
              <w:spacing w:after="0"/>
              <w:rPr>
                <w:sz w:val="1"/>
                <w:szCs w:val="1"/>
                <w:color w:val="auto"/>
              </w:rPr>
            </w:pPr>
          </w:p>
        </w:tc>
      </w:tr>
      <w:tr>
        <w:trPr>
          <w:trHeight w:val="223"/>
        </w:trPr>
        <w:tc>
          <w:tcPr>
            <w:tcW w:w="43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326,227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137,427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810,447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349,415</w:t>
            </w:r>
          </w:p>
        </w:tc>
        <w:tc>
          <w:tcPr>
            <w:tcW w:w="0" w:type="dxa"/>
            <w:vAlign w:val="bottom"/>
          </w:tcPr>
          <w:p>
            <w:pPr>
              <w:spacing w:after="0"/>
              <w:rPr>
                <w:sz w:val="1"/>
                <w:szCs w:val="1"/>
                <w:color w:val="auto"/>
              </w:rPr>
            </w:pPr>
          </w:p>
        </w:tc>
      </w:tr>
      <w:tr>
        <w:trPr>
          <w:trHeight w:val="223"/>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192,242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403,731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2,143</w:t>
            </w:r>
          </w:p>
        </w:tc>
        <w:tc>
          <w:tcPr>
            <w:tcW w:w="0" w:type="dxa"/>
            <w:vAlign w:val="bottom"/>
          </w:tcPr>
          <w:p>
            <w:pPr>
              <w:spacing w:after="0"/>
              <w:rPr>
                <w:sz w:val="1"/>
                <w:szCs w:val="1"/>
                <w:color w:val="auto"/>
              </w:rPr>
            </w:pPr>
          </w:p>
        </w:tc>
      </w:tr>
      <w:tr>
        <w:trPr>
          <w:trHeight w:val="230"/>
        </w:trPr>
        <w:tc>
          <w:tcPr>
            <w:tcW w:w="4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income and other, net</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9,650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9,674</w:t>
            </w:r>
          </w:p>
        </w:tc>
        <w:tc>
          <w:tcPr>
            <w:tcW w:w="0" w:type="dxa"/>
            <w:vAlign w:val="bottom"/>
          </w:tcPr>
          <w:p>
            <w:pPr>
              <w:spacing w:after="0"/>
              <w:rPr>
                <w:sz w:val="1"/>
                <w:szCs w:val="1"/>
                <w:color w:val="auto"/>
              </w:rPr>
            </w:pPr>
          </w:p>
        </w:tc>
      </w:tr>
      <w:tr>
        <w:trPr>
          <w:trHeight w:val="155"/>
        </w:trPr>
        <w:tc>
          <w:tcPr>
            <w:tcW w:w="434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Net income before (benefit from) provision for income</w:t>
            </w:r>
          </w:p>
        </w:tc>
        <w:tc>
          <w:tcPr>
            <w:tcW w:w="380" w:type="dxa"/>
            <w:vAlign w:val="bottom"/>
            <w:shd w:val="clear" w:color="auto" w:fill="CCEEFF"/>
          </w:tcPr>
          <w:p>
            <w:pPr>
              <w:spacing w:after="0"/>
              <w:rPr>
                <w:sz w:val="13"/>
                <w:szCs w:val="13"/>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194,021</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413,381</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11,817</w:t>
            </w: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taxes</w:t>
            </w:r>
          </w:p>
        </w:tc>
        <w:tc>
          <w:tcPr>
            <w:tcW w:w="38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(Benefit from) provision for income taxes</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1,851</w:t>
            </w:r>
          </w:p>
        </w:tc>
        <w:tc>
          <w:tcPr>
            <w:tcW w:w="0" w:type="dxa"/>
            <w:vAlign w:val="bottom"/>
          </w:tcPr>
          <w:p>
            <w:pPr>
              <w:spacing w:after="0"/>
              <w:rPr>
                <w:sz w:val="1"/>
                <w:szCs w:val="1"/>
                <w:color w:val="auto"/>
              </w:rPr>
            </w:pPr>
          </w:p>
        </w:tc>
      </w:tr>
      <w:tr>
        <w:trPr>
          <w:trHeight w:val="223"/>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198,642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411,706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9,966</w:t>
            </w:r>
          </w:p>
        </w:tc>
        <w:tc>
          <w:tcPr>
            <w:tcW w:w="0" w:type="dxa"/>
            <w:vAlign w:val="bottom"/>
          </w:tcPr>
          <w:p>
            <w:pPr>
              <w:spacing w:after="0"/>
              <w:rPr>
                <w:sz w:val="1"/>
                <w:szCs w:val="1"/>
                <w:color w:val="auto"/>
              </w:rPr>
            </w:pPr>
          </w:p>
        </w:tc>
      </w:tr>
      <w:tr>
        <w:trPr>
          <w:trHeight w:val="175"/>
        </w:trPr>
        <w:tc>
          <w:tcPr>
            <w:tcW w:w="43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Undistributed earnings attributable to participating</w:t>
            </w:r>
          </w:p>
        </w:tc>
        <w:tc>
          <w:tcPr>
            <w:tcW w:w="38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(2,493)</w:t>
            </w:r>
          </w:p>
        </w:tc>
        <w:tc>
          <w:tcPr>
            <w:tcW w:w="0" w:type="dxa"/>
            <w:vAlign w:val="bottom"/>
          </w:tcPr>
          <w:p>
            <w:pPr>
              <w:spacing w:after="0"/>
              <w:rPr>
                <w:sz w:val="1"/>
                <w:szCs w:val="1"/>
                <w:color w:val="auto"/>
              </w:rPr>
            </w:pPr>
          </w:p>
        </w:tc>
      </w:tr>
      <w:tr>
        <w:trPr>
          <w:trHeight w:val="230"/>
        </w:trPr>
        <w:tc>
          <w:tcPr>
            <w:tcW w:w="4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securities</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198,440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411,175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7,473</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per share attributable to common stockholders:</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434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4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43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bottom w:val="single" w:sz="8" w:color="CCEEFF"/>
            </w:tcBorders>
            <w:vMerge w:val="restart"/>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40" w:type="dxa"/>
            <w:vAlign w:val="bottom"/>
            <w:vMerge w:val="continue"/>
          </w:tcPr>
          <w:p>
            <w:pPr>
              <w:spacing w:after="0"/>
              <w:rPr>
                <w:sz w:val="17"/>
                <w:szCs w:val="17"/>
                <w:color w:val="auto"/>
              </w:rPr>
            </w:pPr>
          </w:p>
        </w:tc>
        <w:tc>
          <w:tcPr>
            <w:tcW w:w="380" w:type="dxa"/>
            <w:vAlign w:val="bottom"/>
            <w:tcBorders>
              <w:bottom w:val="single" w:sz="8" w:color="auto"/>
            </w:tcBorders>
          </w:tcPr>
          <w:p>
            <w:pPr>
              <w:jc w:val="right"/>
              <w:ind w:right="1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0.66</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19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34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Weighted-average shares used in computing net income per</w:t>
            </w:r>
          </w:p>
        </w:tc>
        <w:tc>
          <w:tcPr>
            <w:tcW w:w="38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attributable to common stockholders: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284,783,006</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273,316,850</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282,564,481</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219,295,445</w:t>
            </w:r>
          </w:p>
        </w:tc>
        <w:tc>
          <w:tcPr>
            <w:tcW w:w="0" w:type="dxa"/>
            <w:vAlign w:val="bottom"/>
          </w:tcPr>
          <w:p>
            <w:pPr>
              <w:spacing w:after="0"/>
              <w:rPr>
                <w:sz w:val="1"/>
                <w:szCs w:val="1"/>
                <w:color w:val="auto"/>
              </w:rPr>
            </w:pP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3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299,258,765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292,771,122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297,605,941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241,512,569</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ZOOM VIDEO COMMUNICATIONS,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380" w:type="dxa"/>
            <w:vAlign w:val="bottom"/>
          </w:tcPr>
          <w:p>
            <w:pPr>
              <w:spacing w:after="0"/>
              <w:rPr>
                <w:sz w:val="16"/>
                <w:szCs w:val="16"/>
                <w:color w:val="auto"/>
              </w:rPr>
            </w:pPr>
          </w:p>
        </w:tc>
        <w:tc>
          <w:tcPr>
            <w:tcW w:w="2820" w:type="dxa"/>
            <w:vAlign w:val="bottom"/>
            <w:tcBorders>
              <w:bottom w:val="single" w:sz="8" w:color="auto"/>
            </w:tcBorders>
            <w:gridSpan w:val="4"/>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4"/>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0" w:type="dxa"/>
            <w:vAlign w:val="bottom"/>
          </w:tcPr>
          <w:p>
            <w:pPr>
              <w:spacing w:after="0"/>
              <w:rPr>
                <w:sz w:val="1"/>
                <w:szCs w:val="1"/>
                <w:color w:val="auto"/>
              </w:rPr>
            </w:pPr>
          </w:p>
        </w:tc>
      </w:tr>
      <w:tr>
        <w:trPr>
          <w:trHeight w:val="187"/>
        </w:trPr>
        <w:tc>
          <w:tcPr>
            <w:tcW w:w="438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2019</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23"/>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8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198,642</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411,706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9,966</w:t>
            </w:r>
          </w:p>
        </w:tc>
        <w:tc>
          <w:tcPr>
            <w:tcW w:w="0" w:type="dxa"/>
            <w:vAlign w:val="bottom"/>
          </w:tcPr>
          <w:p>
            <w:pPr>
              <w:spacing w:after="0"/>
              <w:rPr>
                <w:sz w:val="1"/>
                <w:szCs w:val="1"/>
                <w:color w:val="auto"/>
              </w:rPr>
            </w:pPr>
          </w:p>
        </w:tc>
      </w:tr>
      <w:tr>
        <w:trPr>
          <w:trHeight w:val="229"/>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9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38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Unrealized (loss) gain on available-for-sale marketable</w:t>
            </w:r>
          </w:p>
        </w:tc>
        <w:tc>
          <w:tcPr>
            <w:tcW w:w="98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0" w:type="dxa"/>
            <w:vAlign w:val="bottom"/>
          </w:tcPr>
          <w:p>
            <w:pPr>
              <w:spacing w:after="0"/>
              <w:rPr>
                <w:sz w:val="1"/>
                <w:szCs w:val="1"/>
                <w:color w:val="auto"/>
              </w:rPr>
            </w:pPr>
          </w:p>
        </w:tc>
      </w:tr>
      <w:tr>
        <w:trPr>
          <w:trHeight w:val="229"/>
        </w:trPr>
        <w:tc>
          <w:tcPr>
            <w:tcW w:w="4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securities, net of tax</w:t>
            </w: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98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197,187</w:t>
            </w:r>
          </w:p>
        </w:tc>
        <w:tc>
          <w:tcPr>
            <w:tcW w:w="100" w:type="dxa"/>
            <w:vAlign w:val="bottom"/>
          </w:tcPr>
          <w:p>
            <w:pPr>
              <w:spacing w:after="0"/>
              <w:rPr>
                <w:sz w:val="19"/>
                <w:szCs w:val="19"/>
                <w:color w:val="auto"/>
              </w:rPr>
            </w:pPr>
          </w:p>
        </w:tc>
        <w:tc>
          <w:tcPr>
            <w:tcW w:w="1080" w:type="dxa"/>
            <w:vAlign w:val="bottom"/>
            <w:tcBorders>
              <w:bottom w:val="single" w:sz="8" w:color="auto"/>
            </w:tcBorders>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2,930</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412,214</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10,752</w:t>
            </w:r>
          </w:p>
        </w:tc>
        <w:tc>
          <w:tcPr>
            <w:tcW w:w="0" w:type="dxa"/>
            <w:vAlign w:val="bottom"/>
          </w:tcPr>
          <w:p>
            <w:pPr>
              <w:spacing w:after="0"/>
              <w:rPr>
                <w:sz w:val="1"/>
                <w:szCs w:val="1"/>
                <w:color w:val="auto"/>
              </w:rPr>
            </w:pPr>
          </w:p>
        </w:tc>
      </w:tr>
      <w:tr>
        <w:trPr>
          <w:trHeight w:val="21"/>
        </w:trPr>
        <w:tc>
          <w:tcPr>
            <w:tcW w:w="43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ZOOM VIDEO COMMUNICATIONS,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CONVERTIBLE PREFERRED STOCK AND STOCKHOLDERS’ EQUITY (DEFICIT)</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8"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4"/>
          <w:szCs w:val="14"/>
          <w:b w:val="1"/>
          <w:bCs w:val="1"/>
          <w:color w:val="auto"/>
        </w:rPr>
        <w:t>Three Months Ended October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741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741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12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760" w:type="dxa"/>
            <w:vAlign w:val="bottom"/>
          </w:tcPr>
          <w:p>
            <w:pPr>
              <w:spacing w:after="0"/>
              <w:rPr>
                <w:sz w:val="13"/>
                <w:szCs w:val="13"/>
                <w:color w:val="auto"/>
              </w:rPr>
            </w:pPr>
          </w:p>
        </w:tc>
        <w:tc>
          <w:tcPr>
            <w:tcW w:w="1480" w:type="dxa"/>
            <w:vAlign w:val="bottom"/>
            <w:gridSpan w:val="3"/>
          </w:tcPr>
          <w:p>
            <w:pPr>
              <w:ind w:left="740"/>
              <w:spacing w:after="0"/>
              <w:rPr>
                <w:sz w:val="20"/>
                <w:szCs w:val="20"/>
                <w:color w:val="auto"/>
              </w:rPr>
            </w:pPr>
            <w:r>
              <w:rPr>
                <w:rFonts w:ascii="Times New Roman" w:cs="Times New Roman" w:eastAsia="Times New Roman" w:hAnsi="Times New Roman"/>
                <w:sz w:val="14"/>
                <w:szCs w:val="14"/>
                <w:b w:val="1"/>
                <w:bCs w:val="1"/>
                <w:color w:val="auto"/>
              </w:rPr>
              <w:t>Convertible</w:t>
            </w: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760" w:type="dxa"/>
            <w:vAlign w:val="bottom"/>
          </w:tcPr>
          <w:p>
            <w:pPr>
              <w:spacing w:after="0"/>
              <w:rPr>
                <w:sz w:val="16"/>
                <w:szCs w:val="16"/>
                <w:color w:val="auto"/>
              </w:rPr>
            </w:pPr>
          </w:p>
        </w:tc>
        <w:tc>
          <w:tcPr>
            <w:tcW w:w="2220" w:type="dxa"/>
            <w:vAlign w:val="bottom"/>
            <w:tcBorders>
              <w:bottom w:val="single" w:sz="8" w:color="auto"/>
            </w:tcBorders>
            <w:gridSpan w:val="4"/>
          </w:tcPr>
          <w:p>
            <w:pPr>
              <w:ind w:left="62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0" w:type="dxa"/>
            <w:vAlign w:val="bottom"/>
          </w:tcPr>
          <w:p>
            <w:pPr>
              <w:spacing w:after="0"/>
              <w:rPr>
                <w:sz w:val="1"/>
                <w:szCs w:val="1"/>
                <w:color w:val="auto"/>
              </w:rPr>
            </w:pPr>
          </w:p>
        </w:tc>
      </w:tr>
      <w:tr>
        <w:trPr>
          <w:trHeight w:val="189"/>
        </w:trPr>
        <w:tc>
          <w:tcPr>
            <w:tcW w:w="1760" w:type="dxa"/>
            <w:vAlign w:val="bottom"/>
          </w:tcPr>
          <w:p>
            <w:pPr>
              <w:spacing w:after="0"/>
              <w:rPr>
                <w:sz w:val="16"/>
                <w:szCs w:val="16"/>
                <w:color w:val="auto"/>
              </w:rPr>
            </w:pPr>
          </w:p>
        </w:tc>
        <w:tc>
          <w:tcPr>
            <w:tcW w:w="126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6"/>
                <w:szCs w:val="16"/>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80"/>
        </w:trPr>
        <w:tc>
          <w:tcPr>
            <w:tcW w:w="1760" w:type="dxa"/>
            <w:vAlign w:val="bottom"/>
          </w:tcPr>
          <w:p>
            <w:pPr>
              <w:spacing w:after="0"/>
              <w:rPr>
                <w:sz w:val="20"/>
                <w:szCs w:val="20"/>
                <w:color w:val="auto"/>
              </w:rPr>
            </w:pPr>
            <w:r>
              <w:rPr>
                <w:rFonts w:ascii="Times New Roman" w:cs="Times New Roman" w:eastAsia="Times New Roman" w:hAnsi="Times New Roman"/>
                <w:sz w:val="14"/>
                <w:szCs w:val="14"/>
                <w:color w:val="auto"/>
              </w:rPr>
              <w:t>Balance as of July 31, 2020</w:t>
            </w:r>
          </w:p>
        </w:tc>
        <w:tc>
          <w:tcPr>
            <w:tcW w:w="1140" w:type="dxa"/>
            <w:vAlign w:val="bottom"/>
            <w:tcBorders>
              <w:top w:val="single" w:sz="8" w:color="auto"/>
            </w:tcBorders>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22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4"/>
        </w:trPr>
        <w:tc>
          <w:tcPr>
            <w:tcW w:w="176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Issuance of common stock</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76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upon exercise of stock</w:t>
            </w:r>
          </w:p>
        </w:tc>
        <w:tc>
          <w:tcPr>
            <w:tcW w:w="1260" w:type="dxa"/>
            <w:vAlign w:val="bottom"/>
            <w:gridSpan w:val="2"/>
            <w:vMerge w:val="restart"/>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1"/>
                <w:szCs w:val="11"/>
                <w:color w:val="auto"/>
              </w:rPr>
            </w:pPr>
          </w:p>
        </w:tc>
        <w:tc>
          <w:tcPr>
            <w:tcW w:w="740" w:type="dxa"/>
            <w:vAlign w:val="bottom"/>
            <w:vMerge w:val="restart"/>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1760" w:type="dxa"/>
            <w:vAlign w:val="bottom"/>
          </w:tcPr>
          <w:p>
            <w:pPr>
              <w:spacing w:after="0"/>
              <w:rPr>
                <w:sz w:val="20"/>
                <w:szCs w:val="20"/>
                <w:color w:val="auto"/>
              </w:rPr>
            </w:pPr>
            <w:r>
              <w:rPr>
                <w:rFonts w:ascii="Times New Roman" w:cs="Times New Roman" w:eastAsia="Times New Roman" w:hAnsi="Times New Roman"/>
                <w:sz w:val="14"/>
                <w:szCs w:val="14"/>
                <w:color w:val="auto"/>
              </w:rPr>
              <w:t>options</w:t>
            </w:r>
          </w:p>
        </w:tc>
        <w:tc>
          <w:tcPr>
            <w:tcW w:w="12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176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Issuance of common stock</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76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upon release of restricted</w:t>
            </w:r>
          </w:p>
        </w:tc>
        <w:tc>
          <w:tcPr>
            <w:tcW w:w="1260" w:type="dxa"/>
            <w:vAlign w:val="bottom"/>
            <w:gridSpan w:val="2"/>
            <w:vMerge w:val="restart"/>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1"/>
                <w:szCs w:val="11"/>
                <w:color w:val="auto"/>
              </w:rPr>
            </w:pPr>
          </w:p>
        </w:tc>
        <w:tc>
          <w:tcPr>
            <w:tcW w:w="740" w:type="dxa"/>
            <w:vAlign w:val="bottom"/>
            <w:vMerge w:val="restart"/>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1760" w:type="dxa"/>
            <w:vAlign w:val="bottom"/>
          </w:tcPr>
          <w:p>
            <w:pPr>
              <w:spacing w:after="0"/>
              <w:rPr>
                <w:sz w:val="20"/>
                <w:szCs w:val="20"/>
                <w:color w:val="auto"/>
              </w:rPr>
            </w:pPr>
            <w:r>
              <w:rPr>
                <w:rFonts w:ascii="Times New Roman" w:cs="Times New Roman" w:eastAsia="Times New Roman" w:hAnsi="Times New Roman"/>
                <w:sz w:val="14"/>
                <w:szCs w:val="14"/>
                <w:color w:val="auto"/>
              </w:rPr>
              <w:t>stock units</w:t>
            </w:r>
          </w:p>
        </w:tc>
        <w:tc>
          <w:tcPr>
            <w:tcW w:w="12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176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Stock-based compensation</w:t>
            </w:r>
          </w:p>
        </w:tc>
        <w:tc>
          <w:tcPr>
            <w:tcW w:w="1260" w:type="dxa"/>
            <w:vAlign w:val="bottom"/>
            <w:gridSpan w:val="2"/>
            <w:vMerge w:val="restart"/>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40" w:type="dxa"/>
            <w:vAlign w:val="bottom"/>
            <w:vMerge w:val="restart"/>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1760" w:type="dxa"/>
            <w:vAlign w:val="bottom"/>
          </w:tcPr>
          <w:p>
            <w:pPr>
              <w:spacing w:after="0"/>
              <w:rPr>
                <w:sz w:val="20"/>
                <w:szCs w:val="20"/>
                <w:color w:val="auto"/>
              </w:rPr>
            </w:pPr>
            <w:r>
              <w:rPr>
                <w:rFonts w:ascii="Times New Roman" w:cs="Times New Roman" w:eastAsia="Times New Roman" w:hAnsi="Times New Roman"/>
                <w:sz w:val="14"/>
                <w:szCs w:val="14"/>
                <w:color w:val="auto"/>
              </w:rPr>
              <w:t>expense</w:t>
            </w:r>
          </w:p>
        </w:tc>
        <w:tc>
          <w:tcPr>
            <w:tcW w:w="12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760" w:type="dxa"/>
            <w:vAlign w:val="bottom"/>
          </w:tcPr>
          <w:p>
            <w:pPr>
              <w:spacing w:after="0"/>
              <w:rPr>
                <w:sz w:val="20"/>
                <w:szCs w:val="20"/>
                <w:color w:val="auto"/>
              </w:rPr>
            </w:pPr>
            <w:r>
              <w:rPr>
                <w:rFonts w:ascii="Times New Roman" w:cs="Times New Roman" w:eastAsia="Times New Roman" w:hAnsi="Times New Roman"/>
                <w:sz w:val="14"/>
                <w:szCs w:val="14"/>
                <w:color w:val="auto"/>
              </w:rPr>
              <w:t>Other comprehensive loss</w:t>
            </w:r>
          </w:p>
        </w:tc>
        <w:tc>
          <w:tcPr>
            <w:tcW w:w="126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176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114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2"/>
        </w:trPr>
        <w:tc>
          <w:tcPr>
            <w:tcW w:w="176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Balance as of October 31,</w:t>
            </w:r>
          </w:p>
        </w:tc>
        <w:tc>
          <w:tcPr>
            <w:tcW w:w="1260" w:type="dxa"/>
            <w:vAlign w:val="bottom"/>
            <w:gridSpan w:val="2"/>
            <w:vMerge w:val="restart"/>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vMerge w:val="restart"/>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1760" w:type="dxa"/>
            <w:vAlign w:val="bottom"/>
          </w:tcPr>
          <w:p>
            <w:pPr>
              <w:spacing w:after="0"/>
              <w:rPr>
                <w:sz w:val="20"/>
                <w:szCs w:val="20"/>
                <w:color w:val="auto"/>
              </w:rPr>
            </w:pPr>
            <w:r>
              <w:rPr>
                <w:rFonts w:ascii="Times New Roman" w:cs="Times New Roman" w:eastAsia="Times New Roman" w:hAnsi="Times New Roman"/>
                <w:sz w:val="14"/>
                <w:szCs w:val="14"/>
                <w:color w:val="auto"/>
              </w:rPr>
              <w:t>2020</w:t>
            </w:r>
          </w:p>
        </w:tc>
        <w:tc>
          <w:tcPr>
            <w:tcW w:w="1260" w:type="dxa"/>
            <w:vAlign w:val="bottom"/>
            <w:gridSpan w:val="2"/>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7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3"/>
                <w:szCs w:val="13"/>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vMerge w:val="restart"/>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35"/>
        </w:trPr>
        <w:tc>
          <w:tcPr>
            <w:tcW w:w="1980" w:type="dxa"/>
            <w:vAlign w:val="bottom"/>
            <w:gridSpan w:val="4"/>
            <w:vMerge w:val="restart"/>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980" w:type="dxa"/>
            <w:vAlign w:val="bottom"/>
            <w:tcBorders>
              <w:bottom w:val="single" w:sz="8" w:color="auto"/>
            </w:tcBorders>
            <w:gridSpan w:val="4"/>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gridSpan w:val="2"/>
          </w:tcPr>
          <w:p>
            <w:pPr>
              <w:jc w:val="center"/>
              <w:ind w:right="240"/>
              <w:spacing w:after="0" w:line="103" w:lineRule="exact"/>
              <w:rPr>
                <w:sz w:val="20"/>
                <w:szCs w:val="20"/>
                <w:color w:val="auto"/>
              </w:rPr>
            </w:pPr>
            <w:r>
              <w:rPr>
                <w:rFonts w:ascii="Times New Roman" w:cs="Times New Roman" w:eastAsia="Times New Roman" w:hAnsi="Times New Roman"/>
                <w:sz w:val="11"/>
                <w:szCs w:val="11"/>
                <w:b w:val="1"/>
                <w:bCs w:val="1"/>
                <w:color w:val="auto"/>
              </w:rPr>
              <w:t>Paid-In</w:t>
            </w:r>
          </w:p>
        </w:tc>
        <w:tc>
          <w:tcPr>
            <w:tcW w:w="140" w:type="dxa"/>
            <w:vAlign w:val="bottom"/>
          </w:tcPr>
          <w:p>
            <w:pPr>
              <w:spacing w:after="0"/>
              <w:rPr>
                <w:sz w:val="8"/>
                <w:szCs w:val="8"/>
                <w:color w:val="auto"/>
              </w:rPr>
            </w:pPr>
          </w:p>
        </w:tc>
        <w:tc>
          <w:tcPr>
            <w:tcW w:w="1280" w:type="dxa"/>
            <w:vAlign w:val="bottom"/>
            <w:gridSpan w:val="2"/>
          </w:tcPr>
          <w:p>
            <w:pPr>
              <w:jc w:val="center"/>
              <w:ind w:right="240"/>
              <w:spacing w:after="0" w:line="103"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180" w:type="dxa"/>
            <w:vAlign w:val="bottom"/>
          </w:tcPr>
          <w:p>
            <w:pPr>
              <w:spacing w:after="0"/>
              <w:rPr>
                <w:sz w:val="8"/>
                <w:szCs w:val="8"/>
                <w:color w:val="auto"/>
              </w:rPr>
            </w:pPr>
          </w:p>
        </w:tc>
        <w:tc>
          <w:tcPr>
            <w:tcW w:w="1040" w:type="dxa"/>
            <w:vAlign w:val="bottom"/>
            <w:gridSpan w:val="2"/>
          </w:tcPr>
          <w:p>
            <w:pPr>
              <w:ind w:left="100"/>
              <w:spacing w:after="0" w:line="103" w:lineRule="exact"/>
              <w:rPr>
                <w:sz w:val="20"/>
                <w:szCs w:val="20"/>
                <w:color w:val="auto"/>
              </w:rPr>
            </w:pPr>
            <w:r>
              <w:rPr>
                <w:rFonts w:ascii="Times New Roman" w:cs="Times New Roman" w:eastAsia="Times New Roman" w:hAnsi="Times New Roman"/>
                <w:sz w:val="11"/>
                <w:szCs w:val="11"/>
                <w:b w:val="1"/>
                <w:bCs w:val="1"/>
                <w:color w:val="auto"/>
              </w:rPr>
              <w:t>Retained</w:t>
            </w:r>
          </w:p>
        </w:tc>
        <w:tc>
          <w:tcPr>
            <w:tcW w:w="140" w:type="dxa"/>
            <w:vAlign w:val="bottom"/>
          </w:tcPr>
          <w:p>
            <w:pPr>
              <w:spacing w:after="0"/>
              <w:rPr>
                <w:sz w:val="8"/>
                <w:szCs w:val="8"/>
                <w:color w:val="auto"/>
              </w:rPr>
            </w:pPr>
          </w:p>
        </w:tc>
        <w:tc>
          <w:tcPr>
            <w:tcW w:w="1120" w:type="dxa"/>
            <w:vAlign w:val="bottom"/>
          </w:tcPr>
          <w:p>
            <w:pPr>
              <w:jc w:val="center"/>
              <w:ind w:right="90"/>
              <w:spacing w:after="0" w:line="103" w:lineRule="exact"/>
              <w:rPr>
                <w:sz w:val="20"/>
                <w:szCs w:val="20"/>
                <w:color w:val="auto"/>
              </w:rPr>
            </w:pPr>
            <w:r>
              <w:rPr>
                <w:rFonts w:ascii="Times New Roman" w:cs="Times New Roman" w:eastAsia="Times New Roman" w:hAnsi="Times New Roman"/>
                <w:sz w:val="11"/>
                <w:szCs w:val="11"/>
                <w:b w:val="1"/>
                <w:bCs w:val="1"/>
                <w:color w:val="auto"/>
              </w:rPr>
              <w:t>Stockholders’</w:t>
            </w:r>
          </w:p>
        </w:tc>
        <w:tc>
          <w:tcPr>
            <w:tcW w:w="0" w:type="dxa"/>
            <w:vAlign w:val="bottom"/>
          </w:tcPr>
          <w:p>
            <w:pPr>
              <w:spacing w:after="0"/>
              <w:rPr>
                <w:sz w:val="1"/>
                <w:szCs w:val="1"/>
                <w:color w:val="auto"/>
              </w:rPr>
            </w:pPr>
          </w:p>
        </w:tc>
      </w:tr>
      <w:tr>
        <w:trPr>
          <w:trHeight w:val="201"/>
        </w:trPr>
        <w:tc>
          <w:tcPr>
            <w:tcW w:w="116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7"/>
                <w:szCs w:val="17"/>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4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80" w:type="dxa"/>
            <w:vAlign w:val="bottom"/>
          </w:tcPr>
          <w:p>
            <w:pPr>
              <w:spacing w:after="0"/>
              <w:rPr>
                <w:sz w:val="17"/>
                <w:szCs w:val="17"/>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7"/>
                <w:szCs w:val="17"/>
                <w:color w:val="auto"/>
              </w:rPr>
            </w:pPr>
          </w:p>
        </w:tc>
        <w:tc>
          <w:tcPr>
            <w:tcW w:w="1120" w:type="dxa"/>
            <w:vAlign w:val="bottom"/>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82"/>
        </w:trPr>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284,342,719</w:t>
            </w:r>
          </w:p>
        </w:tc>
        <w:tc>
          <w:tcPr>
            <w:tcW w:w="12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283</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982,541</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2,772</w:t>
            </w:r>
          </w:p>
        </w:tc>
        <w:tc>
          <w:tcPr>
            <w:tcW w:w="120" w:type="dxa"/>
            <w:vAlign w:val="bottom"/>
          </w:tcPr>
          <w:p>
            <w:pPr>
              <w:spacing w:after="0"/>
              <w:rPr>
                <w:sz w:val="15"/>
                <w:szCs w:val="15"/>
                <w:color w:val="auto"/>
              </w:rPr>
            </w:pPr>
          </w:p>
        </w:tc>
        <w:tc>
          <w:tcPr>
            <w:tcW w:w="1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213,216</w:t>
            </w:r>
          </w:p>
        </w:tc>
        <w:tc>
          <w:tcPr>
            <w:tcW w:w="12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1,198,812</w:t>
            </w:r>
          </w:p>
        </w:tc>
        <w:tc>
          <w:tcPr>
            <w:tcW w:w="0" w:type="dxa"/>
            <w:vAlign w:val="bottom"/>
          </w:tcPr>
          <w:p>
            <w:pPr>
              <w:spacing w:after="0"/>
              <w:rPr>
                <w:sz w:val="1"/>
                <w:szCs w:val="1"/>
                <w:color w:val="auto"/>
              </w:rPr>
            </w:pPr>
          </w:p>
        </w:tc>
      </w:tr>
      <w:tr>
        <w:trPr>
          <w:trHeight w:val="450"/>
        </w:trPr>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1,333,924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6,609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6,610</w:t>
            </w:r>
          </w:p>
        </w:tc>
        <w:tc>
          <w:tcPr>
            <w:tcW w:w="0" w:type="dxa"/>
            <w:vAlign w:val="bottom"/>
          </w:tcPr>
          <w:p>
            <w:pPr>
              <w:spacing w:after="0"/>
              <w:rPr>
                <w:sz w:val="1"/>
                <w:szCs w:val="1"/>
                <w:color w:val="auto"/>
              </w:rPr>
            </w:pPr>
          </w:p>
        </w:tc>
      </w:tr>
      <w:tr>
        <w:trPr>
          <w:trHeight w:val="459"/>
        </w:trPr>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268,936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24"/>
        </w:trPr>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97,309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97,309</w:t>
            </w:r>
          </w:p>
        </w:tc>
        <w:tc>
          <w:tcPr>
            <w:tcW w:w="0" w:type="dxa"/>
            <w:vAlign w:val="bottom"/>
          </w:tcPr>
          <w:p>
            <w:pPr>
              <w:spacing w:after="0"/>
              <w:rPr>
                <w:sz w:val="1"/>
                <w:szCs w:val="1"/>
                <w:color w:val="auto"/>
              </w:rPr>
            </w:pPr>
          </w:p>
        </w:tc>
      </w:tr>
      <w:tr>
        <w:trPr>
          <w:trHeight w:val="189"/>
        </w:trPr>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(1,455)</w:t>
            </w:r>
          </w:p>
        </w:tc>
        <w:tc>
          <w:tcPr>
            <w:tcW w:w="0" w:type="dxa"/>
            <w:vAlign w:val="bottom"/>
          </w:tcPr>
          <w:p>
            <w:pPr>
              <w:spacing w:after="0"/>
              <w:rPr>
                <w:sz w:val="1"/>
                <w:szCs w:val="1"/>
                <w:color w:val="auto"/>
              </w:rPr>
            </w:pPr>
          </w:p>
        </w:tc>
      </w:tr>
      <w:tr>
        <w:trPr>
          <w:trHeight w:val="194"/>
        </w:trPr>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198,642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198,642</w:t>
            </w:r>
          </w:p>
        </w:tc>
        <w:tc>
          <w:tcPr>
            <w:tcW w:w="0" w:type="dxa"/>
            <w:vAlign w:val="bottom"/>
          </w:tcPr>
          <w:p>
            <w:pPr>
              <w:spacing w:after="0"/>
              <w:rPr>
                <w:sz w:val="1"/>
                <w:szCs w:val="1"/>
                <w:color w:val="auto"/>
              </w:rPr>
            </w:pPr>
          </w:p>
        </w:tc>
      </w:tr>
      <w:tr>
        <w:trPr>
          <w:trHeight w:val="277"/>
        </w:trPr>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285,945,579</w:t>
            </w:r>
          </w:p>
        </w:tc>
        <w:tc>
          <w:tcPr>
            <w:tcW w:w="120" w:type="dxa"/>
            <w:vAlign w:val="bottom"/>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100" w:type="dxa"/>
            <w:vAlign w:val="bottom"/>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1,086,459</w:t>
            </w:r>
          </w:p>
        </w:tc>
        <w:tc>
          <w:tcPr>
            <w:tcW w:w="100" w:type="dxa"/>
            <w:vAlign w:val="bottom"/>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1,317</w:t>
            </w:r>
          </w:p>
        </w:tc>
        <w:tc>
          <w:tcPr>
            <w:tcW w:w="120" w:type="dxa"/>
            <w:vAlign w:val="bottom"/>
          </w:tcPr>
          <w:p>
            <w:pPr>
              <w:spacing w:after="0"/>
              <w:rPr>
                <w:sz w:val="24"/>
                <w:szCs w:val="24"/>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411,858</w:t>
            </w:r>
          </w:p>
        </w:tc>
        <w:tc>
          <w:tcPr>
            <w:tcW w:w="120" w:type="dxa"/>
            <w:vAlign w:val="bottom"/>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1,499,918</w:t>
            </w:r>
          </w:p>
        </w:tc>
        <w:tc>
          <w:tcPr>
            <w:tcW w:w="0" w:type="dxa"/>
            <w:vAlign w:val="bottom"/>
          </w:tcPr>
          <w:p>
            <w:pPr>
              <w:spacing w:after="0"/>
              <w:rPr>
                <w:sz w:val="1"/>
                <w:szCs w:val="1"/>
                <w:color w:val="auto"/>
              </w:rPr>
            </w:pPr>
          </w:p>
        </w:tc>
      </w:tr>
      <w:tr>
        <w:trPr>
          <w:trHeight w:val="26"/>
        </w:trPr>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4000" w:space="200"/>
            <w:col w:w="7040"/>
          </w:cols>
          <w:pgMar w:left="320" w:top="121" w:right="339" w:bottom="1440" w:gutter="0" w:footer="0" w:header="0"/>
          <w:type w:val="continuous"/>
        </w:sectPr>
      </w:pPr>
    </w:p>
    <w:p>
      <w:pPr>
        <w:spacing w:after="0" w:line="275"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4"/>
          <w:szCs w:val="14"/>
          <w:b w:val="1"/>
          <w:bCs w:val="1"/>
          <w:color w:val="auto"/>
        </w:rPr>
        <w:t>Three Months Ended October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4827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48272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p>
      <w:pPr>
        <w:spacing w:after="0" w:line="12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760" w:type="dxa"/>
            <w:vAlign w:val="bottom"/>
          </w:tcPr>
          <w:p>
            <w:pPr>
              <w:spacing w:after="0"/>
              <w:rPr>
                <w:sz w:val="13"/>
                <w:szCs w:val="13"/>
                <w:color w:val="auto"/>
              </w:rPr>
            </w:pPr>
          </w:p>
        </w:tc>
        <w:tc>
          <w:tcPr>
            <w:tcW w:w="1480" w:type="dxa"/>
            <w:vAlign w:val="bottom"/>
            <w:gridSpan w:val="3"/>
          </w:tcPr>
          <w:p>
            <w:pPr>
              <w:ind w:left="740"/>
              <w:spacing w:after="0"/>
              <w:rPr>
                <w:sz w:val="20"/>
                <w:szCs w:val="20"/>
                <w:color w:val="auto"/>
              </w:rPr>
            </w:pPr>
            <w:r>
              <w:rPr>
                <w:rFonts w:ascii="Times New Roman" w:cs="Times New Roman" w:eastAsia="Times New Roman" w:hAnsi="Times New Roman"/>
                <w:sz w:val="14"/>
                <w:szCs w:val="14"/>
                <w:b w:val="1"/>
                <w:bCs w:val="1"/>
                <w:color w:val="auto"/>
              </w:rPr>
              <w:t>Convertible</w:t>
            </w: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760" w:type="dxa"/>
            <w:vAlign w:val="bottom"/>
          </w:tcPr>
          <w:p>
            <w:pPr>
              <w:spacing w:after="0"/>
              <w:rPr>
                <w:sz w:val="16"/>
                <w:szCs w:val="16"/>
                <w:color w:val="auto"/>
              </w:rPr>
            </w:pPr>
          </w:p>
        </w:tc>
        <w:tc>
          <w:tcPr>
            <w:tcW w:w="2220" w:type="dxa"/>
            <w:vAlign w:val="bottom"/>
            <w:tcBorders>
              <w:bottom w:val="single" w:sz="8" w:color="auto"/>
            </w:tcBorders>
            <w:gridSpan w:val="4"/>
          </w:tcPr>
          <w:p>
            <w:pPr>
              <w:ind w:left="62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0" w:type="dxa"/>
            <w:vAlign w:val="bottom"/>
          </w:tcPr>
          <w:p>
            <w:pPr>
              <w:spacing w:after="0"/>
              <w:rPr>
                <w:sz w:val="1"/>
                <w:szCs w:val="1"/>
                <w:color w:val="auto"/>
              </w:rPr>
            </w:pPr>
          </w:p>
        </w:tc>
      </w:tr>
      <w:tr>
        <w:trPr>
          <w:trHeight w:val="190"/>
        </w:trPr>
        <w:tc>
          <w:tcPr>
            <w:tcW w:w="1760" w:type="dxa"/>
            <w:vAlign w:val="bottom"/>
          </w:tcPr>
          <w:p>
            <w:pPr>
              <w:spacing w:after="0"/>
              <w:rPr>
                <w:sz w:val="16"/>
                <w:szCs w:val="16"/>
                <w:color w:val="auto"/>
              </w:rPr>
            </w:pPr>
          </w:p>
        </w:tc>
        <w:tc>
          <w:tcPr>
            <w:tcW w:w="126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6"/>
                <w:szCs w:val="16"/>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80"/>
        </w:trPr>
        <w:tc>
          <w:tcPr>
            <w:tcW w:w="1760" w:type="dxa"/>
            <w:vAlign w:val="bottom"/>
          </w:tcPr>
          <w:p>
            <w:pPr>
              <w:spacing w:after="0"/>
              <w:rPr>
                <w:sz w:val="20"/>
                <w:szCs w:val="20"/>
                <w:color w:val="auto"/>
              </w:rPr>
            </w:pPr>
            <w:r>
              <w:rPr>
                <w:rFonts w:ascii="Times New Roman" w:cs="Times New Roman" w:eastAsia="Times New Roman" w:hAnsi="Times New Roman"/>
                <w:sz w:val="14"/>
                <w:szCs w:val="14"/>
                <w:color w:val="auto"/>
              </w:rPr>
              <w:t>Balance as of July 31, 2019</w:t>
            </w:r>
          </w:p>
        </w:tc>
        <w:tc>
          <w:tcPr>
            <w:tcW w:w="1140" w:type="dxa"/>
            <w:vAlign w:val="bottom"/>
            <w:tcBorders>
              <w:top w:val="single" w:sz="8" w:color="auto"/>
            </w:tcBorders>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22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4"/>
        </w:trPr>
        <w:tc>
          <w:tcPr>
            <w:tcW w:w="176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Issuance of common stock</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76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upon exercise of stock</w:t>
            </w:r>
          </w:p>
        </w:tc>
        <w:tc>
          <w:tcPr>
            <w:tcW w:w="1260" w:type="dxa"/>
            <w:vAlign w:val="bottom"/>
            <w:gridSpan w:val="2"/>
            <w:vMerge w:val="restart"/>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1"/>
                <w:szCs w:val="11"/>
                <w:color w:val="auto"/>
              </w:rPr>
            </w:pPr>
          </w:p>
        </w:tc>
        <w:tc>
          <w:tcPr>
            <w:tcW w:w="740" w:type="dxa"/>
            <w:vAlign w:val="bottom"/>
            <w:vMerge w:val="restart"/>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1760" w:type="dxa"/>
            <w:vAlign w:val="bottom"/>
          </w:tcPr>
          <w:p>
            <w:pPr>
              <w:spacing w:after="0"/>
              <w:rPr>
                <w:sz w:val="20"/>
                <w:szCs w:val="20"/>
                <w:color w:val="auto"/>
              </w:rPr>
            </w:pPr>
            <w:r>
              <w:rPr>
                <w:rFonts w:ascii="Times New Roman" w:cs="Times New Roman" w:eastAsia="Times New Roman" w:hAnsi="Times New Roman"/>
                <w:sz w:val="14"/>
                <w:szCs w:val="14"/>
                <w:color w:val="auto"/>
              </w:rPr>
              <w:t>options</w:t>
            </w:r>
          </w:p>
        </w:tc>
        <w:tc>
          <w:tcPr>
            <w:tcW w:w="12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176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Stock-based compensation</w:t>
            </w:r>
          </w:p>
        </w:tc>
        <w:tc>
          <w:tcPr>
            <w:tcW w:w="1260" w:type="dxa"/>
            <w:vAlign w:val="bottom"/>
            <w:gridSpan w:val="2"/>
            <w:vMerge w:val="restart"/>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40" w:type="dxa"/>
            <w:vAlign w:val="bottom"/>
            <w:vMerge w:val="restart"/>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1760" w:type="dxa"/>
            <w:vAlign w:val="bottom"/>
          </w:tcPr>
          <w:p>
            <w:pPr>
              <w:spacing w:after="0"/>
              <w:rPr>
                <w:sz w:val="20"/>
                <w:szCs w:val="20"/>
                <w:color w:val="auto"/>
              </w:rPr>
            </w:pPr>
            <w:r>
              <w:rPr>
                <w:rFonts w:ascii="Times New Roman" w:cs="Times New Roman" w:eastAsia="Times New Roman" w:hAnsi="Times New Roman"/>
                <w:sz w:val="14"/>
                <w:szCs w:val="14"/>
                <w:color w:val="auto"/>
              </w:rPr>
              <w:t>expense</w:t>
            </w:r>
          </w:p>
        </w:tc>
        <w:tc>
          <w:tcPr>
            <w:tcW w:w="12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760" w:type="dxa"/>
            <w:vAlign w:val="bottom"/>
          </w:tcPr>
          <w:p>
            <w:pPr>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26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176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114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2"/>
        </w:trPr>
        <w:tc>
          <w:tcPr>
            <w:tcW w:w="176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Balance as of October 31,</w:t>
            </w:r>
          </w:p>
        </w:tc>
        <w:tc>
          <w:tcPr>
            <w:tcW w:w="1260" w:type="dxa"/>
            <w:vAlign w:val="bottom"/>
            <w:gridSpan w:val="2"/>
            <w:vMerge w:val="restart"/>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vMerge w:val="restart"/>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1760" w:type="dxa"/>
            <w:vAlign w:val="bottom"/>
          </w:tcPr>
          <w:p>
            <w:pPr>
              <w:spacing w:after="0"/>
              <w:rPr>
                <w:sz w:val="20"/>
                <w:szCs w:val="20"/>
                <w:color w:val="auto"/>
              </w:rPr>
            </w:pPr>
            <w:r>
              <w:rPr>
                <w:rFonts w:ascii="Times New Roman" w:cs="Times New Roman" w:eastAsia="Times New Roman" w:hAnsi="Times New Roman"/>
                <w:sz w:val="14"/>
                <w:szCs w:val="14"/>
                <w:color w:val="auto"/>
              </w:rPr>
              <w:t>2019</w:t>
            </w:r>
          </w:p>
        </w:tc>
        <w:tc>
          <w:tcPr>
            <w:tcW w:w="1260" w:type="dxa"/>
            <w:vAlign w:val="bottom"/>
            <w:gridSpan w:val="2"/>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980" w:type="dxa"/>
            <w:vAlign w:val="bottom"/>
            <w:gridSpan w:val="4"/>
            <w:vMerge w:val="restart"/>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08"/>
        </w:trPr>
        <w:tc>
          <w:tcPr>
            <w:tcW w:w="1980" w:type="dxa"/>
            <w:vAlign w:val="bottom"/>
            <w:tcBorders>
              <w:bottom w:val="single" w:sz="8" w:color="auto"/>
            </w:tcBorders>
            <w:gridSpan w:val="4"/>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gridSpan w:val="2"/>
          </w:tcPr>
          <w:p>
            <w:pPr>
              <w:jc w:val="center"/>
              <w:ind w:right="220"/>
              <w:spacing w:after="0" w:line="103" w:lineRule="exact"/>
              <w:rPr>
                <w:sz w:val="20"/>
                <w:szCs w:val="20"/>
                <w:color w:val="auto"/>
              </w:rPr>
            </w:pPr>
            <w:r>
              <w:rPr>
                <w:rFonts w:ascii="Times New Roman" w:cs="Times New Roman" w:eastAsia="Times New Roman" w:hAnsi="Times New Roman"/>
                <w:sz w:val="11"/>
                <w:szCs w:val="11"/>
                <w:b w:val="1"/>
                <w:bCs w:val="1"/>
                <w:color w:val="auto"/>
              </w:rPr>
              <w:t>Paid-In</w:t>
            </w:r>
          </w:p>
        </w:tc>
        <w:tc>
          <w:tcPr>
            <w:tcW w:w="140" w:type="dxa"/>
            <w:vAlign w:val="bottom"/>
          </w:tcPr>
          <w:p>
            <w:pPr>
              <w:spacing w:after="0"/>
              <w:rPr>
                <w:sz w:val="8"/>
                <w:szCs w:val="8"/>
                <w:color w:val="auto"/>
              </w:rPr>
            </w:pPr>
          </w:p>
        </w:tc>
        <w:tc>
          <w:tcPr>
            <w:tcW w:w="1280" w:type="dxa"/>
            <w:vAlign w:val="bottom"/>
            <w:gridSpan w:val="2"/>
          </w:tcPr>
          <w:p>
            <w:pPr>
              <w:jc w:val="center"/>
              <w:ind w:right="240"/>
              <w:spacing w:after="0" w:line="103"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120" w:type="dxa"/>
            <w:vAlign w:val="bottom"/>
          </w:tcPr>
          <w:p>
            <w:pPr>
              <w:spacing w:after="0"/>
              <w:rPr>
                <w:sz w:val="8"/>
                <w:szCs w:val="8"/>
                <w:color w:val="auto"/>
              </w:rPr>
            </w:pPr>
          </w:p>
        </w:tc>
        <w:tc>
          <w:tcPr>
            <w:tcW w:w="1120" w:type="dxa"/>
            <w:vAlign w:val="bottom"/>
            <w:gridSpan w:val="2"/>
          </w:tcPr>
          <w:p>
            <w:pPr>
              <w:jc w:val="center"/>
              <w:ind w:right="220"/>
              <w:spacing w:after="0" w:line="103" w:lineRule="exact"/>
              <w:rPr>
                <w:sz w:val="20"/>
                <w:szCs w:val="20"/>
                <w:color w:val="auto"/>
              </w:rPr>
            </w:pPr>
            <w:r>
              <w:rPr>
                <w:rFonts w:ascii="Times New Roman" w:cs="Times New Roman" w:eastAsia="Times New Roman" w:hAnsi="Times New Roman"/>
                <w:sz w:val="11"/>
                <w:szCs w:val="11"/>
                <w:b w:val="1"/>
                <w:bCs w:val="1"/>
                <w:color w:val="auto"/>
              </w:rPr>
              <w:t>Accumulated</w:t>
            </w:r>
          </w:p>
        </w:tc>
        <w:tc>
          <w:tcPr>
            <w:tcW w:w="140" w:type="dxa"/>
            <w:vAlign w:val="bottom"/>
          </w:tcPr>
          <w:p>
            <w:pPr>
              <w:spacing w:after="0"/>
              <w:rPr>
                <w:sz w:val="8"/>
                <w:szCs w:val="8"/>
                <w:color w:val="auto"/>
              </w:rPr>
            </w:pPr>
          </w:p>
        </w:tc>
        <w:tc>
          <w:tcPr>
            <w:tcW w:w="1120" w:type="dxa"/>
            <w:vAlign w:val="bottom"/>
          </w:tcPr>
          <w:p>
            <w:pPr>
              <w:jc w:val="center"/>
              <w:ind w:right="90"/>
              <w:spacing w:after="0" w:line="103" w:lineRule="exact"/>
              <w:rPr>
                <w:sz w:val="20"/>
                <w:szCs w:val="20"/>
                <w:color w:val="auto"/>
              </w:rPr>
            </w:pPr>
            <w:r>
              <w:rPr>
                <w:rFonts w:ascii="Times New Roman" w:cs="Times New Roman" w:eastAsia="Times New Roman" w:hAnsi="Times New Roman"/>
                <w:sz w:val="11"/>
                <w:szCs w:val="11"/>
                <w:b w:val="1"/>
                <w:bCs w:val="1"/>
                <w:color w:val="auto"/>
              </w:rPr>
              <w:t>Stockholders’</w:t>
            </w:r>
          </w:p>
        </w:tc>
        <w:tc>
          <w:tcPr>
            <w:tcW w:w="0" w:type="dxa"/>
            <w:vAlign w:val="bottom"/>
          </w:tcPr>
          <w:p>
            <w:pPr>
              <w:spacing w:after="0"/>
              <w:rPr>
                <w:sz w:val="1"/>
                <w:szCs w:val="1"/>
                <w:color w:val="auto"/>
              </w:rPr>
            </w:pPr>
          </w:p>
        </w:tc>
      </w:tr>
      <w:tr>
        <w:trPr>
          <w:trHeight w:val="201"/>
        </w:trPr>
        <w:tc>
          <w:tcPr>
            <w:tcW w:w="116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7"/>
                <w:szCs w:val="17"/>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7"/>
                <w:szCs w:val="17"/>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 Income</w:t>
            </w:r>
          </w:p>
        </w:tc>
        <w:tc>
          <w:tcPr>
            <w:tcW w:w="12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7"/>
                <w:szCs w:val="17"/>
                <w:color w:val="auto"/>
              </w:rPr>
            </w:pPr>
          </w:p>
        </w:tc>
        <w:tc>
          <w:tcPr>
            <w:tcW w:w="1120" w:type="dxa"/>
            <w:vAlign w:val="bottom"/>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82"/>
        </w:trPr>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273,486,167</w:t>
            </w:r>
          </w:p>
        </w:tc>
        <w:tc>
          <w:tcPr>
            <w:tcW w:w="12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760,990</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(17,398)</w:t>
            </w:r>
          </w:p>
        </w:tc>
        <w:tc>
          <w:tcPr>
            <w:tcW w:w="12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743,796</w:t>
            </w:r>
          </w:p>
        </w:tc>
        <w:tc>
          <w:tcPr>
            <w:tcW w:w="0" w:type="dxa"/>
            <w:vAlign w:val="bottom"/>
          </w:tcPr>
          <w:p>
            <w:pPr>
              <w:spacing w:after="0"/>
              <w:rPr>
                <w:sz w:val="1"/>
                <w:szCs w:val="1"/>
                <w:color w:val="auto"/>
              </w:rPr>
            </w:pPr>
          </w:p>
        </w:tc>
      </w:tr>
      <w:tr>
        <w:trPr>
          <w:trHeight w:val="450"/>
        </w:trPr>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2,740,291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3,845</w:t>
            </w:r>
          </w:p>
        </w:tc>
        <w:tc>
          <w:tcPr>
            <w:tcW w:w="0" w:type="dxa"/>
            <w:vAlign w:val="bottom"/>
          </w:tcPr>
          <w:p>
            <w:pPr>
              <w:spacing w:after="0"/>
              <w:rPr>
                <w:sz w:val="1"/>
                <w:szCs w:val="1"/>
                <w:color w:val="auto"/>
              </w:rPr>
            </w:pPr>
          </w:p>
        </w:tc>
      </w:tr>
      <w:tr>
        <w:trPr>
          <w:trHeight w:val="324"/>
        </w:trPr>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21,946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21,946</w:t>
            </w:r>
          </w:p>
        </w:tc>
        <w:tc>
          <w:tcPr>
            <w:tcW w:w="0" w:type="dxa"/>
            <w:vAlign w:val="bottom"/>
          </w:tcPr>
          <w:p>
            <w:pPr>
              <w:spacing w:after="0"/>
              <w:rPr>
                <w:sz w:val="1"/>
                <w:szCs w:val="1"/>
                <w:color w:val="auto"/>
              </w:rPr>
            </w:pPr>
          </w:p>
        </w:tc>
      </w:tr>
      <w:tr>
        <w:trPr>
          <w:trHeight w:val="189"/>
        </w:trPr>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719</w:t>
            </w:r>
          </w:p>
        </w:tc>
        <w:tc>
          <w:tcPr>
            <w:tcW w:w="0" w:type="dxa"/>
            <w:vAlign w:val="bottom"/>
          </w:tcPr>
          <w:p>
            <w:pPr>
              <w:spacing w:after="0"/>
              <w:rPr>
                <w:sz w:val="1"/>
                <w:szCs w:val="1"/>
                <w:color w:val="auto"/>
              </w:rPr>
            </w:pPr>
          </w:p>
        </w:tc>
      </w:tr>
      <w:tr>
        <w:trPr>
          <w:trHeight w:val="194"/>
        </w:trPr>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2,211</w:t>
            </w:r>
          </w:p>
        </w:tc>
        <w:tc>
          <w:tcPr>
            <w:tcW w:w="0" w:type="dxa"/>
            <w:vAlign w:val="bottom"/>
          </w:tcPr>
          <w:p>
            <w:pPr>
              <w:spacing w:after="0"/>
              <w:rPr>
                <w:sz w:val="1"/>
                <w:szCs w:val="1"/>
                <w:color w:val="auto"/>
              </w:rPr>
            </w:pPr>
          </w:p>
        </w:tc>
      </w:tr>
      <w:tr>
        <w:trPr>
          <w:trHeight w:val="277"/>
        </w:trPr>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276,226,458</w:t>
            </w:r>
          </w:p>
        </w:tc>
        <w:tc>
          <w:tcPr>
            <w:tcW w:w="120" w:type="dxa"/>
            <w:vAlign w:val="bottom"/>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100" w:type="dxa"/>
            <w:vAlign w:val="bottom"/>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786,778</w:t>
            </w:r>
          </w:p>
        </w:tc>
        <w:tc>
          <w:tcPr>
            <w:tcW w:w="100" w:type="dxa"/>
            <w:vAlign w:val="bottom"/>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651</w:t>
            </w:r>
          </w:p>
        </w:tc>
        <w:tc>
          <w:tcPr>
            <w:tcW w:w="100" w:type="dxa"/>
            <w:vAlign w:val="bottom"/>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(15,187)</w:t>
            </w:r>
          </w:p>
        </w:tc>
        <w:tc>
          <w:tcPr>
            <w:tcW w:w="120" w:type="dxa"/>
            <w:vAlign w:val="bottom"/>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772,517</w:t>
            </w:r>
          </w:p>
        </w:tc>
        <w:tc>
          <w:tcPr>
            <w:tcW w:w="0" w:type="dxa"/>
            <w:vAlign w:val="bottom"/>
          </w:tcPr>
          <w:p>
            <w:pPr>
              <w:spacing w:after="0"/>
              <w:rPr>
                <w:sz w:val="1"/>
                <w:szCs w:val="1"/>
                <w:color w:val="auto"/>
              </w:rPr>
            </w:pPr>
          </w:p>
        </w:tc>
      </w:tr>
      <w:tr>
        <w:trPr>
          <w:trHeight w:val="25"/>
        </w:trPr>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sectPr>
          <w:pgSz w:w="11900" w:h="16838" w:orient="portrait"/>
          <w:cols w:equalWidth="0" w:num="2">
            <w:col w:w="4000" w:space="200"/>
            <w:col w:w="7040"/>
          </w:cols>
          <w:pgMar w:left="320" w:top="121"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ZOOM VIDEO COMMUNICATIONS,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CONVERTIBLE PREFERRED STOCK AND STOCKHOLDERS’ EQUITY (DEFICIT)</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Nine Months Ended October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23488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234886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12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760" w:type="dxa"/>
            <w:vAlign w:val="bottom"/>
          </w:tcPr>
          <w:p>
            <w:pPr>
              <w:spacing w:after="0"/>
              <w:rPr>
                <w:sz w:val="13"/>
                <w:szCs w:val="13"/>
                <w:color w:val="auto"/>
              </w:rPr>
            </w:pPr>
          </w:p>
        </w:tc>
        <w:tc>
          <w:tcPr>
            <w:tcW w:w="1480" w:type="dxa"/>
            <w:vAlign w:val="bottom"/>
            <w:gridSpan w:val="3"/>
          </w:tcPr>
          <w:p>
            <w:pPr>
              <w:ind w:left="740"/>
              <w:spacing w:after="0"/>
              <w:rPr>
                <w:sz w:val="20"/>
                <w:szCs w:val="20"/>
                <w:color w:val="auto"/>
              </w:rPr>
            </w:pPr>
            <w:r>
              <w:rPr>
                <w:rFonts w:ascii="Times New Roman" w:cs="Times New Roman" w:eastAsia="Times New Roman" w:hAnsi="Times New Roman"/>
                <w:sz w:val="14"/>
                <w:szCs w:val="14"/>
                <w:b w:val="1"/>
                <w:bCs w:val="1"/>
                <w:color w:val="auto"/>
              </w:rPr>
              <w:t>Convertible</w:t>
            </w: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760" w:type="dxa"/>
            <w:vAlign w:val="bottom"/>
          </w:tcPr>
          <w:p>
            <w:pPr>
              <w:spacing w:after="0"/>
              <w:rPr>
                <w:sz w:val="16"/>
                <w:szCs w:val="16"/>
                <w:color w:val="auto"/>
              </w:rPr>
            </w:pPr>
          </w:p>
        </w:tc>
        <w:tc>
          <w:tcPr>
            <w:tcW w:w="2220" w:type="dxa"/>
            <w:vAlign w:val="bottom"/>
            <w:tcBorders>
              <w:bottom w:val="single" w:sz="8" w:color="auto"/>
            </w:tcBorders>
            <w:gridSpan w:val="4"/>
          </w:tcPr>
          <w:p>
            <w:pPr>
              <w:ind w:left="62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0" w:type="dxa"/>
            <w:vAlign w:val="bottom"/>
          </w:tcPr>
          <w:p>
            <w:pPr>
              <w:spacing w:after="0"/>
              <w:rPr>
                <w:sz w:val="1"/>
                <w:szCs w:val="1"/>
                <w:color w:val="auto"/>
              </w:rPr>
            </w:pPr>
          </w:p>
        </w:tc>
      </w:tr>
      <w:tr>
        <w:trPr>
          <w:trHeight w:val="189"/>
        </w:trPr>
        <w:tc>
          <w:tcPr>
            <w:tcW w:w="1760" w:type="dxa"/>
            <w:vAlign w:val="bottom"/>
          </w:tcPr>
          <w:p>
            <w:pPr>
              <w:spacing w:after="0"/>
              <w:rPr>
                <w:sz w:val="16"/>
                <w:szCs w:val="16"/>
                <w:color w:val="auto"/>
              </w:rPr>
            </w:pPr>
          </w:p>
        </w:tc>
        <w:tc>
          <w:tcPr>
            <w:tcW w:w="11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22"/>
        </w:trPr>
        <w:tc>
          <w:tcPr>
            <w:tcW w:w="176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Balance as of January 31,</w:t>
            </w:r>
          </w:p>
        </w:tc>
        <w:tc>
          <w:tcPr>
            <w:tcW w:w="1260" w:type="dxa"/>
            <w:vAlign w:val="bottom"/>
            <w:gridSpan w:val="2"/>
            <w:vMerge w:val="restart"/>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vMerge w:val="restart"/>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1760" w:type="dxa"/>
            <w:vAlign w:val="bottom"/>
          </w:tcPr>
          <w:p>
            <w:pPr>
              <w:spacing w:after="0"/>
              <w:rPr>
                <w:sz w:val="20"/>
                <w:szCs w:val="20"/>
                <w:color w:val="auto"/>
              </w:rPr>
            </w:pPr>
            <w:r>
              <w:rPr>
                <w:rFonts w:ascii="Times New Roman" w:cs="Times New Roman" w:eastAsia="Times New Roman" w:hAnsi="Times New Roman"/>
                <w:sz w:val="14"/>
                <w:szCs w:val="14"/>
                <w:color w:val="auto"/>
              </w:rPr>
              <w:t>2020</w:t>
            </w:r>
          </w:p>
        </w:tc>
        <w:tc>
          <w:tcPr>
            <w:tcW w:w="1260" w:type="dxa"/>
            <w:vAlign w:val="bottom"/>
            <w:gridSpan w:val="2"/>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176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Issuance of common stock</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76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upon exercise of stock</w:t>
            </w:r>
          </w:p>
        </w:tc>
        <w:tc>
          <w:tcPr>
            <w:tcW w:w="1260" w:type="dxa"/>
            <w:vAlign w:val="bottom"/>
            <w:gridSpan w:val="2"/>
            <w:vMerge w:val="restart"/>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1"/>
                <w:szCs w:val="11"/>
                <w:color w:val="auto"/>
              </w:rPr>
            </w:pPr>
          </w:p>
        </w:tc>
        <w:tc>
          <w:tcPr>
            <w:tcW w:w="740" w:type="dxa"/>
            <w:vAlign w:val="bottom"/>
            <w:vMerge w:val="restart"/>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1760" w:type="dxa"/>
            <w:vAlign w:val="bottom"/>
          </w:tcPr>
          <w:p>
            <w:pPr>
              <w:spacing w:after="0"/>
              <w:rPr>
                <w:sz w:val="20"/>
                <w:szCs w:val="20"/>
                <w:color w:val="auto"/>
              </w:rPr>
            </w:pPr>
            <w:r>
              <w:rPr>
                <w:rFonts w:ascii="Times New Roman" w:cs="Times New Roman" w:eastAsia="Times New Roman" w:hAnsi="Times New Roman"/>
                <w:sz w:val="14"/>
                <w:szCs w:val="14"/>
                <w:color w:val="auto"/>
              </w:rPr>
              <w:t>options</w:t>
            </w:r>
          </w:p>
        </w:tc>
        <w:tc>
          <w:tcPr>
            <w:tcW w:w="12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176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Issuance of common stock</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76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upon release of restricted</w:t>
            </w:r>
          </w:p>
        </w:tc>
        <w:tc>
          <w:tcPr>
            <w:tcW w:w="1260" w:type="dxa"/>
            <w:vAlign w:val="bottom"/>
            <w:gridSpan w:val="2"/>
            <w:vMerge w:val="restart"/>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1"/>
                <w:szCs w:val="11"/>
                <w:color w:val="auto"/>
              </w:rPr>
            </w:pPr>
          </w:p>
        </w:tc>
        <w:tc>
          <w:tcPr>
            <w:tcW w:w="740" w:type="dxa"/>
            <w:vAlign w:val="bottom"/>
            <w:vMerge w:val="restart"/>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1760" w:type="dxa"/>
            <w:vAlign w:val="bottom"/>
          </w:tcPr>
          <w:p>
            <w:pPr>
              <w:spacing w:after="0"/>
              <w:rPr>
                <w:sz w:val="20"/>
                <w:szCs w:val="20"/>
                <w:color w:val="auto"/>
              </w:rPr>
            </w:pPr>
            <w:r>
              <w:rPr>
                <w:rFonts w:ascii="Times New Roman" w:cs="Times New Roman" w:eastAsia="Times New Roman" w:hAnsi="Times New Roman"/>
                <w:sz w:val="14"/>
                <w:szCs w:val="14"/>
                <w:color w:val="auto"/>
              </w:rPr>
              <w:t>stock units</w:t>
            </w:r>
          </w:p>
        </w:tc>
        <w:tc>
          <w:tcPr>
            <w:tcW w:w="12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176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Charitable donation of</w:t>
            </w:r>
          </w:p>
        </w:tc>
        <w:tc>
          <w:tcPr>
            <w:tcW w:w="1260" w:type="dxa"/>
            <w:vAlign w:val="bottom"/>
            <w:gridSpan w:val="2"/>
            <w:vMerge w:val="restart"/>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40" w:type="dxa"/>
            <w:vAlign w:val="bottom"/>
            <w:vMerge w:val="restart"/>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1760" w:type="dxa"/>
            <w:vAlign w:val="bottom"/>
          </w:tcPr>
          <w:p>
            <w:pPr>
              <w:spacing w:after="0"/>
              <w:rPr>
                <w:sz w:val="20"/>
                <w:szCs w:val="20"/>
                <w:color w:val="auto"/>
              </w:rPr>
            </w:pPr>
            <w:r>
              <w:rPr>
                <w:rFonts w:ascii="Times New Roman" w:cs="Times New Roman" w:eastAsia="Times New Roman" w:hAnsi="Times New Roman"/>
                <w:sz w:val="14"/>
                <w:szCs w:val="14"/>
                <w:color w:val="auto"/>
              </w:rPr>
              <w:t>common stock</w:t>
            </w:r>
          </w:p>
        </w:tc>
        <w:tc>
          <w:tcPr>
            <w:tcW w:w="12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176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Issuance of common stock</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76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for employee stock purchase</w:t>
            </w:r>
          </w:p>
        </w:tc>
        <w:tc>
          <w:tcPr>
            <w:tcW w:w="1260" w:type="dxa"/>
            <w:vAlign w:val="bottom"/>
            <w:gridSpan w:val="2"/>
            <w:vMerge w:val="restart"/>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1"/>
                <w:szCs w:val="11"/>
                <w:color w:val="auto"/>
              </w:rPr>
            </w:pPr>
          </w:p>
        </w:tc>
        <w:tc>
          <w:tcPr>
            <w:tcW w:w="740" w:type="dxa"/>
            <w:vAlign w:val="bottom"/>
            <w:vMerge w:val="restart"/>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1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plan</w:t>
            </w:r>
          </w:p>
        </w:tc>
        <w:tc>
          <w:tcPr>
            <w:tcW w:w="12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176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Stock-based compensation</w:t>
            </w:r>
          </w:p>
        </w:tc>
        <w:tc>
          <w:tcPr>
            <w:tcW w:w="1260" w:type="dxa"/>
            <w:vAlign w:val="bottom"/>
            <w:gridSpan w:val="2"/>
            <w:vMerge w:val="restart"/>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40" w:type="dxa"/>
            <w:vAlign w:val="bottom"/>
            <w:vMerge w:val="restart"/>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1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expense</w:t>
            </w:r>
          </w:p>
        </w:tc>
        <w:tc>
          <w:tcPr>
            <w:tcW w:w="12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26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176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114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2"/>
        </w:trPr>
        <w:tc>
          <w:tcPr>
            <w:tcW w:w="176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Balance as of October 31,</w:t>
            </w:r>
          </w:p>
        </w:tc>
        <w:tc>
          <w:tcPr>
            <w:tcW w:w="1260" w:type="dxa"/>
            <w:vAlign w:val="bottom"/>
            <w:gridSpan w:val="2"/>
            <w:vMerge w:val="restart"/>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vMerge w:val="restart"/>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1760" w:type="dxa"/>
            <w:vAlign w:val="bottom"/>
          </w:tcPr>
          <w:p>
            <w:pPr>
              <w:spacing w:after="0"/>
              <w:rPr>
                <w:sz w:val="20"/>
                <w:szCs w:val="20"/>
                <w:color w:val="auto"/>
              </w:rPr>
            </w:pPr>
            <w:r>
              <w:rPr>
                <w:rFonts w:ascii="Times New Roman" w:cs="Times New Roman" w:eastAsia="Times New Roman" w:hAnsi="Times New Roman"/>
                <w:sz w:val="14"/>
                <w:szCs w:val="14"/>
                <w:color w:val="auto"/>
              </w:rPr>
              <w:t>2020</w:t>
            </w:r>
          </w:p>
        </w:tc>
        <w:tc>
          <w:tcPr>
            <w:tcW w:w="1260" w:type="dxa"/>
            <w:vAlign w:val="bottom"/>
            <w:gridSpan w:val="2"/>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7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3"/>
                <w:szCs w:val="13"/>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vMerge w:val="restart"/>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35"/>
        </w:trPr>
        <w:tc>
          <w:tcPr>
            <w:tcW w:w="1980" w:type="dxa"/>
            <w:vAlign w:val="bottom"/>
            <w:gridSpan w:val="4"/>
            <w:vMerge w:val="restart"/>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980" w:type="dxa"/>
            <w:vAlign w:val="bottom"/>
            <w:tcBorders>
              <w:bottom w:val="single" w:sz="8" w:color="auto"/>
            </w:tcBorders>
            <w:gridSpan w:val="4"/>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gridSpan w:val="2"/>
          </w:tcPr>
          <w:p>
            <w:pPr>
              <w:jc w:val="center"/>
              <w:ind w:right="240"/>
              <w:spacing w:after="0" w:line="103" w:lineRule="exact"/>
              <w:rPr>
                <w:sz w:val="20"/>
                <w:szCs w:val="20"/>
                <w:color w:val="auto"/>
              </w:rPr>
            </w:pPr>
            <w:r>
              <w:rPr>
                <w:rFonts w:ascii="Times New Roman" w:cs="Times New Roman" w:eastAsia="Times New Roman" w:hAnsi="Times New Roman"/>
                <w:sz w:val="11"/>
                <w:szCs w:val="11"/>
                <w:b w:val="1"/>
                <w:bCs w:val="1"/>
                <w:color w:val="auto"/>
              </w:rPr>
              <w:t>Paid-In</w:t>
            </w:r>
          </w:p>
        </w:tc>
        <w:tc>
          <w:tcPr>
            <w:tcW w:w="140" w:type="dxa"/>
            <w:vAlign w:val="bottom"/>
          </w:tcPr>
          <w:p>
            <w:pPr>
              <w:spacing w:after="0"/>
              <w:rPr>
                <w:sz w:val="8"/>
                <w:szCs w:val="8"/>
                <w:color w:val="auto"/>
              </w:rPr>
            </w:pPr>
          </w:p>
        </w:tc>
        <w:tc>
          <w:tcPr>
            <w:tcW w:w="1280" w:type="dxa"/>
            <w:vAlign w:val="bottom"/>
            <w:gridSpan w:val="2"/>
          </w:tcPr>
          <w:p>
            <w:pPr>
              <w:jc w:val="center"/>
              <w:ind w:right="240"/>
              <w:spacing w:after="0" w:line="103"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180" w:type="dxa"/>
            <w:vAlign w:val="bottom"/>
          </w:tcPr>
          <w:p>
            <w:pPr>
              <w:spacing w:after="0"/>
              <w:rPr>
                <w:sz w:val="8"/>
                <w:szCs w:val="8"/>
                <w:color w:val="auto"/>
              </w:rPr>
            </w:pPr>
          </w:p>
        </w:tc>
        <w:tc>
          <w:tcPr>
            <w:tcW w:w="1040" w:type="dxa"/>
            <w:vAlign w:val="bottom"/>
            <w:gridSpan w:val="2"/>
          </w:tcPr>
          <w:p>
            <w:pPr>
              <w:ind w:left="100"/>
              <w:spacing w:after="0" w:line="103" w:lineRule="exact"/>
              <w:rPr>
                <w:sz w:val="20"/>
                <w:szCs w:val="20"/>
                <w:color w:val="auto"/>
              </w:rPr>
            </w:pPr>
            <w:r>
              <w:rPr>
                <w:rFonts w:ascii="Times New Roman" w:cs="Times New Roman" w:eastAsia="Times New Roman" w:hAnsi="Times New Roman"/>
                <w:sz w:val="11"/>
                <w:szCs w:val="11"/>
                <w:b w:val="1"/>
                <w:bCs w:val="1"/>
                <w:color w:val="auto"/>
              </w:rPr>
              <w:t>Retained</w:t>
            </w:r>
          </w:p>
        </w:tc>
        <w:tc>
          <w:tcPr>
            <w:tcW w:w="140" w:type="dxa"/>
            <w:vAlign w:val="bottom"/>
          </w:tcPr>
          <w:p>
            <w:pPr>
              <w:spacing w:after="0"/>
              <w:rPr>
                <w:sz w:val="8"/>
                <w:szCs w:val="8"/>
                <w:color w:val="auto"/>
              </w:rPr>
            </w:pPr>
          </w:p>
        </w:tc>
        <w:tc>
          <w:tcPr>
            <w:tcW w:w="1120" w:type="dxa"/>
            <w:vAlign w:val="bottom"/>
          </w:tcPr>
          <w:p>
            <w:pPr>
              <w:jc w:val="center"/>
              <w:ind w:right="89"/>
              <w:spacing w:after="0" w:line="103" w:lineRule="exact"/>
              <w:rPr>
                <w:sz w:val="20"/>
                <w:szCs w:val="20"/>
                <w:color w:val="auto"/>
              </w:rPr>
            </w:pPr>
            <w:r>
              <w:rPr>
                <w:rFonts w:ascii="Times New Roman" w:cs="Times New Roman" w:eastAsia="Times New Roman" w:hAnsi="Times New Roman"/>
                <w:sz w:val="11"/>
                <w:szCs w:val="11"/>
                <w:b w:val="1"/>
                <w:bCs w:val="1"/>
                <w:color w:val="auto"/>
              </w:rPr>
              <w:t>Stockholders’</w:t>
            </w:r>
          </w:p>
        </w:tc>
        <w:tc>
          <w:tcPr>
            <w:tcW w:w="0" w:type="dxa"/>
            <w:vAlign w:val="bottom"/>
          </w:tcPr>
          <w:p>
            <w:pPr>
              <w:spacing w:after="0"/>
              <w:rPr>
                <w:sz w:val="1"/>
                <w:szCs w:val="1"/>
                <w:color w:val="auto"/>
              </w:rPr>
            </w:pPr>
          </w:p>
        </w:tc>
      </w:tr>
      <w:tr>
        <w:trPr>
          <w:trHeight w:val="201"/>
        </w:trPr>
        <w:tc>
          <w:tcPr>
            <w:tcW w:w="116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7"/>
                <w:szCs w:val="17"/>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4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80" w:type="dxa"/>
            <w:vAlign w:val="bottom"/>
          </w:tcPr>
          <w:p>
            <w:pPr>
              <w:spacing w:after="0"/>
              <w:rPr>
                <w:sz w:val="17"/>
                <w:szCs w:val="17"/>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7"/>
                <w:szCs w:val="17"/>
                <w:color w:val="auto"/>
              </w:rPr>
            </w:pPr>
          </w:p>
        </w:tc>
        <w:tc>
          <w:tcPr>
            <w:tcW w:w="1120" w:type="dxa"/>
            <w:vAlign w:val="bottom"/>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94"/>
        </w:trPr>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278,731,143</w:t>
            </w:r>
          </w:p>
        </w:tc>
        <w:tc>
          <w:tcPr>
            <w:tcW w:w="120" w:type="dxa"/>
            <w:vAlign w:val="bottom"/>
          </w:tcPr>
          <w:p>
            <w:pPr>
              <w:spacing w:after="0"/>
              <w:rPr>
                <w:sz w:val="24"/>
                <w:szCs w:val="2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277</w:t>
            </w:r>
          </w:p>
        </w:tc>
        <w:tc>
          <w:tcPr>
            <w:tcW w:w="100" w:type="dxa"/>
            <w:vAlign w:val="bottom"/>
          </w:tcPr>
          <w:p>
            <w:pPr>
              <w:spacing w:after="0"/>
              <w:rPr>
                <w:sz w:val="24"/>
                <w:szCs w:val="2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832,705</w:t>
            </w:r>
          </w:p>
        </w:tc>
        <w:tc>
          <w:tcPr>
            <w:tcW w:w="100" w:type="dxa"/>
            <w:vAlign w:val="bottom"/>
          </w:tcPr>
          <w:p>
            <w:pPr>
              <w:spacing w:after="0"/>
              <w:rPr>
                <w:sz w:val="24"/>
                <w:szCs w:val="2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809</w:t>
            </w:r>
          </w:p>
        </w:tc>
        <w:tc>
          <w:tcPr>
            <w:tcW w:w="120" w:type="dxa"/>
            <w:vAlign w:val="bottom"/>
          </w:tcPr>
          <w:p>
            <w:pPr>
              <w:spacing w:after="0"/>
              <w:rPr>
                <w:sz w:val="24"/>
                <w:szCs w:val="24"/>
                <w:color w:val="auto"/>
              </w:rPr>
            </w:pPr>
          </w:p>
        </w:tc>
        <w:tc>
          <w:tcPr>
            <w:tcW w:w="1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120" w:type="dxa"/>
            <w:vAlign w:val="bottom"/>
          </w:tcPr>
          <w:p>
            <w:pPr>
              <w:spacing w:after="0"/>
              <w:rPr>
                <w:sz w:val="24"/>
                <w:szCs w:val="2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833,943</w:t>
            </w:r>
          </w:p>
        </w:tc>
        <w:tc>
          <w:tcPr>
            <w:tcW w:w="0" w:type="dxa"/>
            <w:vAlign w:val="bottom"/>
          </w:tcPr>
          <w:p>
            <w:pPr>
              <w:spacing w:after="0"/>
              <w:rPr>
                <w:sz w:val="1"/>
                <w:szCs w:val="1"/>
                <w:color w:val="auto"/>
              </w:rPr>
            </w:pPr>
          </w:p>
        </w:tc>
      </w:tr>
      <w:tr>
        <w:trPr>
          <w:trHeight w:val="459"/>
        </w:trPr>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6,164,676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24,285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24,291</w:t>
            </w:r>
          </w:p>
        </w:tc>
        <w:tc>
          <w:tcPr>
            <w:tcW w:w="0" w:type="dxa"/>
            <w:vAlign w:val="bottom"/>
          </w:tcPr>
          <w:p>
            <w:pPr>
              <w:spacing w:after="0"/>
              <w:rPr>
                <w:sz w:val="1"/>
                <w:szCs w:val="1"/>
                <w:color w:val="auto"/>
              </w:rPr>
            </w:pPr>
          </w:p>
        </w:tc>
      </w:tr>
      <w:tr>
        <w:trPr>
          <w:trHeight w:val="459"/>
        </w:trPr>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443,836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24"/>
        </w:trPr>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8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23,312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23,312</w:t>
            </w:r>
          </w:p>
        </w:tc>
        <w:tc>
          <w:tcPr>
            <w:tcW w:w="0" w:type="dxa"/>
            <w:vAlign w:val="bottom"/>
          </w:tcPr>
          <w:p>
            <w:pPr>
              <w:spacing w:after="0"/>
              <w:rPr>
                <w:sz w:val="1"/>
                <w:szCs w:val="1"/>
                <w:color w:val="auto"/>
              </w:rPr>
            </w:pPr>
          </w:p>
        </w:tc>
      </w:tr>
      <w:tr>
        <w:trPr>
          <w:trHeight w:val="459"/>
        </w:trPr>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605,924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20,759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20,760</w:t>
            </w:r>
          </w:p>
        </w:tc>
        <w:tc>
          <w:tcPr>
            <w:tcW w:w="0" w:type="dxa"/>
            <w:vAlign w:val="bottom"/>
          </w:tcPr>
          <w:p>
            <w:pPr>
              <w:spacing w:after="0"/>
              <w:rPr>
                <w:sz w:val="1"/>
                <w:szCs w:val="1"/>
                <w:color w:val="auto"/>
              </w:rPr>
            </w:pPr>
          </w:p>
        </w:tc>
      </w:tr>
      <w:tr>
        <w:trPr>
          <w:trHeight w:val="324"/>
        </w:trPr>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8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185,398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185,398</w:t>
            </w:r>
          </w:p>
        </w:tc>
        <w:tc>
          <w:tcPr>
            <w:tcW w:w="0" w:type="dxa"/>
            <w:vAlign w:val="bottom"/>
          </w:tcPr>
          <w:p>
            <w:pPr>
              <w:spacing w:after="0"/>
              <w:rPr>
                <w:sz w:val="1"/>
                <w:szCs w:val="1"/>
                <w:color w:val="auto"/>
              </w:rPr>
            </w:pPr>
          </w:p>
        </w:tc>
      </w:tr>
      <w:tr>
        <w:trPr>
          <w:trHeight w:val="189"/>
        </w:trPr>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w:t>
            </w:r>
          </w:p>
        </w:tc>
        <w:tc>
          <w:tcPr>
            <w:tcW w:w="0" w:type="dxa"/>
            <w:vAlign w:val="bottom"/>
          </w:tcPr>
          <w:p>
            <w:pPr>
              <w:spacing w:after="0"/>
              <w:rPr>
                <w:sz w:val="1"/>
                <w:szCs w:val="1"/>
                <w:color w:val="auto"/>
              </w:rPr>
            </w:pPr>
          </w:p>
        </w:tc>
      </w:tr>
      <w:tr>
        <w:trPr>
          <w:trHeight w:val="194"/>
        </w:trPr>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411,706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411,706</w:t>
            </w:r>
          </w:p>
        </w:tc>
        <w:tc>
          <w:tcPr>
            <w:tcW w:w="0" w:type="dxa"/>
            <w:vAlign w:val="bottom"/>
          </w:tcPr>
          <w:p>
            <w:pPr>
              <w:spacing w:after="0"/>
              <w:rPr>
                <w:sz w:val="1"/>
                <w:szCs w:val="1"/>
                <w:color w:val="auto"/>
              </w:rPr>
            </w:pPr>
          </w:p>
        </w:tc>
      </w:tr>
      <w:tr>
        <w:trPr>
          <w:trHeight w:val="277"/>
        </w:trPr>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285,945,579</w:t>
            </w:r>
          </w:p>
        </w:tc>
        <w:tc>
          <w:tcPr>
            <w:tcW w:w="120" w:type="dxa"/>
            <w:vAlign w:val="bottom"/>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100" w:type="dxa"/>
            <w:vAlign w:val="bottom"/>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1,086,459</w:t>
            </w:r>
          </w:p>
        </w:tc>
        <w:tc>
          <w:tcPr>
            <w:tcW w:w="100" w:type="dxa"/>
            <w:vAlign w:val="bottom"/>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1,317</w:t>
            </w:r>
          </w:p>
        </w:tc>
        <w:tc>
          <w:tcPr>
            <w:tcW w:w="120" w:type="dxa"/>
            <w:vAlign w:val="bottom"/>
          </w:tcPr>
          <w:p>
            <w:pPr>
              <w:spacing w:after="0"/>
              <w:rPr>
                <w:sz w:val="24"/>
                <w:szCs w:val="24"/>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411,858</w:t>
            </w:r>
          </w:p>
        </w:tc>
        <w:tc>
          <w:tcPr>
            <w:tcW w:w="120" w:type="dxa"/>
            <w:vAlign w:val="bottom"/>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1,499,918</w:t>
            </w:r>
          </w:p>
        </w:tc>
        <w:tc>
          <w:tcPr>
            <w:tcW w:w="0" w:type="dxa"/>
            <w:vAlign w:val="bottom"/>
          </w:tcPr>
          <w:p>
            <w:pPr>
              <w:spacing w:after="0"/>
              <w:rPr>
                <w:sz w:val="1"/>
                <w:szCs w:val="1"/>
                <w:color w:val="auto"/>
              </w:rPr>
            </w:pPr>
          </w:p>
        </w:tc>
      </w:tr>
      <w:tr>
        <w:trPr>
          <w:trHeight w:val="26"/>
        </w:trPr>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4000" w:space="200"/>
            <w:col w:w="70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 w:name="page10"/>
    <w:bookmarkEnd w:id="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right"/>
        <w:ind w:right="3580"/>
        <w:spacing w:after="0"/>
        <w:rPr>
          <w:sz w:val="20"/>
          <w:szCs w:val="20"/>
          <w:color w:val="auto"/>
        </w:rPr>
      </w:pPr>
      <w:r>
        <w:rPr>
          <w:rFonts w:ascii="Times New Roman" w:cs="Times New Roman" w:eastAsia="Times New Roman" w:hAnsi="Times New Roman"/>
          <w:sz w:val="14"/>
          <w:szCs w:val="14"/>
          <w:b w:val="1"/>
          <w:bCs w:val="1"/>
          <w:color w:val="auto"/>
        </w:rPr>
        <w:t>Nine Months Ended October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31546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315468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60" w:type="dxa"/>
            <w:vAlign w:val="bottom"/>
          </w:tcPr>
          <w:p>
            <w:pPr>
              <w:spacing w:after="0"/>
              <w:rPr>
                <w:sz w:val="13"/>
                <w:szCs w:val="13"/>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Convertible</w:t>
            </w: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760" w:type="dxa"/>
            <w:vAlign w:val="bottom"/>
          </w:tcPr>
          <w:p>
            <w:pPr>
              <w:spacing w:after="0"/>
              <w:rPr>
                <w:sz w:val="16"/>
                <w:szCs w:val="16"/>
                <w:color w:val="auto"/>
              </w:rPr>
            </w:pPr>
          </w:p>
        </w:tc>
        <w:tc>
          <w:tcPr>
            <w:tcW w:w="2240" w:type="dxa"/>
            <w:vAlign w:val="bottom"/>
            <w:tcBorders>
              <w:bottom w:val="single" w:sz="8" w:color="auto"/>
            </w:tcBorders>
            <w:gridSpan w:val="4"/>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0" w:type="dxa"/>
            <w:vAlign w:val="bottom"/>
          </w:tcPr>
          <w:p>
            <w:pPr>
              <w:spacing w:after="0"/>
              <w:rPr>
                <w:sz w:val="1"/>
                <w:szCs w:val="1"/>
                <w:color w:val="auto"/>
              </w:rPr>
            </w:pPr>
          </w:p>
        </w:tc>
      </w:tr>
      <w:tr>
        <w:trPr>
          <w:trHeight w:val="191"/>
        </w:trPr>
        <w:tc>
          <w:tcPr>
            <w:tcW w:w="1760" w:type="dxa"/>
            <w:vAlign w:val="bottom"/>
          </w:tcPr>
          <w:p>
            <w:pPr>
              <w:spacing w:after="0"/>
              <w:rPr>
                <w:sz w:val="16"/>
                <w:szCs w:val="16"/>
                <w:color w:val="auto"/>
              </w:rPr>
            </w:pPr>
          </w:p>
        </w:tc>
        <w:tc>
          <w:tcPr>
            <w:tcW w:w="128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6"/>
                <w:szCs w:val="16"/>
                <w:color w:val="auto"/>
              </w:rPr>
            </w:pPr>
          </w:p>
        </w:tc>
        <w:tc>
          <w:tcPr>
            <w:tcW w:w="76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20"/>
        </w:trPr>
        <w:tc>
          <w:tcPr>
            <w:tcW w:w="1760" w:type="dxa"/>
            <w:vAlign w:val="bottom"/>
            <w:tcBorders>
              <w:top w:val="single" w:sz="8" w:color="CFF0FC"/>
            </w:tcBorders>
            <w:shd w:val="clear" w:color="auto" w:fill="CFF0FC"/>
          </w:tcPr>
          <w:p>
            <w:pPr>
              <w:ind w:left="20"/>
              <w:spacing w:after="0" w:line="120" w:lineRule="exact"/>
              <w:rPr>
                <w:sz w:val="20"/>
                <w:szCs w:val="20"/>
                <w:color w:val="auto"/>
              </w:rPr>
            </w:pPr>
            <w:r>
              <w:rPr>
                <w:rFonts w:ascii="Times New Roman" w:cs="Times New Roman" w:eastAsia="Times New Roman" w:hAnsi="Times New Roman"/>
                <w:sz w:val="13"/>
                <w:szCs w:val="13"/>
                <w:color w:val="auto"/>
              </w:rPr>
              <w:t>Balance as of January 31,</w:t>
            </w:r>
          </w:p>
        </w:tc>
        <w:tc>
          <w:tcPr>
            <w:tcW w:w="1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152,665,804</w:t>
            </w:r>
          </w:p>
        </w:tc>
        <w:tc>
          <w:tcPr>
            <w:tcW w:w="120" w:type="dxa"/>
            <w:vAlign w:val="bottom"/>
          </w:tcPr>
          <w:p>
            <w:pPr>
              <w:spacing w:after="0"/>
              <w:rPr>
                <w:sz w:val="10"/>
                <w:szCs w:val="10"/>
                <w:color w:val="auto"/>
              </w:rPr>
            </w:pPr>
          </w:p>
        </w:tc>
        <w:tc>
          <w:tcPr>
            <w:tcW w:w="200" w:type="dxa"/>
            <w:vAlign w:val="bottom"/>
            <w:tcBorders>
              <w:top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159,552</w:t>
            </w:r>
          </w:p>
        </w:tc>
        <w:tc>
          <w:tcPr>
            <w:tcW w:w="0" w:type="dxa"/>
            <w:vAlign w:val="bottom"/>
          </w:tcPr>
          <w:p>
            <w:pPr>
              <w:spacing w:after="0"/>
              <w:rPr>
                <w:sz w:val="1"/>
                <w:szCs w:val="1"/>
                <w:color w:val="auto"/>
              </w:rPr>
            </w:pPr>
          </w:p>
        </w:tc>
      </w:tr>
      <w:tr>
        <w:trPr>
          <w:trHeight w:val="189"/>
        </w:trPr>
        <w:tc>
          <w:tcPr>
            <w:tcW w:w="1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2019</w:t>
            </w:r>
          </w:p>
        </w:tc>
        <w:tc>
          <w:tcPr>
            <w:tcW w:w="11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76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Conversion of convertible</w:t>
            </w: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6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preferred stock to common</w:t>
            </w: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6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stock upon initial public</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(152,665,804)</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(159,552)</w:t>
            </w:r>
          </w:p>
        </w:tc>
        <w:tc>
          <w:tcPr>
            <w:tcW w:w="0" w:type="dxa"/>
            <w:vAlign w:val="bottom"/>
          </w:tcPr>
          <w:p>
            <w:pPr>
              <w:spacing w:after="0"/>
              <w:rPr>
                <w:sz w:val="1"/>
                <w:szCs w:val="1"/>
                <w:color w:val="auto"/>
              </w:rPr>
            </w:pPr>
          </w:p>
        </w:tc>
      </w:tr>
      <w:tr>
        <w:trPr>
          <w:trHeight w:val="180"/>
        </w:trPr>
        <w:tc>
          <w:tcPr>
            <w:tcW w:w="1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offering</w:t>
            </w:r>
          </w:p>
        </w:tc>
        <w:tc>
          <w:tcPr>
            <w:tcW w:w="11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176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Conversion of convertible</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76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promissory notes and accrued</w:t>
            </w: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6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interest to common stock</w:t>
            </w:r>
          </w:p>
        </w:tc>
        <w:tc>
          <w:tcPr>
            <w:tcW w:w="12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1"/>
                <w:szCs w:val="11"/>
                <w:color w:val="auto"/>
              </w:rPr>
            </w:pPr>
          </w:p>
        </w:tc>
        <w:tc>
          <w:tcPr>
            <w:tcW w:w="7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1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upon initial public offering</w:t>
            </w:r>
          </w:p>
        </w:tc>
        <w:tc>
          <w:tcPr>
            <w:tcW w:w="12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176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Issuance of common stock</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76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upon initial public offering</w:t>
            </w: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6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and private placement, net of</w:t>
            </w: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6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underwriting discounts and</w:t>
            </w: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6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commissions and other</w:t>
            </w:r>
          </w:p>
        </w:tc>
        <w:tc>
          <w:tcPr>
            <w:tcW w:w="12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1"/>
                <w:szCs w:val="11"/>
                <w:color w:val="auto"/>
              </w:rPr>
            </w:pPr>
          </w:p>
        </w:tc>
        <w:tc>
          <w:tcPr>
            <w:tcW w:w="7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1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offering costs</w:t>
            </w:r>
          </w:p>
        </w:tc>
        <w:tc>
          <w:tcPr>
            <w:tcW w:w="12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176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Issuance of common stock</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76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upon exercise of stock</w:t>
            </w:r>
          </w:p>
        </w:tc>
        <w:tc>
          <w:tcPr>
            <w:tcW w:w="12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1"/>
                <w:szCs w:val="11"/>
                <w:color w:val="auto"/>
              </w:rPr>
            </w:pPr>
          </w:p>
        </w:tc>
        <w:tc>
          <w:tcPr>
            <w:tcW w:w="7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1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options, net of repurchases</w:t>
            </w:r>
          </w:p>
        </w:tc>
        <w:tc>
          <w:tcPr>
            <w:tcW w:w="12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176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Issuance of common stock</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76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reserved for charitable</w:t>
            </w:r>
          </w:p>
        </w:tc>
        <w:tc>
          <w:tcPr>
            <w:tcW w:w="12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1"/>
                <w:szCs w:val="11"/>
                <w:color w:val="auto"/>
              </w:rPr>
            </w:pPr>
          </w:p>
        </w:tc>
        <w:tc>
          <w:tcPr>
            <w:tcW w:w="7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1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donation</w:t>
            </w:r>
          </w:p>
        </w:tc>
        <w:tc>
          <w:tcPr>
            <w:tcW w:w="12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176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Stock-based compensation</w:t>
            </w:r>
          </w:p>
        </w:tc>
        <w:tc>
          <w:tcPr>
            <w:tcW w:w="12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1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expense</w:t>
            </w:r>
          </w:p>
        </w:tc>
        <w:tc>
          <w:tcPr>
            <w:tcW w:w="12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1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2"/>
        </w:trPr>
        <w:tc>
          <w:tcPr>
            <w:tcW w:w="1760" w:type="dxa"/>
            <w:vAlign w:val="bottom"/>
          </w:tcPr>
          <w:p>
            <w:pPr>
              <w:ind w:left="20"/>
              <w:spacing w:after="0" w:line="122" w:lineRule="exact"/>
              <w:rPr>
                <w:sz w:val="20"/>
                <w:szCs w:val="20"/>
                <w:color w:val="auto"/>
              </w:rPr>
            </w:pPr>
            <w:r>
              <w:rPr>
                <w:rFonts w:ascii="Times New Roman" w:cs="Times New Roman" w:eastAsia="Times New Roman" w:hAnsi="Times New Roman"/>
                <w:sz w:val="14"/>
                <w:szCs w:val="14"/>
                <w:color w:val="auto"/>
              </w:rPr>
              <w:t>Balance as of October 31,</w:t>
            </w:r>
          </w:p>
        </w:tc>
        <w:tc>
          <w:tcPr>
            <w:tcW w:w="12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1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2019</w:t>
            </w:r>
          </w:p>
        </w:tc>
        <w:tc>
          <w:tcPr>
            <w:tcW w:w="1280" w:type="dxa"/>
            <w:vAlign w:val="bottom"/>
            <w:gridSpan w:val="2"/>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980" w:type="dxa"/>
            <w:vAlign w:val="bottom"/>
            <w:gridSpan w:val="4"/>
            <w:vMerge w:val="restart"/>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08"/>
        </w:trPr>
        <w:tc>
          <w:tcPr>
            <w:tcW w:w="1980" w:type="dxa"/>
            <w:vAlign w:val="bottom"/>
            <w:tcBorders>
              <w:bottom w:val="single" w:sz="8" w:color="auto"/>
            </w:tcBorders>
            <w:gridSpan w:val="4"/>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gridSpan w:val="2"/>
          </w:tcPr>
          <w:p>
            <w:pPr>
              <w:jc w:val="center"/>
              <w:ind w:right="220"/>
              <w:spacing w:after="0" w:line="103" w:lineRule="exact"/>
              <w:rPr>
                <w:sz w:val="20"/>
                <w:szCs w:val="20"/>
                <w:color w:val="auto"/>
              </w:rPr>
            </w:pPr>
            <w:r>
              <w:rPr>
                <w:rFonts w:ascii="Times New Roman" w:cs="Times New Roman" w:eastAsia="Times New Roman" w:hAnsi="Times New Roman"/>
                <w:sz w:val="11"/>
                <w:szCs w:val="11"/>
                <w:b w:val="1"/>
                <w:bCs w:val="1"/>
                <w:color w:val="auto"/>
              </w:rPr>
              <w:t>Paid-In</w:t>
            </w:r>
          </w:p>
        </w:tc>
        <w:tc>
          <w:tcPr>
            <w:tcW w:w="140" w:type="dxa"/>
            <w:vAlign w:val="bottom"/>
          </w:tcPr>
          <w:p>
            <w:pPr>
              <w:spacing w:after="0"/>
              <w:rPr>
                <w:sz w:val="8"/>
                <w:szCs w:val="8"/>
                <w:color w:val="auto"/>
              </w:rPr>
            </w:pPr>
          </w:p>
        </w:tc>
        <w:tc>
          <w:tcPr>
            <w:tcW w:w="1280" w:type="dxa"/>
            <w:vAlign w:val="bottom"/>
            <w:gridSpan w:val="2"/>
          </w:tcPr>
          <w:p>
            <w:pPr>
              <w:jc w:val="center"/>
              <w:ind w:right="240"/>
              <w:spacing w:after="0" w:line="103"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120" w:type="dxa"/>
            <w:vAlign w:val="bottom"/>
          </w:tcPr>
          <w:p>
            <w:pPr>
              <w:spacing w:after="0"/>
              <w:rPr>
                <w:sz w:val="8"/>
                <w:szCs w:val="8"/>
                <w:color w:val="auto"/>
              </w:rPr>
            </w:pPr>
          </w:p>
        </w:tc>
        <w:tc>
          <w:tcPr>
            <w:tcW w:w="1120" w:type="dxa"/>
            <w:vAlign w:val="bottom"/>
            <w:gridSpan w:val="2"/>
          </w:tcPr>
          <w:p>
            <w:pPr>
              <w:jc w:val="center"/>
              <w:ind w:right="220"/>
              <w:spacing w:after="0" w:line="103" w:lineRule="exact"/>
              <w:rPr>
                <w:sz w:val="20"/>
                <w:szCs w:val="20"/>
                <w:color w:val="auto"/>
              </w:rPr>
            </w:pPr>
            <w:r>
              <w:rPr>
                <w:rFonts w:ascii="Times New Roman" w:cs="Times New Roman" w:eastAsia="Times New Roman" w:hAnsi="Times New Roman"/>
                <w:sz w:val="11"/>
                <w:szCs w:val="11"/>
                <w:b w:val="1"/>
                <w:bCs w:val="1"/>
                <w:color w:val="auto"/>
              </w:rPr>
              <w:t>Accumulated</w:t>
            </w:r>
          </w:p>
        </w:tc>
        <w:tc>
          <w:tcPr>
            <w:tcW w:w="120" w:type="dxa"/>
            <w:vAlign w:val="bottom"/>
          </w:tcPr>
          <w:p>
            <w:pPr>
              <w:spacing w:after="0"/>
              <w:rPr>
                <w:sz w:val="8"/>
                <w:szCs w:val="8"/>
                <w:color w:val="auto"/>
              </w:rPr>
            </w:pPr>
          </w:p>
        </w:tc>
        <w:tc>
          <w:tcPr>
            <w:tcW w:w="1140" w:type="dxa"/>
            <w:vAlign w:val="bottom"/>
          </w:tcPr>
          <w:p>
            <w:pPr>
              <w:jc w:val="center"/>
              <w:ind w:right="69"/>
              <w:spacing w:after="0" w:line="103" w:lineRule="exact"/>
              <w:rPr>
                <w:sz w:val="20"/>
                <w:szCs w:val="20"/>
                <w:color w:val="auto"/>
              </w:rPr>
            </w:pPr>
            <w:r>
              <w:rPr>
                <w:rFonts w:ascii="Times New Roman" w:cs="Times New Roman" w:eastAsia="Times New Roman" w:hAnsi="Times New Roman"/>
                <w:sz w:val="11"/>
                <w:szCs w:val="11"/>
                <w:b w:val="1"/>
                <w:bCs w:val="1"/>
                <w:color w:val="auto"/>
              </w:rPr>
              <w:t>Stockholders’</w:t>
            </w:r>
          </w:p>
        </w:tc>
        <w:tc>
          <w:tcPr>
            <w:tcW w:w="0" w:type="dxa"/>
            <w:vAlign w:val="bottom"/>
          </w:tcPr>
          <w:p>
            <w:pPr>
              <w:spacing w:after="0"/>
              <w:rPr>
                <w:sz w:val="1"/>
                <w:szCs w:val="1"/>
                <w:color w:val="auto"/>
              </w:rPr>
            </w:pPr>
          </w:p>
        </w:tc>
      </w:tr>
      <w:tr>
        <w:trPr>
          <w:trHeight w:val="201"/>
        </w:trPr>
        <w:tc>
          <w:tcPr>
            <w:tcW w:w="116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7"/>
                <w:szCs w:val="17"/>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7"/>
                <w:szCs w:val="17"/>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 Income</w:t>
            </w:r>
          </w:p>
        </w:tc>
        <w:tc>
          <w:tcPr>
            <w:tcW w:w="12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7"/>
                <w:szCs w:val="17"/>
                <w:color w:val="auto"/>
              </w:rPr>
            </w:pPr>
          </w:p>
        </w:tc>
        <w:tc>
          <w:tcPr>
            <w:tcW w:w="1140" w:type="dxa"/>
            <w:vAlign w:val="bottom"/>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rPr>
              <w:t>(Deficit) Equity</w:t>
            </w:r>
          </w:p>
        </w:tc>
        <w:tc>
          <w:tcPr>
            <w:tcW w:w="0" w:type="dxa"/>
            <w:vAlign w:val="bottom"/>
          </w:tcPr>
          <w:p>
            <w:pPr>
              <w:spacing w:after="0"/>
              <w:rPr>
                <w:sz w:val="1"/>
                <w:szCs w:val="1"/>
                <w:color w:val="auto"/>
              </w:rPr>
            </w:pPr>
          </w:p>
        </w:tc>
      </w:tr>
      <w:tr>
        <w:trPr>
          <w:trHeight w:val="294"/>
        </w:trPr>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90,327,435</w:t>
            </w:r>
          </w:p>
        </w:tc>
        <w:tc>
          <w:tcPr>
            <w:tcW w:w="120" w:type="dxa"/>
            <w:vAlign w:val="bottom"/>
          </w:tcPr>
          <w:p>
            <w:pPr>
              <w:spacing w:after="0"/>
              <w:rPr>
                <w:sz w:val="24"/>
                <w:szCs w:val="2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tcPr>
          <w:p>
            <w:pPr>
              <w:spacing w:after="0"/>
              <w:rPr>
                <w:sz w:val="24"/>
                <w:szCs w:val="2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17,760</w:t>
            </w:r>
          </w:p>
        </w:tc>
        <w:tc>
          <w:tcPr>
            <w:tcW w:w="100" w:type="dxa"/>
            <w:vAlign w:val="bottom"/>
          </w:tcPr>
          <w:p>
            <w:pPr>
              <w:spacing w:after="0"/>
              <w:rPr>
                <w:sz w:val="24"/>
                <w:szCs w:val="2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100" w:type="dxa"/>
            <w:vAlign w:val="bottom"/>
          </w:tcPr>
          <w:p>
            <w:pPr>
              <w:spacing w:after="0"/>
              <w:rPr>
                <w:sz w:val="24"/>
                <w:szCs w:val="2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(25,153)</w:t>
            </w:r>
          </w:p>
        </w:tc>
        <w:tc>
          <w:tcPr>
            <w:tcW w:w="120" w:type="dxa"/>
            <w:vAlign w:val="bottom"/>
          </w:tcPr>
          <w:p>
            <w:pPr>
              <w:spacing w:after="0"/>
              <w:rPr>
                <w:sz w:val="24"/>
                <w:szCs w:val="2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(7,439)</w:t>
            </w:r>
          </w:p>
        </w:tc>
        <w:tc>
          <w:tcPr>
            <w:tcW w:w="0" w:type="dxa"/>
            <w:vAlign w:val="bottom"/>
          </w:tcPr>
          <w:p>
            <w:pPr>
              <w:spacing w:after="0"/>
              <w:rPr>
                <w:sz w:val="1"/>
                <w:szCs w:val="1"/>
                <w:color w:val="auto"/>
              </w:rPr>
            </w:pPr>
          </w:p>
        </w:tc>
      </w:tr>
      <w:tr>
        <w:trPr>
          <w:trHeight w:val="594"/>
        </w:trPr>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152,665,804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159,399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159,552</w:t>
            </w:r>
          </w:p>
        </w:tc>
        <w:tc>
          <w:tcPr>
            <w:tcW w:w="0" w:type="dxa"/>
            <w:vAlign w:val="bottom"/>
          </w:tcPr>
          <w:p>
            <w:pPr>
              <w:spacing w:after="0"/>
              <w:rPr>
                <w:sz w:val="1"/>
                <w:szCs w:val="1"/>
                <w:color w:val="auto"/>
              </w:rPr>
            </w:pPr>
          </w:p>
        </w:tc>
      </w:tr>
      <w:tr>
        <w:trPr>
          <w:trHeight w:val="594"/>
        </w:trPr>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426,223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15,344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15,344</w:t>
            </w:r>
          </w:p>
        </w:tc>
        <w:tc>
          <w:tcPr>
            <w:tcW w:w="0" w:type="dxa"/>
            <w:vAlign w:val="bottom"/>
          </w:tcPr>
          <w:p>
            <w:pPr>
              <w:spacing w:after="0"/>
              <w:rPr>
                <w:sz w:val="1"/>
                <w:szCs w:val="1"/>
                <w:color w:val="auto"/>
              </w:rPr>
            </w:pPr>
          </w:p>
        </w:tc>
      </w:tr>
      <w:tr>
        <w:trPr>
          <w:trHeight w:val="864"/>
        </w:trPr>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15,819,646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541,483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541,499</w:t>
            </w:r>
          </w:p>
        </w:tc>
        <w:tc>
          <w:tcPr>
            <w:tcW w:w="0" w:type="dxa"/>
            <w:vAlign w:val="bottom"/>
          </w:tcPr>
          <w:p>
            <w:pPr>
              <w:spacing w:after="0"/>
              <w:rPr>
                <w:sz w:val="1"/>
                <w:szCs w:val="1"/>
                <w:color w:val="auto"/>
              </w:rPr>
            </w:pPr>
          </w:p>
        </w:tc>
      </w:tr>
      <w:tr>
        <w:trPr>
          <w:trHeight w:val="459"/>
        </w:trPr>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16,487,350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6,019</w:t>
            </w:r>
          </w:p>
        </w:tc>
        <w:tc>
          <w:tcPr>
            <w:tcW w:w="0" w:type="dxa"/>
            <w:vAlign w:val="bottom"/>
          </w:tcPr>
          <w:p>
            <w:pPr>
              <w:spacing w:after="0"/>
              <w:rPr>
                <w:sz w:val="1"/>
                <w:szCs w:val="1"/>
                <w:color w:val="auto"/>
              </w:rPr>
            </w:pPr>
          </w:p>
        </w:tc>
      </w:tr>
      <w:tr>
        <w:trPr>
          <w:trHeight w:val="459"/>
        </w:trPr>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24"/>
        </w:trPr>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46,790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46,790</w:t>
            </w:r>
          </w:p>
        </w:tc>
        <w:tc>
          <w:tcPr>
            <w:tcW w:w="0" w:type="dxa"/>
            <w:vAlign w:val="bottom"/>
          </w:tcPr>
          <w:p>
            <w:pPr>
              <w:spacing w:after="0"/>
              <w:rPr>
                <w:sz w:val="1"/>
                <w:szCs w:val="1"/>
                <w:color w:val="auto"/>
              </w:rPr>
            </w:pPr>
          </w:p>
        </w:tc>
      </w:tr>
      <w:tr>
        <w:trPr>
          <w:trHeight w:val="189"/>
        </w:trPr>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786</w:t>
            </w:r>
          </w:p>
        </w:tc>
        <w:tc>
          <w:tcPr>
            <w:tcW w:w="0" w:type="dxa"/>
            <w:vAlign w:val="bottom"/>
          </w:tcPr>
          <w:p>
            <w:pPr>
              <w:spacing w:after="0"/>
              <w:rPr>
                <w:sz w:val="1"/>
                <w:szCs w:val="1"/>
                <w:color w:val="auto"/>
              </w:rPr>
            </w:pPr>
          </w:p>
        </w:tc>
      </w:tr>
      <w:tr>
        <w:trPr>
          <w:trHeight w:val="194"/>
        </w:trPr>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9,966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9,966</w:t>
            </w:r>
          </w:p>
        </w:tc>
        <w:tc>
          <w:tcPr>
            <w:tcW w:w="0" w:type="dxa"/>
            <w:vAlign w:val="bottom"/>
          </w:tcPr>
          <w:p>
            <w:pPr>
              <w:spacing w:after="0"/>
              <w:rPr>
                <w:sz w:val="1"/>
                <w:szCs w:val="1"/>
                <w:color w:val="auto"/>
              </w:rPr>
            </w:pPr>
          </w:p>
        </w:tc>
      </w:tr>
      <w:tr>
        <w:trPr>
          <w:trHeight w:val="277"/>
        </w:trPr>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276,226,458</w:t>
            </w:r>
          </w:p>
        </w:tc>
        <w:tc>
          <w:tcPr>
            <w:tcW w:w="120" w:type="dxa"/>
            <w:vAlign w:val="bottom"/>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100" w:type="dxa"/>
            <w:vAlign w:val="bottom"/>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786,778</w:t>
            </w:r>
          </w:p>
        </w:tc>
        <w:tc>
          <w:tcPr>
            <w:tcW w:w="100" w:type="dxa"/>
            <w:vAlign w:val="bottom"/>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651</w:t>
            </w:r>
          </w:p>
        </w:tc>
        <w:tc>
          <w:tcPr>
            <w:tcW w:w="100" w:type="dxa"/>
            <w:vAlign w:val="bottom"/>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(15,187)</w:t>
            </w:r>
          </w:p>
        </w:tc>
        <w:tc>
          <w:tcPr>
            <w:tcW w:w="120" w:type="dxa"/>
            <w:vAlign w:val="bottom"/>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772,517</w:t>
            </w:r>
          </w:p>
        </w:tc>
        <w:tc>
          <w:tcPr>
            <w:tcW w:w="0" w:type="dxa"/>
            <w:vAlign w:val="bottom"/>
          </w:tcPr>
          <w:p>
            <w:pPr>
              <w:spacing w:after="0"/>
              <w:rPr>
                <w:sz w:val="1"/>
                <w:szCs w:val="1"/>
                <w:color w:val="auto"/>
              </w:rPr>
            </w:pPr>
          </w:p>
        </w:tc>
      </w:tr>
      <w:tr>
        <w:trPr>
          <w:trHeight w:val="25"/>
        </w:trPr>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sectPr>
          <w:pgSz w:w="11900" w:h="16838" w:orient="portrait"/>
          <w:cols w:equalWidth="0" w:num="2">
            <w:col w:w="4000" w:space="200"/>
            <w:col w:w="7040"/>
          </w:cols>
          <w:pgMar w:left="320" w:top="121"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ZOOM VIDEO COMMUNICATIONS,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4"/>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Nine Months Ended October 31,</w:t>
            </w:r>
          </w:p>
        </w:tc>
        <w:tc>
          <w:tcPr>
            <w:tcW w:w="0" w:type="dxa"/>
            <w:vAlign w:val="bottom"/>
          </w:tcPr>
          <w:p>
            <w:pPr>
              <w:spacing w:after="0"/>
              <w:rPr>
                <w:sz w:val="1"/>
                <w:szCs w:val="1"/>
                <w:color w:val="auto"/>
              </w:rPr>
            </w:pPr>
          </w:p>
        </w:tc>
      </w:tr>
      <w:tr>
        <w:trPr>
          <w:trHeight w:val="211"/>
        </w:trPr>
        <w:tc>
          <w:tcPr>
            <w:tcW w:w="8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2019</w:t>
            </w:r>
          </w:p>
        </w:tc>
        <w:tc>
          <w:tcPr>
            <w:tcW w:w="0" w:type="dxa"/>
            <w:vAlign w:val="bottom"/>
          </w:tcPr>
          <w:p>
            <w:pPr>
              <w:spacing w:after="0"/>
              <w:rPr>
                <w:sz w:val="1"/>
                <w:szCs w:val="1"/>
                <w:color w:val="auto"/>
              </w:rPr>
            </w:pPr>
          </w:p>
        </w:tc>
      </w:tr>
      <w:tr>
        <w:trPr>
          <w:trHeight w:val="198"/>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411,706</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9,966</w:t>
            </w:r>
          </w:p>
        </w:tc>
        <w:tc>
          <w:tcPr>
            <w:tcW w:w="0" w:type="dxa"/>
            <w:vAlign w:val="bottom"/>
          </w:tcPr>
          <w:p>
            <w:pPr>
              <w:spacing w:after="0"/>
              <w:rPr>
                <w:sz w:val="1"/>
                <w:szCs w:val="1"/>
                <w:color w:val="auto"/>
              </w:rPr>
            </w:pPr>
          </w:p>
        </w:tc>
      </w:tr>
      <w:tr>
        <w:trPr>
          <w:trHeight w:val="219"/>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179,557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46,532</w:t>
            </w:r>
          </w:p>
        </w:tc>
        <w:tc>
          <w:tcPr>
            <w:tcW w:w="0" w:type="dxa"/>
            <w:vAlign w:val="bottom"/>
          </w:tcPr>
          <w:p>
            <w:pPr>
              <w:spacing w:after="0"/>
              <w:rPr>
                <w:sz w:val="1"/>
                <w:szCs w:val="1"/>
                <w:color w:val="auto"/>
              </w:rPr>
            </w:pPr>
          </w:p>
        </w:tc>
      </w:tr>
      <w:tr>
        <w:trPr>
          <w:trHeight w:val="219"/>
        </w:trPr>
        <w:tc>
          <w:tcPr>
            <w:tcW w:w="8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Amortization of deferred contract acquisition costs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71,281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25,939</w:t>
            </w:r>
          </w:p>
        </w:tc>
        <w:tc>
          <w:tcPr>
            <w:tcW w:w="0" w:type="dxa"/>
            <w:vAlign w:val="bottom"/>
          </w:tcPr>
          <w:p>
            <w:pPr>
              <w:spacing w:after="0"/>
              <w:rPr>
                <w:sz w:val="1"/>
                <w:szCs w:val="1"/>
                <w:color w:val="auto"/>
              </w:rPr>
            </w:pPr>
          </w:p>
        </w:tc>
      </w:tr>
      <w:tr>
        <w:trPr>
          <w:trHeight w:val="213"/>
        </w:trPr>
        <w:tc>
          <w:tcPr>
            <w:tcW w:w="8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Charitable donation of common stock</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23,312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8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Provision for accounts receivable allowances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20,218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3,976</w:t>
            </w:r>
          </w:p>
        </w:tc>
        <w:tc>
          <w:tcPr>
            <w:tcW w:w="0" w:type="dxa"/>
            <w:vAlign w:val="bottom"/>
          </w:tcPr>
          <w:p>
            <w:pPr>
              <w:spacing w:after="0"/>
              <w:rPr>
                <w:sz w:val="1"/>
                <w:szCs w:val="1"/>
                <w:color w:val="auto"/>
              </w:rPr>
            </w:pPr>
          </w:p>
        </w:tc>
      </w:tr>
      <w:tr>
        <w:trPr>
          <w:trHeight w:val="213"/>
        </w:trPr>
        <w:tc>
          <w:tcPr>
            <w:tcW w:w="8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19,401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11,589</w:t>
            </w:r>
          </w:p>
        </w:tc>
        <w:tc>
          <w:tcPr>
            <w:tcW w:w="0" w:type="dxa"/>
            <w:vAlign w:val="bottom"/>
          </w:tcPr>
          <w:p>
            <w:pPr>
              <w:spacing w:after="0"/>
              <w:rPr>
                <w:sz w:val="1"/>
                <w:szCs w:val="1"/>
                <w:color w:val="auto"/>
              </w:rPr>
            </w:pPr>
          </w:p>
        </w:tc>
      </w:tr>
      <w:tr>
        <w:trPr>
          <w:trHeight w:val="219"/>
        </w:trPr>
        <w:tc>
          <w:tcPr>
            <w:tcW w:w="8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Non-cash operating lease cost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4,840</w:t>
            </w:r>
          </w:p>
        </w:tc>
        <w:tc>
          <w:tcPr>
            <w:tcW w:w="0" w:type="dxa"/>
            <w:vAlign w:val="bottom"/>
          </w:tcPr>
          <w:p>
            <w:pPr>
              <w:spacing w:after="0"/>
              <w:rPr>
                <w:sz w:val="1"/>
                <w:szCs w:val="1"/>
                <w:color w:val="auto"/>
              </w:rPr>
            </w:pPr>
          </w:p>
        </w:tc>
      </w:tr>
      <w:tr>
        <w:trPr>
          <w:trHeight w:val="213"/>
        </w:trPr>
        <w:tc>
          <w:tcPr>
            <w:tcW w:w="8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Remeasurement gain on equity investment</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8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(1,577)</w:t>
            </w:r>
          </w:p>
        </w:tc>
        <w:tc>
          <w:tcPr>
            <w:tcW w:w="0" w:type="dxa"/>
            <w:vAlign w:val="bottom"/>
          </w:tcPr>
          <w:p>
            <w:pPr>
              <w:spacing w:after="0"/>
              <w:rPr>
                <w:sz w:val="1"/>
                <w:szCs w:val="1"/>
                <w:color w:val="auto"/>
              </w:rPr>
            </w:pPr>
          </w:p>
        </w:tc>
      </w:tr>
      <w:tr>
        <w:trPr>
          <w:trHeight w:val="213"/>
        </w:trPr>
        <w:tc>
          <w:tcPr>
            <w:tcW w:w="8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Accounts receivable</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(190,117)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(36,886)</w:t>
            </w:r>
          </w:p>
        </w:tc>
        <w:tc>
          <w:tcPr>
            <w:tcW w:w="0" w:type="dxa"/>
            <w:vAlign w:val="bottom"/>
          </w:tcPr>
          <w:p>
            <w:pPr>
              <w:spacing w:after="0"/>
              <w:rPr>
                <w:sz w:val="1"/>
                <w:szCs w:val="1"/>
                <w:color w:val="auto"/>
              </w:rPr>
            </w:pPr>
          </w:p>
        </w:tc>
      </w:tr>
      <w:tr>
        <w:trPr>
          <w:trHeight w:val="213"/>
        </w:trPr>
        <w:tc>
          <w:tcPr>
            <w:tcW w:w="81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(48,258)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(22,439)</w:t>
            </w:r>
          </w:p>
        </w:tc>
        <w:tc>
          <w:tcPr>
            <w:tcW w:w="0" w:type="dxa"/>
            <w:vAlign w:val="bottom"/>
          </w:tcPr>
          <w:p>
            <w:pPr>
              <w:spacing w:after="0"/>
              <w:rPr>
                <w:sz w:val="1"/>
                <w:szCs w:val="1"/>
                <w:color w:val="auto"/>
              </w:rPr>
            </w:pPr>
          </w:p>
        </w:tc>
      </w:tr>
      <w:tr>
        <w:trPr>
          <w:trHeight w:val="219"/>
        </w:trPr>
        <w:tc>
          <w:tcPr>
            <w:tcW w:w="81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Deferred contract acquisition costs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(266,294)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(50,824)</w:t>
            </w:r>
          </w:p>
        </w:tc>
        <w:tc>
          <w:tcPr>
            <w:tcW w:w="0" w:type="dxa"/>
            <w:vAlign w:val="bottom"/>
          </w:tcPr>
          <w:p>
            <w:pPr>
              <w:spacing w:after="0"/>
              <w:rPr>
                <w:sz w:val="1"/>
                <w:szCs w:val="1"/>
                <w:color w:val="auto"/>
              </w:rPr>
            </w:pPr>
          </w:p>
        </w:tc>
      </w:tr>
      <w:tr>
        <w:trPr>
          <w:trHeight w:val="213"/>
        </w:trPr>
        <w:tc>
          <w:tcPr>
            <w:tcW w:w="81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Accounts payable</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8,773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(1,118)</w:t>
            </w:r>
          </w:p>
        </w:tc>
        <w:tc>
          <w:tcPr>
            <w:tcW w:w="0" w:type="dxa"/>
            <w:vAlign w:val="bottom"/>
          </w:tcPr>
          <w:p>
            <w:pPr>
              <w:spacing w:after="0"/>
              <w:rPr>
                <w:sz w:val="1"/>
                <w:szCs w:val="1"/>
                <w:color w:val="auto"/>
              </w:rPr>
            </w:pPr>
          </w:p>
        </w:tc>
      </w:tr>
      <w:tr>
        <w:trPr>
          <w:trHeight w:val="219"/>
        </w:trPr>
        <w:tc>
          <w:tcPr>
            <w:tcW w:w="81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203,919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53,485</w:t>
            </w:r>
          </w:p>
        </w:tc>
        <w:tc>
          <w:tcPr>
            <w:tcW w:w="0" w:type="dxa"/>
            <w:vAlign w:val="bottom"/>
          </w:tcPr>
          <w:p>
            <w:pPr>
              <w:spacing w:after="0"/>
              <w:rPr>
                <w:sz w:val="1"/>
                <w:szCs w:val="1"/>
                <w:color w:val="auto"/>
              </w:rPr>
            </w:pPr>
          </w:p>
        </w:tc>
      </w:tr>
      <w:tr>
        <w:trPr>
          <w:trHeight w:val="213"/>
        </w:trPr>
        <w:tc>
          <w:tcPr>
            <w:tcW w:w="81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Deferred revenue</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633,600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76,579</w:t>
            </w:r>
          </w:p>
        </w:tc>
        <w:tc>
          <w:tcPr>
            <w:tcW w:w="0" w:type="dxa"/>
            <w:vAlign w:val="bottom"/>
          </w:tcPr>
          <w:p>
            <w:pPr>
              <w:spacing w:after="0"/>
              <w:rPr>
                <w:sz w:val="1"/>
                <w:szCs w:val="1"/>
                <w:color w:val="auto"/>
              </w:rPr>
            </w:pPr>
          </w:p>
        </w:tc>
      </w:tr>
      <w:tr>
        <w:trPr>
          <w:trHeight w:val="219"/>
        </w:trPr>
        <w:tc>
          <w:tcPr>
            <w:tcW w:w="81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Operating lease liabilities, net</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(4,724)</w:t>
            </w:r>
          </w:p>
        </w:tc>
        <w:tc>
          <w:tcPr>
            <w:tcW w:w="0" w:type="dxa"/>
            <w:vAlign w:val="bottom"/>
          </w:tcPr>
          <w:p>
            <w:pPr>
              <w:spacing w:after="0"/>
              <w:rPr>
                <w:sz w:val="1"/>
                <w:szCs w:val="1"/>
                <w:color w:val="auto"/>
              </w:rPr>
            </w:pPr>
          </w:p>
        </w:tc>
      </w:tr>
      <w:tr>
        <w:trPr>
          <w:trHeight w:val="207"/>
        </w:trPr>
        <w:tc>
          <w:tcPr>
            <w:tcW w:w="8160" w:type="dxa"/>
            <w:vAlign w:val="bottom"/>
          </w:tcPr>
          <w:p>
            <w:pPr>
              <w:ind w:left="100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1,071,781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115,338</w:t>
            </w:r>
          </w:p>
        </w:tc>
        <w:tc>
          <w:tcPr>
            <w:tcW w:w="0" w:type="dxa"/>
            <w:vAlign w:val="bottom"/>
          </w:tcPr>
          <w:p>
            <w:pPr>
              <w:spacing w:after="0"/>
              <w:rPr>
                <w:sz w:val="1"/>
                <w:szCs w:val="1"/>
                <w:color w:val="auto"/>
              </w:rPr>
            </w:pPr>
          </w:p>
        </w:tc>
      </w:tr>
      <w:tr>
        <w:trPr>
          <w:trHeight w:val="219"/>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Purchases of marketable securities</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(1,016,109)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(629,107)</w:t>
            </w:r>
          </w:p>
        </w:tc>
        <w:tc>
          <w:tcPr>
            <w:tcW w:w="0" w:type="dxa"/>
            <w:vAlign w:val="bottom"/>
          </w:tcPr>
          <w:p>
            <w:pPr>
              <w:spacing w:after="0"/>
              <w:rPr>
                <w:sz w:val="1"/>
                <w:szCs w:val="1"/>
                <w:color w:val="auto"/>
              </w:rPr>
            </w:pPr>
          </w:p>
        </w:tc>
      </w:tr>
      <w:tr>
        <w:trPr>
          <w:trHeight w:val="219"/>
        </w:trPr>
        <w:tc>
          <w:tcPr>
            <w:tcW w:w="8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Maturities of marketable securities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406,607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164,140</w:t>
            </w:r>
          </w:p>
        </w:tc>
        <w:tc>
          <w:tcPr>
            <w:tcW w:w="0" w:type="dxa"/>
            <w:vAlign w:val="bottom"/>
          </w:tcPr>
          <w:p>
            <w:pPr>
              <w:spacing w:after="0"/>
              <w:rPr>
                <w:sz w:val="1"/>
                <w:szCs w:val="1"/>
                <w:color w:val="auto"/>
              </w:rPr>
            </w:pPr>
          </w:p>
        </w:tc>
      </w:tr>
      <w:tr>
        <w:trPr>
          <w:trHeight w:val="213"/>
        </w:trPr>
        <w:tc>
          <w:tcPr>
            <w:tcW w:w="8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Sales of marketable securities</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36,897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8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(58,517)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(28,132)</w:t>
            </w:r>
          </w:p>
        </w:tc>
        <w:tc>
          <w:tcPr>
            <w:tcW w:w="0" w:type="dxa"/>
            <w:vAlign w:val="bottom"/>
          </w:tcPr>
          <w:p>
            <w:pPr>
              <w:spacing w:after="0"/>
              <w:rPr>
                <w:sz w:val="1"/>
                <w:szCs w:val="1"/>
                <w:color w:val="auto"/>
              </w:rPr>
            </w:pPr>
          </w:p>
        </w:tc>
      </w:tr>
      <w:tr>
        <w:trPr>
          <w:trHeight w:val="213"/>
        </w:trPr>
        <w:tc>
          <w:tcPr>
            <w:tcW w:w="8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Sales of property and equipment</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8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paid for acquisition, net of cash acquired</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(26,486)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Purchase of equity investment</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0" w:type="dxa"/>
            <w:vAlign w:val="bottom"/>
          </w:tcPr>
          <w:p>
            <w:pPr>
              <w:spacing w:after="0"/>
              <w:rPr>
                <w:sz w:val="1"/>
                <w:szCs w:val="1"/>
                <w:color w:val="auto"/>
              </w:rPr>
            </w:pPr>
          </w:p>
        </w:tc>
      </w:tr>
      <w:tr>
        <w:trPr>
          <w:trHeight w:val="219"/>
        </w:trPr>
        <w:tc>
          <w:tcPr>
            <w:tcW w:w="8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Purchase of convertible promissory note</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Purchase of intangible assets</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8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Collections of employee loans</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8160" w:type="dxa"/>
            <w:vAlign w:val="bottom"/>
          </w:tcPr>
          <w:p>
            <w:pPr>
              <w:ind w:left="100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(673,377)</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(496,099)</w:t>
            </w:r>
          </w:p>
        </w:tc>
        <w:tc>
          <w:tcPr>
            <w:tcW w:w="0" w:type="dxa"/>
            <w:vAlign w:val="bottom"/>
          </w:tcPr>
          <w:p>
            <w:pPr>
              <w:spacing w:after="0"/>
              <w:rPr>
                <w:sz w:val="1"/>
                <w:szCs w:val="1"/>
                <w:color w:val="auto"/>
              </w:rPr>
            </w:pPr>
          </w:p>
        </w:tc>
      </w:tr>
      <w:tr>
        <w:trPr>
          <w:trHeight w:val="219"/>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employee equity transactions to be remitted to employees and tax authorities, net</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251,641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48,547</w:t>
            </w:r>
          </w:p>
        </w:tc>
        <w:tc>
          <w:tcPr>
            <w:tcW w:w="0" w:type="dxa"/>
            <w:vAlign w:val="bottom"/>
          </w:tcPr>
          <w:p>
            <w:pPr>
              <w:spacing w:after="0"/>
              <w:rPr>
                <w:sz w:val="1"/>
                <w:szCs w:val="1"/>
                <w:color w:val="auto"/>
              </w:rPr>
            </w:pPr>
          </w:p>
        </w:tc>
      </w:tr>
      <w:tr>
        <w:trPr>
          <w:trHeight w:val="219"/>
        </w:trPr>
        <w:tc>
          <w:tcPr>
            <w:tcW w:w="8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exercise of stock options, net of repurchases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23,841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5,584</w:t>
            </w:r>
          </w:p>
        </w:tc>
        <w:tc>
          <w:tcPr>
            <w:tcW w:w="0" w:type="dxa"/>
            <w:vAlign w:val="bottom"/>
          </w:tcPr>
          <w:p>
            <w:pPr>
              <w:spacing w:after="0"/>
              <w:rPr>
                <w:sz w:val="1"/>
                <w:szCs w:val="1"/>
                <w:color w:val="auto"/>
              </w:rPr>
            </w:pPr>
          </w:p>
        </w:tc>
      </w:tr>
      <w:tr>
        <w:trPr>
          <w:trHeight w:val="213"/>
        </w:trPr>
        <w:tc>
          <w:tcPr>
            <w:tcW w:w="8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issuance of common stock for employee stock purchase plan</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20,760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8160" w:type="dxa"/>
            <w:vAlign w:val="bottom"/>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Proceeds from initial public offering and private placement, net of underwriting discounts and commissions and other</w:t>
            </w:r>
          </w:p>
        </w:tc>
        <w:tc>
          <w:tcPr>
            <w:tcW w:w="260" w:type="dxa"/>
            <w:vAlign w:val="bottom"/>
            <w:shd w:val="clear" w:color="auto" w:fill="CCEEFF"/>
          </w:tcPr>
          <w:p>
            <w:pPr>
              <w:spacing w:after="0"/>
              <w:rPr>
                <w:sz w:val="14"/>
                <w:szCs w:val="14"/>
                <w:color w:val="auto"/>
              </w:rPr>
            </w:pPr>
          </w:p>
        </w:tc>
        <w:tc>
          <w:tcPr>
            <w:tcW w:w="13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542,492</w:t>
            </w:r>
          </w:p>
        </w:tc>
        <w:tc>
          <w:tcPr>
            <w:tcW w:w="0" w:type="dxa"/>
            <w:vAlign w:val="bottom"/>
          </w:tcPr>
          <w:p>
            <w:pPr>
              <w:spacing w:after="0"/>
              <w:rPr>
                <w:sz w:val="1"/>
                <w:szCs w:val="1"/>
                <w:color w:val="auto"/>
              </w:rPr>
            </w:pPr>
          </w:p>
        </w:tc>
      </w:tr>
      <w:tr>
        <w:trPr>
          <w:trHeight w:val="216"/>
        </w:trPr>
        <w:tc>
          <w:tcPr>
            <w:tcW w:w="8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offering costs</w:t>
            </w:r>
          </w:p>
        </w:tc>
        <w:tc>
          <w:tcPr>
            <w:tcW w:w="260" w:type="dxa"/>
            <w:vAlign w:val="bottom"/>
            <w:shd w:val="clear" w:color="auto" w:fill="CCEEFF"/>
          </w:tcPr>
          <w:p>
            <w:pPr>
              <w:spacing w:after="0"/>
              <w:rPr>
                <w:sz w:val="18"/>
                <w:szCs w:val="18"/>
                <w:color w:val="auto"/>
              </w:rPr>
            </w:pPr>
          </w:p>
        </w:tc>
        <w:tc>
          <w:tcPr>
            <w:tcW w:w="1340" w:type="dxa"/>
            <w:vAlign w:val="bottom"/>
            <w:gridSpan w:val="2"/>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160" w:type="dxa"/>
            <w:vAlign w:val="bottom"/>
            <w:tcBorders>
              <w:bottom w:val="single" w:sz="8" w:color="CCEEFF"/>
            </w:tcBorders>
          </w:tcPr>
          <w:p>
            <w:pPr>
              <w:ind w:left="100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2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296,242</w:t>
            </w:r>
          </w:p>
        </w:tc>
        <w:tc>
          <w:tcPr>
            <w:tcW w:w="12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596,623</w:t>
            </w:r>
          </w:p>
        </w:tc>
        <w:tc>
          <w:tcPr>
            <w:tcW w:w="0" w:type="dxa"/>
            <w:vAlign w:val="bottom"/>
          </w:tcPr>
          <w:p>
            <w:pPr>
              <w:spacing w:after="0"/>
              <w:rPr>
                <w:sz w:val="1"/>
                <w:szCs w:val="1"/>
                <w:color w:val="auto"/>
              </w:rPr>
            </w:pPr>
          </w:p>
        </w:tc>
      </w:tr>
      <w:tr>
        <w:trPr>
          <w:trHeight w:val="212"/>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increase in cash, cash equivalents, and restricted cash</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694,646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215,862</w:t>
            </w:r>
          </w:p>
        </w:tc>
        <w:tc>
          <w:tcPr>
            <w:tcW w:w="0" w:type="dxa"/>
            <w:vAlign w:val="bottom"/>
          </w:tcPr>
          <w:p>
            <w:pPr>
              <w:spacing w:after="0"/>
              <w:rPr>
                <w:sz w:val="1"/>
                <w:szCs w:val="1"/>
                <w:color w:val="auto"/>
              </w:rPr>
            </w:pPr>
          </w:p>
        </w:tc>
      </w:tr>
      <w:tr>
        <w:trPr>
          <w:trHeight w:val="213"/>
        </w:trPr>
        <w:tc>
          <w:tcPr>
            <w:tcW w:w="8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 beginning of period</w:t>
            </w: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334,082</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65,968</w:t>
            </w:r>
          </w:p>
        </w:tc>
        <w:tc>
          <w:tcPr>
            <w:tcW w:w="0" w:type="dxa"/>
            <w:vAlign w:val="bottom"/>
          </w:tcPr>
          <w:p>
            <w:pPr>
              <w:spacing w:after="0"/>
              <w:rPr>
                <w:sz w:val="1"/>
                <w:szCs w:val="1"/>
                <w:color w:val="auto"/>
              </w:rPr>
            </w:pPr>
          </w:p>
        </w:tc>
      </w:tr>
      <w:tr>
        <w:trPr>
          <w:trHeight w:val="234"/>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 end of period</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1,028,728</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281,830</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0" w:right="3240"/>
        <w:spacing w:after="0" w:line="247" w:lineRule="auto"/>
        <w:rPr>
          <w:sz w:val="20"/>
          <w:szCs w:val="20"/>
          <w:color w:val="auto"/>
        </w:rPr>
      </w:pPr>
      <w:r>
        <w:rPr>
          <w:rFonts w:ascii="Times New Roman" w:cs="Times New Roman" w:eastAsia="Times New Roman" w:hAnsi="Times New Roman"/>
          <w:sz w:val="16"/>
          <w:szCs w:val="16"/>
          <w:b w:val="1"/>
          <w:bCs w:val="1"/>
          <w:color w:val="auto"/>
        </w:rPr>
        <w:t>Reconciliation of cash, cash equivalents, and restricted cash within the condensed consolidated balance sheets to the amounts shown in the condensed consolidated statements of cash flows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132320" cy="2400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3"/>
        </w:trPr>
        <w:tc>
          <w:tcPr>
            <w:tcW w:w="8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730,506</w:t>
            </w:r>
          </w:p>
        </w:tc>
        <w:tc>
          <w:tcPr>
            <w:tcW w:w="12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230,874</w:t>
            </w:r>
          </w:p>
        </w:tc>
      </w:tr>
      <w:tr>
        <w:trPr>
          <w:trHeight w:val="219"/>
        </w:trPr>
        <w:tc>
          <w:tcPr>
            <w:tcW w:w="8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Restricted cash, current included in prepaid expenses and other current assets</w:t>
            </w: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296,007</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48,647</w:t>
            </w:r>
          </w:p>
        </w:tc>
      </w:tr>
      <w:tr>
        <w:trPr>
          <w:trHeight w:val="213"/>
        </w:trPr>
        <w:tc>
          <w:tcPr>
            <w:tcW w:w="81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Restricted cash, noncurrent included in other assets, noncurrent</w:t>
            </w: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2,215</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2,309</w:t>
            </w:r>
          </w:p>
        </w:tc>
      </w:tr>
      <w:tr>
        <w:trPr>
          <w:trHeight w:val="235"/>
        </w:trPr>
        <w:tc>
          <w:tcPr>
            <w:tcW w:w="81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1,028,728</w:t>
            </w: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281,830</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ZOOM VIDEO COMMUNICATIONS, INC. NOTES TO CONDENSED CONSOLIDATED FINANCIAL STATEMENTS (unaudited)</w:t>
      </w:r>
    </w:p>
    <w:p>
      <w:pPr>
        <w:spacing w:after="0" w:line="384" w:lineRule="exact"/>
        <w:rPr>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Business and Significant Accounting Policies</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Zoom Video Communications, Inc. and its subsidiaries (collectively, “Zoom,” the “Company,” “we,” “us,” or “our”) provide a video-first, unified communications platform. Our platform combines video, audio, phone, screen sharing, and chat functionalities. We were incorporated in the state of Delaware in April 2011, and are headquartered in San Jose, California.</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Fiscal Year</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fiscal year ends on January 31. References to fiscal year 2021, for example, refer to the fiscal year ending January 31, 2021.</w:t>
      </w:r>
    </w:p>
    <w:p>
      <w:pPr>
        <w:spacing w:after="0" w:line="2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generally accepted accounting principles in the United States of America (“GAAP”) and applicable regulations of the Securities and Exchange Commission (“SEC”) regarding interim financial reporting, and include the accounts of Zoom Video Communications, Inc., its subsidiaries, and a variable interest entity for which we are the primary beneficiary. All intercompany balances and transactions have been eliminated in consolidation.</w:t>
      </w:r>
    </w:p>
    <w:p>
      <w:pPr>
        <w:spacing w:after="0" w:line="7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condensed consolidated balance sheet as of January 31, 2020 included herein was derived from the audited financial statements as of that date, but does not include all disclosures, including certain notes required by GAAP on an annual reporting basis. The unaudited condensed consolidated financial statements reflect all normal recurring adjustments necessary to present fairly the balance sheets, statements of operations, statements of comprehensive income, statements of convertible preferred stock and stockholders’ equity (deficit), and statements of cash flows for the interim periods, but are not necessarily indicative of the results of operations to be anticipated for the full fiscal year or any future period.</w:t>
      </w:r>
    </w:p>
    <w:p>
      <w:pPr>
        <w:spacing w:after="0" w:line="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unaudited condensed consolidated financial statements should be read in conjunction with the audited consolidated financial statements and notes included in our Annual Report on Form 10-K for the year ended January 31, 2020, filed with the SEC on March 20, 2020.</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GAAP requires management to make estimates and assumptions that affect the reported amounts of assets and liabilities, disclosure of contingent assets and liabilities at the date of the condensed consolidated financial statements, and the reported amounts of revenue and expenses during the reporting period. Significant items subject to such estimates and assumptions include, but are not limited to, the estimated expected benefit period for deferred contract acquisition costs, the allowance for credit losses, the useful lives of long-lived assets, the incremental borrowing rate for operating leases, the value of common stock and other assumptions used to measure stock-based compensation expense, sales and other tax liabilities, the fair value of marketable securities, equity investment, convertible promissory note, acquired intangible assets and goodwill, and the valuation of deferred income tax assets and uncertain tax positions. Actual results could differ from those estimates.</w:t>
      </w:r>
    </w:p>
    <w:p>
      <w:pPr>
        <w:spacing w:after="0" w:line="8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COVID-19 pandemic has created, and may continue to create, significant uncertainty in macroeconomic conditions, and the extent of its impact on our operational and financial performance will depend on certain developments, including the duration and spread of the outbreak and the impact on our customers and our sales cycles. During the three and nine months ended October 31, 2020, our estimates and assumptions required increased judgment and carried a higher degree of variability and volatility. As events continue to evolve and additional information becomes available, our estimates may change materially in future periods.</w:t>
      </w:r>
    </w:p>
    <w:p>
      <w:pPr>
        <w:spacing w:after="0" w:line="1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Summary of Significant Accounting Policies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significant accounting policies are discussed in Note 1. “Summary of Business and Significant Accounting Policies” in the notes to consolidated financial statements included in our Annual Report on Form 10-K for the year ended January 31, 2020, filed with the SEC on March 20, 2020. There have been no significant changes to these policies during the nine months ended October 31, 2020, except as noted below.</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Restricted Cash</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Restricted cash consists of certificates of deposit collateralizing our operating leases, corporate credit cards, and cash from proceeds from international employees’ sales of our common stock, and is included in prepaid expenses and other current assets and other assets, noncurrent in the condensed consolidated balance sheets.</w:t>
      </w:r>
    </w:p>
    <w:p>
      <w:pPr>
        <w:spacing w:after="0" w:line="6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of October 31, 2020 and January 31, 2020, we had $295.9 million and $48.5 million, respectively, of cash from proceeds from international employees’ sales of our common stock. The amount is held in our bank account until it is remitted to the employees and the tax authorities. Due to the restrictions on the use of the funds in the bank account, we have classified the amount as restricted cash included in prepaid expenses and other current assets, and a corresponding amount is included in accrued expenses and other current liabilities in the condensed consolidated balance sheets.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Allowance for Credit Losses</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are exposed to credit losses primarily through our accounts receivable and investments in available-for-sale debt securities. See Note 3 for additional information related to our available-for-sale debt securities.</w:t>
      </w:r>
    </w:p>
    <w:p>
      <w:pPr>
        <w:spacing w:after="0" w:line="5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u w:val="single" w:color="auto"/>
          <w:color w:val="auto"/>
        </w:rPr>
        <w:t>Accounts receivable, net</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Accounts receivable are recorded for invoiced amounts and amounts for which revenue has been recognized, but not invoiced, net of allowances.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short-term accounts receivable consist of the following:</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Accounts receivable, gross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Less: Allowance for credit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Less: Allowance for returns</w:t>
      </w:r>
    </w:p>
    <w:p>
      <w:pPr>
        <w:spacing w:after="0" w:line="5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Accounts receivable, net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As of October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24765</wp:posOffset>
            </wp:positionV>
            <wp:extent cx="117475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174750" cy="8255"/>
                    </a:xfrm>
                    <a:prstGeom prst="rect">
                      <a:avLst/>
                    </a:prstGeom>
                    <a:noFill/>
                  </pic:spPr>
                </pic:pic>
              </a:graphicData>
            </a:graphic>
          </wp:anchor>
        </w:drawing>
      </w:r>
    </w:p>
    <w:p>
      <w:pPr>
        <w:spacing w:after="0" w:line="62"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34" w:lineRule="exact"/>
        <w:rPr>
          <w:sz w:val="20"/>
          <w:szCs w:val="20"/>
          <w:color w:val="auto"/>
        </w:rPr>
      </w:pPr>
    </w:p>
    <w:p>
      <w:pPr>
        <w:ind w:left="1172" w:hanging="1172"/>
        <w:spacing w:after="0"/>
        <w:tabs>
          <w:tab w:leader="none" w:pos="117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308,585</w:t>
      </w:r>
    </w:p>
    <w:p>
      <w:pPr>
        <w:spacing w:after="0" w:line="27" w:lineRule="exact"/>
        <w:rPr>
          <w:rFonts w:ascii="Times New Roman" w:cs="Times New Roman" w:eastAsia="Times New Roman" w:hAnsi="Times New Roman"/>
          <w:sz w:val="18"/>
          <w:szCs w:val="18"/>
          <w:color w:val="auto"/>
        </w:rPr>
      </w:pPr>
    </w:p>
    <w:p>
      <w:pPr>
        <w:ind w:left="119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(16,500)</w:t>
      </w:r>
    </w:p>
    <w:p>
      <w:pPr>
        <w:spacing w:after="0" w:line="22" w:lineRule="exact"/>
        <w:rPr>
          <w:rFonts w:ascii="Times New Roman" w:cs="Times New Roman" w:eastAsia="Times New Roman" w:hAnsi="Times New Roman"/>
          <w:sz w:val="18"/>
          <w:szCs w:val="18"/>
          <w:color w:val="auto"/>
        </w:rPr>
      </w:pPr>
    </w:p>
    <w:p>
      <w:pPr>
        <w:ind w:left="119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117475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174750" cy="8255"/>
                    </a:xfrm>
                    <a:prstGeom prst="rect">
                      <a:avLst/>
                    </a:prstGeom>
                    <a:noFill/>
                  </pic:spPr>
                </pic:pic>
              </a:graphicData>
            </a:graphic>
          </wp:anchor>
        </w:drawing>
      </w:r>
    </w:p>
    <w:p>
      <w:pPr>
        <w:spacing w:after="0" w:line="11" w:lineRule="exact"/>
        <w:rPr>
          <w:sz w:val="20"/>
          <w:szCs w:val="20"/>
          <w:color w:val="auto"/>
        </w:rPr>
      </w:pPr>
    </w:p>
    <w:p>
      <w:pPr>
        <w:ind w:left="1172" w:hanging="1172"/>
        <w:spacing w:after="0"/>
        <w:tabs>
          <w:tab w:leader="none" w:pos="117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280,896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117475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17475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43180</wp:posOffset>
            </wp:positionV>
            <wp:extent cx="117475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174750" cy="8255"/>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8688" w:space="720"/>
            <w:col w:w="1832"/>
          </w:cols>
          <w:pgMar w:left="320" w:top="121" w:right="339" w:bottom="1440" w:gutter="0" w:footer="0" w:header="0"/>
          <w:type w:val="continuous"/>
        </w:sectPr>
      </w:pPr>
    </w:p>
    <w:p>
      <w:pPr>
        <w:spacing w:after="0" w:line="52"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maintain an allowance for credit losses for expected uncollectible accounts receivable, which is recorded as an offset to accounts receivable, and changes in such are classified as general and administrative expense in the condensed consolidated statements of operations. The allowance for credit losses is based on management’s estimate for expected credit losses for outstanding accounts receivable. We determine expected credit losses based on historical write-off experience, an analysis of the aging of outstanding receivables, customer payment patterns, the establishment of specific reserves for customers in an adverse financial condition, and adjust based upon our expectations of changes in macroeconomic conditions that may impact the collectibility of outstanding receivables, including noncurrent accounts receivable. We also consider current market conditions and reasonable and supportable forecasts of future economic conditions to inform adjustments to historical loss data. We reassess the adequacy of the allowance for credit losses each reporting period.</w:t>
      </w:r>
    </w:p>
    <w:p>
      <w:pPr>
        <w:spacing w:after="0" w:line="8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For the nine months ended October 31, 2020, our assessment considered business and market disruptions caused by COVID-19 and estimates of credit and collectibility trends. The continued volatility in market conditions and evolving shifts in credit trends are difficult to predict, causing variability and volatility that may have a material impact on our allowance for credit losses in future periods. Below is a rollforward of our allowance for credit losses for the nine months ended October 31, 2020.</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4"/>
        </w:trPr>
        <w:tc>
          <w:tcPr>
            <w:tcW w:w="9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January 31, 2020</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5,150</w:t>
            </w:r>
          </w:p>
        </w:tc>
      </w:tr>
      <w:tr>
        <w:trPr>
          <w:trHeight w:val="230"/>
        </w:trPr>
        <w:tc>
          <w:tcPr>
            <w:tcW w:w="9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3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17,070</w:t>
            </w:r>
          </w:p>
        </w:tc>
      </w:tr>
      <w:tr>
        <w:trPr>
          <w:trHeight w:val="229"/>
        </w:trPr>
        <w:tc>
          <w:tcPr>
            <w:tcW w:w="9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Write-offs</w:t>
            </w:r>
          </w:p>
        </w:tc>
        <w:tc>
          <w:tcPr>
            <w:tcW w:w="3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(5,720)</w:t>
            </w:r>
          </w:p>
        </w:tc>
      </w:tr>
      <w:tr>
        <w:trPr>
          <w:trHeight w:val="223"/>
        </w:trPr>
        <w:tc>
          <w:tcPr>
            <w:tcW w:w="9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October 31, 2020</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16,500</w:t>
            </w:r>
          </w:p>
        </w:tc>
      </w:tr>
      <w:tr>
        <w:trPr>
          <w:trHeight w:val="20"/>
        </w:trPr>
        <w:tc>
          <w:tcPr>
            <w:tcW w:w="9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u w:val="single" w:color="auto"/>
          <w:color w:val="auto"/>
        </w:rPr>
        <w:t>Available-for-sale Investments</w:t>
      </w:r>
    </w:p>
    <w:p>
      <w:pPr>
        <w:spacing w:after="0" w:line="11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Available-for-sale investments consist primarily of high-grade commercial paper, agency bonds, corporate bonds, corporate and other debt securities, U.S. government agency securities, and treasury bills. We classify our marketable securities as available-for-sale at the time of purchase and reevaluate such classification at each balance sheet date. We may sell these securities at any time for use in current operations even if they have not yet reached maturity. As a result, we classify our securities, including those with maturities beyond 12 months, as current assets in the condensed consolidated balance sheets. We carry these securities at fair value and record unrealized gains and losses in accumulated other comprehensive income, which is reflected as a component of stockholders’ equity. We evaluate our securities with unrealized loss positions as to whether the declines in fair value were due to credit losses, and record the portion of impairment relating to the credit losses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 w:name="page15"/>
    <w:bookmarkEnd w:id="1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through allowance for credit losses limited to the amount that fair value was less than the amortized cost basis. Realized gains and losses from the sale of marketable securities are determined based on the specific identification method. Realized gains and losses are reported in interest income and other, net in the condensed consolidated statements of operations.</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Cloud Computing Arrangement Implementation Costs</w:t>
      </w:r>
    </w:p>
    <w:p>
      <w:pPr>
        <w:spacing w:after="0" w:line="1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capitalize certain implementation costs incurred in a cloud computing arrangement during the application development stage. Costs incurred in the preliminary stages of development are analogous to research and development activities and are expensed as incurred. The preliminary stage includes activities such as formulation and evaluation of alternatives, determination of existence of needed technology, and final selection of alternatives. Once the application development stage is reached, internal and external costs are capitalized until the hosted software is ready for its intended use. Capitalized implementation costs are recorded as deferred costs, and are included in prepaid expenses and other current assets and other assets, noncurrent in the condensed consolidated balance sheets. Maintenance, minor upgrades, and training costs are expensed as incurred. Capitalized implementation costs are amortized over the term of the hosting arrangement on a straight-line basis, and are recorded under operating expenses in the same line item in the condensed consolidated statements of operations as the expense for fees for the associated hosting arrangement. Capitalized implementation costs were not material during the three and nine months ended October 31, 2020.</w:t>
      </w:r>
    </w:p>
    <w:p>
      <w:pPr>
        <w:spacing w:after="0" w:line="1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Equity Investment</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the third quarter of fiscal year 2020, we made a $3.0 million strategic investment in a private company in the business of designing and developing video communications hardware. In the first quarter of fiscal year 2021, we made an additional $8.0 million strategic investment in this company.</w:t>
      </w:r>
    </w:p>
    <w:p>
      <w:pPr>
        <w:spacing w:after="0" w:line="6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do not have a controlling financial interest in the investee nor the ability to exercise significant influence over the operating and financial policies of the investee. The investment is included within other assets, noncurrent in the condensed consolidated balance sheets. Dividend income, unrealized and realized holding gains or losses, and impairment charges would be reported in interest income and other, net in the condensed consolidated statements of operations. The maximum loss we could incur for this investment is its carrying value.</w:t>
      </w:r>
    </w:p>
    <w:p>
      <w:pPr>
        <w:spacing w:after="0" w:line="7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have elected to measure this investment, which does not have a readily determinable fair value, at its cost, minus impairment, if any, plus or minus changes resulting from observable price changes in orderly transactions for the identical or a similar investment of the same issuer (i.e., using the measurement alternative). At each reporting period, we perform a qualitative assessment considering impairment indicators to evaluate whether the investment is impaired. If this qualitative assessment indicates that the investment is impaired and the fair value of the investment is less than its carrying amount, the investment would be written down to its fair value. We did not record any impairment to the equity investment during the three and nine months ended October 31, 2020.</w:t>
      </w:r>
    </w:p>
    <w:p>
      <w:pPr>
        <w:spacing w:after="0" w:line="7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connection with the additional investment and the indicated change in the observable price of the underlying shares of the investee, we recognized a remeasurement gain of $2.5 million on the initial investment in the nine months ended October 31, 2020. As of October 31, 2020, the carrying amount of this investment was $13.5 million.</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Convertible Promissory Note</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the first quarter of fiscal year 2021, we invested $5.0 million in a five-year convertible promissory note of a privately held company (the “Convertible Note”), which bears interest at 3.0% on the unpaid principal balance, compounded annually. We may elect to convert the Convertible Note into shares of the privately held company’s stock prior to, or on, the maturity date of the Convertible Note. Upon a liquidity event, the Convertible Note will be automatically converted into shares of the privately held company’s stock.</w:t>
      </w:r>
    </w:p>
    <w:p>
      <w:pPr>
        <w:spacing w:after="0" w:line="7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Convertible Note is included in other assets, noncurrent in the condensed consolidated balance sheets. Interest accrues on the unpaid principal balance on a quarterly basis, and is recognized in interest income and other, net in the condensed consolidated statements of operations. Interest income related to the Convertible Note was immaterial for the three and nine months ended October 31, 2020. We have elected to measure the Convertible Note at fair value (i.e., using the fair value option) at each reporting date. Under the fair value option, bifurcation of an embedded derivative is not necessary, and all related gains and losses on the host contract and derivative due to change in the fair value will be reflected in interest income and other, net in the condensed consolidated statements of operations. As of October 31, 2020, the fair value of the Convertible Note investment was measured at $5.1 million.</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121"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We account for our business combinations using the acquisition method of accounting, which requires, among other things, allocation of the fair value of purchase consideration to the tangible and intangible assets acquired and liabilities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assumed at their estimated fair values on the acquisition date. The excess of the fair value of purchase consideration over the values of these identifiable assets and liabilities is recorded as goodwill. When determining the fair value of assets acquired and liabilities assumed, we make estimates and assumptions, especially with respect to intangible assets. Our estimates of fair value are based upon assumptions believed to be reasonable, but which are inherently uncertain and unpredictable and, as a result, actual results may differ from estimates. During the measurement period, not to exceed one year from the date of acquisition, we may record adjustments to the assets acquired and liabilities assumed, with a corresponding offset to goodwill if new information is obtained related to facts and circumstances that existed as of the acquisition date. After the measurement period, any subsequent adjustments are reflected in the condensed consolidated statements of operations. Acquisition costs, such as legal and consulting fees, are expensed as incurred.</w:t>
      </w:r>
    </w:p>
    <w:p>
      <w:pPr>
        <w:spacing w:after="0" w:line="8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Uncertain tax positions and tax-related valuation allowances are initially established in connection with a business combination as of the acquisition date. We continue to collect information and reevaluate these estimates and assumptions quarterly. We will record any adjustments to our preliminary estimates to goodwill, provided that it is within the one-year measurement period.</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Goodwill and Acquired Intangible Assets</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Goodwill amounts are not amortized, but rather tested for impairment at least annually or more often if circumstances indicate that the carrying value may not be recoverable. There were no impairment charges to goodwill during the three and nine months ended October 31, 2020.</w:t>
      </w:r>
    </w:p>
    <w:p>
      <w:pPr>
        <w:spacing w:after="0" w:line="5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Acquired intangible assets consist of identifiable intangible assets resulting from business combinations. Acquired finite-lived intangible assets are initially recorded at fair value and are amortized on a straight-line basis over their estimated useful lives. Amortization expense of developed technology is recorded within cost of revenue in the condensed consolidated statements of operations. Each period we evaluate the estimated remaining useful lives of our acquired finite-lived intangible assets and whether events or changes in circumstances warrant a revision to the remaining period of amortization. There were no impairment charges to acquired intangible assets during the three and nine months ended October 31, 2020.</w:t>
      </w:r>
    </w:p>
    <w:p>
      <w:pPr>
        <w:spacing w:after="0" w:line="1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1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 xml:space="preserve">In June 2016, the Financial Accounting Standards Board (“FASB”) issued Accounting Standards Update (“ASU”) No. 2016-13, </w:t>
      </w:r>
      <w:r>
        <w:rPr>
          <w:rFonts w:ascii="Times New Roman" w:cs="Times New Roman" w:eastAsia="Times New Roman" w:hAnsi="Times New Roman"/>
          <w:sz w:val="18"/>
          <w:szCs w:val="18"/>
          <w:i w:val="1"/>
          <w:iCs w:val="1"/>
          <w:color w:val="auto"/>
        </w:rPr>
        <w:t>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Instruments—Credit Losses (Topic 326): Measurement of Credit Losses on Financial Instruments</w:t>
      </w:r>
      <w:r>
        <w:rPr>
          <w:rFonts w:ascii="Times New Roman" w:cs="Times New Roman" w:eastAsia="Times New Roman" w:hAnsi="Times New Roman"/>
          <w:sz w:val="18"/>
          <w:szCs w:val="18"/>
          <w:color w:val="auto"/>
        </w:rPr>
        <w:t>, which was subsequently amended by ASU No. 2018-19,</w:t>
      </w:r>
      <w:r>
        <w:rPr>
          <w:rFonts w:ascii="Times New Roman" w:cs="Times New Roman" w:eastAsia="Times New Roman" w:hAnsi="Times New Roman"/>
          <w:sz w:val="18"/>
          <w:szCs w:val="18"/>
          <w:i w:val="1"/>
          <w:iCs w:val="1"/>
          <w:color w:val="auto"/>
        </w:rPr>
        <w:t xml:space="preserve"> Codification Improvements to Topic 326, Financial Instruments—Credit Losses</w:t>
      </w:r>
      <w:r>
        <w:rPr>
          <w:rFonts w:ascii="Times New Roman" w:cs="Times New Roman" w:eastAsia="Times New Roman" w:hAnsi="Times New Roman"/>
          <w:sz w:val="18"/>
          <w:szCs w:val="18"/>
          <w:color w:val="auto"/>
        </w:rPr>
        <w:t>, in November 2018. Subsequently, the FASB issued ASU No. 2019-04,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ASU No. 2019-05, ASU No. 2019-10, and ASU No. 2019-11 to provide additional guidance on the credit losses standard. ASU No. 2016-13 and the related updates replace the existing incurred loss impairment model with an expected credit loss model, and requires a financial asset measured at amortized cost to be presented at the net amount expected to be collected. We adopted the standard as of February 1, 2020, using the modified retrospective method of applying the new standard at the adoption date. Our adoption did not result in any cumulative effect adjustment in our condensed consolidated financial statements upon adoption as of February 1, 2020.</w:t>
      </w:r>
    </w:p>
    <w:p>
      <w:pPr>
        <w:spacing w:after="0" w:line="7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 xml:space="preserve">In August 2018, the FASB issued ASU No. 2018-15, </w:t>
      </w:r>
      <w:r>
        <w:rPr>
          <w:rFonts w:ascii="Times New Roman" w:cs="Times New Roman" w:eastAsia="Times New Roman" w:hAnsi="Times New Roman"/>
          <w:sz w:val="18"/>
          <w:szCs w:val="18"/>
          <w:i w:val="1"/>
          <w:iCs w:val="1"/>
          <w:color w:val="auto"/>
        </w:rPr>
        <w:t>Intangibles—Goodwill and Other—Internal-Use Software (Subtopic 350-40): Customer’s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Accounting for Implementation Costs Incurred in a Cloud Computing Arrangement that is a Service Contract</w:t>
      </w:r>
      <w:r>
        <w:rPr>
          <w:rFonts w:ascii="Times New Roman" w:cs="Times New Roman" w:eastAsia="Times New Roman" w:hAnsi="Times New Roman"/>
          <w:sz w:val="18"/>
          <w:szCs w:val="18"/>
          <w:color w:val="auto"/>
        </w:rPr>
        <w:t>. The amendment aligns the requirements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capitalizing implementation costs incurred in a hosting arrangement that is a service contract with the requirements for capitalizing implementation costs incurred to develop or obtain internal-use software (and hosting arrangements that include an internal-use software license). We adopted ASU No. 2018-15, prospectively, as of February 1, 2020, and our adoption did not have a material impact on the condensed consolidated financial statements.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Revenue Recognition</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revenue by region based on the billing address of customers: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5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5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94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94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964"/>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962"/>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0" w:type="dxa"/>
            <w:vAlign w:val="bottom"/>
          </w:tcPr>
          <w:p>
            <w:pPr>
              <w:spacing w:after="0"/>
              <w:rPr>
                <w:sz w:val="1"/>
                <w:szCs w:val="1"/>
                <w:color w:val="auto"/>
              </w:rPr>
            </w:pPr>
          </w:p>
        </w:tc>
      </w:tr>
      <w:tr>
        <w:trPr>
          <w:trHeight w:val="128"/>
        </w:trPr>
        <w:tc>
          <w:tcPr>
            <w:tcW w:w="1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vMerge w:val="restart"/>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jc w:val="right"/>
              <w:ind w:right="84"/>
              <w:spacing w:after="0" w:line="129"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vMerge w:val="restart"/>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jc w:val="right"/>
              <w:ind w:right="104"/>
              <w:spacing w:after="0" w:line="129"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vMerge w:val="restart"/>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jc w:val="right"/>
              <w:ind w:right="104"/>
              <w:spacing w:after="0" w:line="129"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vMerge w:val="restart"/>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jc w:val="right"/>
              <w:ind w:right="102"/>
              <w:spacing w:after="0" w:line="129"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89"/>
        </w:trPr>
        <w:tc>
          <w:tcPr>
            <w:tcW w:w="15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0" w:type="dxa"/>
            <w:vAlign w:val="bottom"/>
          </w:tcPr>
          <w:p>
            <w:pPr>
              <w:spacing w:after="0"/>
              <w:rPr>
                <w:sz w:val="1"/>
                <w:szCs w:val="1"/>
                <w:color w:val="auto"/>
              </w:rPr>
            </w:pPr>
          </w:p>
        </w:tc>
      </w:tr>
      <w:tr>
        <w:trPr>
          <w:trHeight w:val="218"/>
        </w:trPr>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538,504</w:t>
            </w:r>
          </w:p>
        </w:tc>
        <w:tc>
          <w:tcPr>
            <w:tcW w:w="1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133,864</w:t>
            </w:r>
          </w:p>
        </w:tc>
        <w:tc>
          <w:tcPr>
            <w:tcW w:w="1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1,238,298</w:t>
            </w:r>
          </w:p>
        </w:tc>
        <w:tc>
          <w:tcPr>
            <w:tcW w:w="1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349,122</w:t>
            </w:r>
          </w:p>
        </w:tc>
        <w:tc>
          <w:tcPr>
            <w:tcW w:w="1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0" w:type="dxa"/>
            <w:vAlign w:val="bottom"/>
          </w:tcPr>
          <w:p>
            <w:pPr>
              <w:spacing w:after="0"/>
              <w:rPr>
                <w:sz w:val="1"/>
                <w:szCs w:val="1"/>
                <w:color w:val="auto"/>
              </w:rPr>
            </w:pPr>
          </w:p>
        </w:tc>
      </w:tr>
      <w:tr>
        <w:trPr>
          <w:trHeight w:val="333"/>
        </w:trPr>
        <w:tc>
          <w:tcPr>
            <w:tcW w:w="1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1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(“APAC”)</w:t>
            </w:r>
          </w:p>
        </w:tc>
        <w:tc>
          <w:tcPr>
            <w:tcW w:w="1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103,458</w:t>
            </w:r>
          </w:p>
        </w:tc>
        <w:tc>
          <w:tcPr>
            <w:tcW w:w="1340" w:type="dxa"/>
            <w:vAlign w:val="bottom"/>
            <w:gridSpan w:val="3"/>
          </w:tcPr>
          <w:p>
            <w:pPr>
              <w:jc w:val="right"/>
              <w:ind w:right="144"/>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13,661</w:t>
            </w:r>
          </w:p>
        </w:tc>
        <w:tc>
          <w:tcPr>
            <w:tcW w:w="1340" w:type="dxa"/>
            <w:vAlign w:val="bottom"/>
            <w:gridSpan w:val="3"/>
          </w:tcPr>
          <w:p>
            <w:pPr>
              <w:jc w:val="right"/>
              <w:ind w:right="144"/>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215,099</w:t>
            </w:r>
          </w:p>
        </w:tc>
        <w:tc>
          <w:tcPr>
            <w:tcW w:w="1340" w:type="dxa"/>
            <w:vAlign w:val="bottom"/>
            <w:gridSpan w:val="3"/>
          </w:tcPr>
          <w:p>
            <w:pPr>
              <w:jc w:val="right"/>
              <w:ind w:right="144"/>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36,189</w:t>
            </w:r>
          </w:p>
        </w:tc>
        <w:tc>
          <w:tcPr>
            <w:tcW w:w="1340" w:type="dxa"/>
            <w:vAlign w:val="bottom"/>
            <w:gridSpan w:val="3"/>
          </w:tcPr>
          <w:p>
            <w:pPr>
              <w:jc w:val="right"/>
              <w:ind w:right="142"/>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333"/>
        </w:trPr>
        <w:tc>
          <w:tcPr>
            <w:tcW w:w="1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 Middle</w:t>
            </w:r>
          </w:p>
        </w:tc>
        <w:tc>
          <w:tcPr>
            <w:tcW w:w="1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East, and Africa</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1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(“EMEA”)</w:t>
            </w:r>
          </w:p>
        </w:tc>
        <w:tc>
          <w:tcPr>
            <w:tcW w:w="18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135,234</w:t>
            </w:r>
          </w:p>
        </w:tc>
        <w:tc>
          <w:tcPr>
            <w:tcW w:w="1340" w:type="dxa"/>
            <w:vAlign w:val="bottom"/>
            <w:gridSpan w:val="3"/>
            <w:shd w:val="clear" w:color="auto" w:fill="CCEEFF"/>
          </w:tcPr>
          <w:p>
            <w:pPr>
              <w:jc w:val="right"/>
              <w:ind w:right="144"/>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19,068</w:t>
            </w:r>
          </w:p>
        </w:tc>
        <w:tc>
          <w:tcPr>
            <w:tcW w:w="1340" w:type="dxa"/>
            <w:vAlign w:val="bottom"/>
            <w:gridSpan w:val="3"/>
            <w:shd w:val="clear" w:color="auto" w:fill="CCEEFF"/>
          </w:tcPr>
          <w:p>
            <w:pPr>
              <w:jc w:val="right"/>
              <w:ind w:right="144"/>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315,486</w:t>
            </w:r>
          </w:p>
        </w:tc>
        <w:tc>
          <w:tcPr>
            <w:tcW w:w="1340" w:type="dxa"/>
            <w:vAlign w:val="bottom"/>
            <w:gridSpan w:val="3"/>
            <w:shd w:val="clear" w:color="auto" w:fill="CCEEFF"/>
          </w:tcPr>
          <w:p>
            <w:pPr>
              <w:jc w:val="right"/>
              <w:ind w:right="144"/>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49,096</w:t>
            </w:r>
          </w:p>
        </w:tc>
        <w:tc>
          <w:tcPr>
            <w:tcW w:w="1340" w:type="dxa"/>
            <w:vAlign w:val="bottom"/>
            <w:gridSpan w:val="3"/>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3"/>
        </w:trPr>
        <w:tc>
          <w:tcPr>
            <w:tcW w:w="1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777,196</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166,593</w:t>
            </w:r>
          </w:p>
        </w:tc>
        <w:tc>
          <w:tcPr>
            <w:tcW w:w="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1,768,883</w:t>
            </w:r>
          </w:p>
        </w:tc>
        <w:tc>
          <w:tcPr>
            <w:tcW w:w="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434,407</w:t>
            </w:r>
          </w:p>
        </w:tc>
        <w:tc>
          <w:tcPr>
            <w:tcW w:w="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1"/>
        </w:trPr>
        <w:tc>
          <w:tcPr>
            <w:tcW w:w="1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receive payments from customers based on billing schedules as established in our customer contracts. Accounts receivable are recorded when we contractually have the right to consideration. In some arrangements, a right to consideration for our performance under the customer contract may occur before invoicing to the customer, resulting in an unbilled accounts receivable. The amount of unbilled accounts receivable included within accounts receivable, net of allowances in the condensed consolidated balance sheets was $21.9 million and $12.5 million as of October 31, 2020 and January 31, 2020, respectively.</w:t>
      </w:r>
    </w:p>
    <w:p>
      <w:pPr>
        <w:spacing w:after="0" w:line="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Contract liabilities consist of deferred revenue. Revenue is deferred when we have the right to invoice in advance of performance under a customer contract. The current portion of deferred revenue balances is recognized over the next 12 months. The amount of revenue recognized during the three months ended October 31, 2020 and 2019 that was included in deferred revenue at the beginning of each period was $312.0 million and $75.5 million, respectively, and $203.3 million and $109.2 million during the nine months ended October 31, 2020 and 2019, respectively.</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terms of our subscription agreements are monthly, annual, and multiyear, and we may bill for the full term in advance or on an annual, quarterly, or monthly basis, depending on the billing terms with customers. As of October 31, 2020, the aggregate amount of the transaction price allocated to our remaining performance obligations was $1,631.2 million, which consisted of both billed consideration in the amount of $854.7 million and unbilled consideration that we expect to recognize as revenue in the amount of $776.5 million. We expect to recognize 72% of our remaining performance obligations as revenue over the next 12 months and the remainder thereafter.</w:t>
      </w:r>
    </w:p>
    <w:p>
      <w:pPr>
        <w:spacing w:after="0" w:line="17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tab/>
        <w:t>Marketable Securities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October 31, 2020 and January 31, 2020, our marketable securities consisted of the following:</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As of October 31, 2020</w:t>
            </w: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5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Pr>
          <w:p>
            <w:pPr>
              <w:spacing w:after="0"/>
              <w:rPr>
                <w:sz w:val="11"/>
                <w:szCs w:val="11"/>
                <w:color w:val="auto"/>
              </w:rPr>
            </w:pPr>
          </w:p>
        </w:tc>
        <w:tc>
          <w:tcPr>
            <w:tcW w:w="1200" w:type="dxa"/>
            <w:vAlign w:val="bottom"/>
            <w:gridSpan w:val="2"/>
          </w:tcPr>
          <w:p>
            <w:pPr>
              <w:jc w:val="center"/>
              <w:ind w:right="320"/>
              <w:spacing w:after="0" w:line="134" w:lineRule="exact"/>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1"/>
                <w:szCs w:val="11"/>
                <w:color w:val="auto"/>
              </w:rPr>
            </w:pPr>
          </w:p>
        </w:tc>
        <w:tc>
          <w:tcPr>
            <w:tcW w:w="1220" w:type="dxa"/>
            <w:vAlign w:val="bottom"/>
            <w:gridSpan w:val="2"/>
          </w:tcPr>
          <w:p>
            <w:pPr>
              <w:jc w:val="center"/>
              <w:ind w:right="340"/>
              <w:spacing w:after="0" w:line="134" w:lineRule="exact"/>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1"/>
                <w:szCs w:val="11"/>
                <w:color w:val="auto"/>
              </w:rPr>
            </w:pPr>
          </w:p>
        </w:tc>
        <w:tc>
          <w:tcPr>
            <w:tcW w:w="1100" w:type="dxa"/>
            <w:vAlign w:val="bottom"/>
          </w:tcPr>
          <w:p>
            <w:pPr>
              <w:jc w:val="center"/>
              <w:ind w:right="156"/>
              <w:spacing w:after="0" w:line="134"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35"/>
        </w:trPr>
        <w:tc>
          <w:tcPr>
            <w:tcW w:w="5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1"/>
                <w:szCs w:val="11"/>
                <w:color w:val="auto"/>
              </w:rPr>
            </w:pPr>
          </w:p>
        </w:tc>
        <w:tc>
          <w:tcPr>
            <w:tcW w:w="122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1"/>
                <w:szCs w:val="11"/>
                <w:color w:val="auto"/>
              </w:rPr>
            </w:pPr>
          </w:p>
        </w:tc>
        <w:tc>
          <w:tcPr>
            <w:tcW w:w="1100" w:type="dxa"/>
            <w:vAlign w:val="bottom"/>
          </w:tcPr>
          <w:p>
            <w:pPr>
              <w:jc w:val="center"/>
              <w:ind w:right="156"/>
              <w:spacing w:after="0" w:line="135" w:lineRule="exact"/>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89"/>
        </w:trPr>
        <w:tc>
          <w:tcPr>
            <w:tcW w:w="5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8"/>
        </w:trPr>
        <w:tc>
          <w:tcPr>
            <w:tcW w:w="5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4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6,244</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6,244</w:t>
            </w:r>
          </w:p>
        </w:tc>
        <w:tc>
          <w:tcPr>
            <w:tcW w:w="0" w:type="dxa"/>
            <w:vAlign w:val="bottom"/>
          </w:tcPr>
          <w:p>
            <w:pPr>
              <w:spacing w:after="0"/>
              <w:rPr>
                <w:sz w:val="1"/>
                <w:szCs w:val="1"/>
                <w:color w:val="auto"/>
              </w:rPr>
            </w:pPr>
          </w:p>
        </w:tc>
      </w:tr>
      <w:tr>
        <w:trPr>
          <w:trHeight w:val="230"/>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Agency bonds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409,695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409,473</w:t>
            </w: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 debt securities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465,399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466,946</w:t>
            </w:r>
          </w:p>
        </w:tc>
        <w:tc>
          <w:tcPr>
            <w:tcW w:w="0" w:type="dxa"/>
            <w:vAlign w:val="bottom"/>
          </w:tcPr>
          <w:p>
            <w:pPr>
              <w:spacing w:after="0"/>
              <w:rPr>
                <w:sz w:val="1"/>
                <w:szCs w:val="1"/>
                <w:color w:val="auto"/>
              </w:rPr>
            </w:pPr>
          </w:p>
        </w:tc>
      </w:tr>
      <w:tr>
        <w:trPr>
          <w:trHeight w:val="230"/>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144,361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144,354</w:t>
            </w: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Treasury bills</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114,409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114,408</w:t>
            </w:r>
          </w:p>
        </w:tc>
        <w:tc>
          <w:tcPr>
            <w:tcW w:w="0" w:type="dxa"/>
            <w:vAlign w:val="bottom"/>
          </w:tcPr>
          <w:p>
            <w:pPr>
              <w:spacing w:after="0"/>
              <w:rPr>
                <w:sz w:val="1"/>
                <w:szCs w:val="1"/>
                <w:color w:val="auto"/>
              </w:rPr>
            </w:pPr>
          </w:p>
        </w:tc>
      </w:tr>
      <w:tr>
        <w:trPr>
          <w:trHeight w:val="223"/>
        </w:trPr>
        <w:tc>
          <w:tcPr>
            <w:tcW w:w="5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Marketable securities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1,140,108</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1,824</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1,141,425</w:t>
            </w:r>
          </w:p>
        </w:tc>
        <w:tc>
          <w:tcPr>
            <w:tcW w:w="0" w:type="dxa"/>
            <w:vAlign w:val="bottom"/>
          </w:tcPr>
          <w:p>
            <w:pPr>
              <w:spacing w:after="0"/>
              <w:rPr>
                <w:sz w:val="1"/>
                <w:szCs w:val="1"/>
                <w:color w:val="auto"/>
              </w:rPr>
            </w:pPr>
          </w:p>
        </w:tc>
      </w:tr>
      <w:tr>
        <w:trPr>
          <w:trHeight w:val="21"/>
        </w:trPr>
        <w:tc>
          <w:tcPr>
            <w:tcW w:w="5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 w:name="page18"/>
    <w:bookmarkEnd w:id="1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3"/>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As of January 31, 2020</w:t>
            </w: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5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Pr>
          <w:p>
            <w:pPr>
              <w:spacing w:after="0"/>
              <w:rPr>
                <w:sz w:val="11"/>
                <w:szCs w:val="11"/>
                <w:color w:val="auto"/>
              </w:rPr>
            </w:pPr>
          </w:p>
        </w:tc>
        <w:tc>
          <w:tcPr>
            <w:tcW w:w="1200" w:type="dxa"/>
            <w:vAlign w:val="bottom"/>
            <w:gridSpan w:val="2"/>
          </w:tcPr>
          <w:p>
            <w:pPr>
              <w:jc w:val="center"/>
              <w:ind w:right="320"/>
              <w:spacing w:after="0" w:line="134" w:lineRule="exact"/>
              <w:rPr>
                <w:sz w:val="20"/>
                <w:szCs w:val="20"/>
                <w:color w:val="auto"/>
              </w:rPr>
            </w:pPr>
            <w:r>
              <w:rPr>
                <w:rFonts w:ascii="Times New Roman" w:cs="Times New Roman" w:eastAsia="Times New Roman" w:hAnsi="Times New Roman"/>
                <w:sz w:val="14"/>
                <w:szCs w:val="14"/>
                <w:b w:val="1"/>
                <w:bCs w:val="1"/>
                <w:color w:val="auto"/>
              </w:rPr>
              <w:t>Gross</w:t>
            </w:r>
          </w:p>
        </w:tc>
        <w:tc>
          <w:tcPr>
            <w:tcW w:w="1000" w:type="dxa"/>
            <w:vAlign w:val="bottom"/>
          </w:tcPr>
          <w:p>
            <w:pPr>
              <w:jc w:val="center"/>
              <w:ind w:left="241"/>
              <w:spacing w:after="0" w:line="134" w:lineRule="exact"/>
              <w:rPr>
                <w:sz w:val="20"/>
                <w:szCs w:val="20"/>
                <w:color w:val="auto"/>
              </w:rPr>
            </w:pPr>
            <w:r>
              <w:rPr>
                <w:rFonts w:ascii="Times New Roman" w:cs="Times New Roman" w:eastAsia="Times New Roman" w:hAnsi="Times New Roman"/>
                <w:sz w:val="14"/>
                <w:szCs w:val="14"/>
                <w:b w:val="1"/>
                <w:bCs w:val="1"/>
                <w:color w:val="auto"/>
              </w:rPr>
              <w:t>Gross</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jc w:val="center"/>
              <w:ind w:right="157"/>
              <w:spacing w:after="0" w:line="134"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35"/>
        </w:trPr>
        <w:tc>
          <w:tcPr>
            <w:tcW w:w="5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0" w:type="dxa"/>
            <w:vAlign w:val="bottom"/>
          </w:tcPr>
          <w:p>
            <w:pPr>
              <w:jc w:val="center"/>
              <w:ind w:left="261"/>
              <w:spacing w:after="0" w:line="135"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jc w:val="center"/>
              <w:ind w:right="157"/>
              <w:spacing w:after="0" w:line="135" w:lineRule="exact"/>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89"/>
        </w:trPr>
        <w:tc>
          <w:tcPr>
            <w:tcW w:w="5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00" w:type="dxa"/>
            <w:vAlign w:val="bottom"/>
          </w:tcPr>
          <w:p>
            <w:pPr>
              <w:spacing w:after="0"/>
              <w:rPr>
                <w:sz w:val="16"/>
                <w:szCs w:val="16"/>
                <w:color w:val="auto"/>
              </w:rPr>
            </w:pPr>
          </w:p>
        </w:tc>
        <w:tc>
          <w:tcPr>
            <w:tcW w:w="1000" w:type="dxa"/>
            <w:vAlign w:val="bottom"/>
            <w:tcBorders>
              <w:bottom w:val="single" w:sz="8" w:color="auto"/>
            </w:tcBorders>
          </w:tcPr>
          <w:p>
            <w:pPr>
              <w:jc w:val="center"/>
              <w:ind w:left="241"/>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8"/>
        </w:trPr>
        <w:tc>
          <w:tcPr>
            <w:tcW w:w="5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0" w:type="dxa"/>
            <w:vAlign w:val="bottom"/>
            <w:gridSpan w:val="3"/>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37,894</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801"/>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37,894</w:t>
            </w:r>
          </w:p>
        </w:tc>
        <w:tc>
          <w:tcPr>
            <w:tcW w:w="0" w:type="dxa"/>
            <w:vAlign w:val="bottom"/>
          </w:tcPr>
          <w:p>
            <w:pPr>
              <w:spacing w:after="0"/>
              <w:rPr>
                <w:sz w:val="1"/>
                <w:szCs w:val="1"/>
                <w:color w:val="auto"/>
              </w:rPr>
            </w:pPr>
          </w:p>
        </w:tc>
      </w:tr>
      <w:tr>
        <w:trPr>
          <w:trHeight w:val="229"/>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Agency bonds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141,157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(43)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141,163</w:t>
            </w: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 debt securities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320,407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321,166</w:t>
            </w:r>
          </w:p>
        </w:tc>
        <w:tc>
          <w:tcPr>
            <w:tcW w:w="0" w:type="dxa"/>
            <w:vAlign w:val="bottom"/>
          </w:tcPr>
          <w:p>
            <w:pPr>
              <w:spacing w:after="0"/>
              <w:rPr>
                <w:sz w:val="1"/>
                <w:szCs w:val="1"/>
                <w:color w:val="auto"/>
              </w:rPr>
            </w:pPr>
          </w:p>
        </w:tc>
      </w:tr>
      <w:tr>
        <w:trPr>
          <w:trHeight w:val="229"/>
        </w:trPr>
        <w:tc>
          <w:tcPr>
            <w:tcW w:w="5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71,794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71,837</w:t>
            </w:r>
          </w:p>
        </w:tc>
        <w:tc>
          <w:tcPr>
            <w:tcW w:w="0" w:type="dxa"/>
            <w:vAlign w:val="bottom"/>
          </w:tcPr>
          <w:p>
            <w:pPr>
              <w:spacing w:after="0"/>
              <w:rPr>
                <w:sz w:val="1"/>
                <w:szCs w:val="1"/>
                <w:color w:val="auto"/>
              </w:rPr>
            </w:pPr>
          </w:p>
        </w:tc>
      </w:tr>
      <w:tr>
        <w:trPr>
          <w:trHeight w:val="248"/>
        </w:trPr>
        <w:tc>
          <w:tcPr>
            <w:tcW w:w="55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Marketable securities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571,252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80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(61)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572,060</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review the individual securities that have unrealized losses on a regular basis to evaluate whether or not any security has experienced, or is expected to experience, credit losses resulting in the decline in fair value. We evaluate, among other factors, whether we have the intention to sell any of these marketable securities and whether it is more likely than not that we will be required to sell any of them before recovery of the amortized cost basis. We have not recorded an allowance for credit losses, as we believe any such losses would be immaterial based on the high-grade credit rating for each of our marketable securities as of the end of each period. There were no material realized gains or losses from available-for-sale securities that were reclassified out of accumulated other comprehensive income for the three and nine months ended October 31, 2020 and 2019.</w:t>
      </w:r>
    </w:p>
    <w:p>
      <w:pPr>
        <w:spacing w:after="0" w:line="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the contractual maturities of our marketable securities as of October 31, 2020 and January 31, 2020:</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40" w:type="dxa"/>
            <w:vAlign w:val="bottom"/>
            <w:tcBorders>
              <w:bottom w:val="single" w:sz="8" w:color="auto"/>
            </w:tcBorders>
          </w:tcPr>
          <w:p>
            <w:pPr>
              <w:spacing w:after="0"/>
              <w:rPr>
                <w:sz w:val="16"/>
                <w:szCs w:val="16"/>
                <w:color w:val="auto"/>
              </w:rPr>
            </w:pPr>
          </w:p>
        </w:tc>
      </w:tr>
      <w:tr>
        <w:trPr>
          <w:trHeight w:val="188"/>
        </w:trPr>
        <w:tc>
          <w:tcPr>
            <w:tcW w:w="78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October 31, 2020</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January 31, 2020</w:t>
            </w:r>
          </w:p>
        </w:tc>
      </w:tr>
      <w:tr>
        <w:trPr>
          <w:trHeight w:val="218"/>
        </w:trPr>
        <w:tc>
          <w:tcPr>
            <w:tcW w:w="7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0" w:type="dxa"/>
            <w:vAlign w:val="bottom"/>
            <w:gridSpan w:val="4"/>
          </w:tcPr>
          <w:p>
            <w:pPr>
              <w:jc w:val="right"/>
              <w:ind w:right="1175"/>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5"/>
        </w:trPr>
        <w:tc>
          <w:tcPr>
            <w:tcW w:w="7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than one year</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602,222</w:t>
            </w: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315,900</w:t>
            </w:r>
          </w:p>
        </w:tc>
      </w:tr>
      <w:tr>
        <w:trPr>
          <w:trHeight w:val="229"/>
        </w:trPr>
        <w:tc>
          <w:tcPr>
            <w:tcW w:w="780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Due in one to five years</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539,203</w:t>
            </w: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256,160</w:t>
            </w:r>
          </w:p>
        </w:tc>
      </w:tr>
      <w:tr>
        <w:trPr>
          <w:trHeight w:val="248"/>
        </w:trPr>
        <w:tc>
          <w:tcPr>
            <w:tcW w:w="780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1,141,425</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572,060</w:t>
            </w:r>
          </w:p>
        </w:tc>
      </w:tr>
      <w:tr>
        <w:trPr>
          <w:trHeight w:val="20"/>
        </w:trPr>
        <w:tc>
          <w:tcPr>
            <w:tcW w:w="78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144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1440" w:type="dxa"/>
            <w:vAlign w:val="bottom"/>
            <w:tcBorders>
              <w:top w:val="single" w:sz="8" w:color="CFF0FC"/>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121" w:lineRule="exact"/>
        <w:rPr>
          <w:sz w:val="20"/>
          <w:szCs w:val="20"/>
          <w:color w:val="auto"/>
        </w:rPr>
      </w:pPr>
    </w:p>
    <w:p>
      <w:pPr>
        <w:jc w:val="both"/>
        <w:ind w:firstLine="486"/>
        <w:spacing w:after="0" w:line="270" w:lineRule="auto"/>
        <w:rPr>
          <w:sz w:val="20"/>
          <w:szCs w:val="20"/>
          <w:color w:val="auto"/>
        </w:rPr>
      </w:pPr>
      <w:r>
        <w:rPr>
          <w:rFonts w:ascii="Times New Roman" w:cs="Times New Roman" w:eastAsia="Times New Roman" w:hAnsi="Times New Roman"/>
          <w:sz w:val="18"/>
          <w:szCs w:val="18"/>
          <w:color w:val="auto"/>
        </w:rPr>
        <w:t>The following table presents information about our financial instruments that are measured at fair value on a recurring basis and indicate the fair value hierarchy of the valuation inputs utilized to determine such fair value:</w:t>
      </w:r>
    </w:p>
    <w:tbl>
      <w:tblPr>
        <w:tblLayout w:type="fixed"/>
        <w:tblInd w:w="0" w:type="dxa"/>
        <w:tblCellMar>
          <w:top w:w="0" w:type="dxa"/>
          <w:left w:w="0" w:type="dxa"/>
          <w:bottom w:w="0" w:type="dxa"/>
          <w:right w:w="0" w:type="dxa"/>
        </w:tblCellMar>
      </w:tblPr>
      <w:tr>
        <w:trPr>
          <w:trHeight w:val="195"/>
        </w:trPr>
        <w:tc>
          <w:tcPr>
            <w:tcW w:w="5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7"/>
          </w:tcPr>
          <w:p>
            <w:pPr>
              <w:ind w:left="420"/>
              <w:spacing w:after="0"/>
              <w:rPr>
                <w:sz w:val="20"/>
                <w:szCs w:val="20"/>
                <w:color w:val="auto"/>
              </w:rPr>
            </w:pPr>
            <w:r>
              <w:rPr>
                <w:rFonts w:ascii="Times New Roman" w:cs="Times New Roman" w:eastAsia="Times New Roman" w:hAnsi="Times New Roman"/>
                <w:sz w:val="14"/>
                <w:szCs w:val="14"/>
                <w:b w:val="1"/>
                <w:bCs w:val="1"/>
                <w:color w:val="auto"/>
              </w:rPr>
              <w:t>As of October 31, 2020</w:t>
            </w: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r>
      <w:tr>
        <w:trPr>
          <w:trHeight w:val="188"/>
        </w:trPr>
        <w:tc>
          <w:tcPr>
            <w:tcW w:w="5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18"/>
        </w:trPr>
        <w:tc>
          <w:tcPr>
            <w:tcW w:w="5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5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r>
      <w:tr>
        <w:trPr>
          <w:trHeight w:val="23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2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224,349</w:t>
            </w:r>
          </w:p>
        </w:tc>
        <w:tc>
          <w:tcPr>
            <w:tcW w:w="20" w:type="dxa"/>
            <w:vAlign w:val="bottom"/>
          </w:tcPr>
          <w:p>
            <w:pPr>
              <w:spacing w:after="0"/>
              <w:rPr>
                <w:sz w:val="19"/>
                <w:szCs w:val="19"/>
                <w:color w:val="auto"/>
              </w:rPr>
            </w:pPr>
          </w:p>
        </w:tc>
        <w:tc>
          <w:tcPr>
            <w:tcW w:w="38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224,349</w:t>
            </w:r>
          </w:p>
        </w:tc>
        <w:tc>
          <w:tcPr>
            <w:tcW w:w="20" w:type="dxa"/>
            <w:vAlign w:val="bottom"/>
          </w:tcPr>
          <w:p>
            <w:pPr>
              <w:spacing w:after="0"/>
              <w:rPr>
                <w:sz w:val="19"/>
                <w:szCs w:val="19"/>
                <w:color w:val="auto"/>
              </w:rPr>
            </w:pPr>
          </w:p>
        </w:tc>
        <w:tc>
          <w:tcPr>
            <w:tcW w:w="50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Treasury bills</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17,419</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17,419</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equivalents</w:t>
            </w: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242,780</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224,349</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18,431</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Agency bonds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409,473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409,473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and other debt securities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466,946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466,946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144,354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144,354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Treasury bills</w:t>
            </w: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114,408</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114,408</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Marketable securities</w:t>
            </w: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1,141,425</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1,141,425</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Certificate of deposit included in prepaid expenses and other current assets</w:t>
            </w: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Certificates of deposit included in other assets, noncurrent</w:t>
            </w: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Note included in other assets, noncurrent</w:t>
            </w: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5,092</w:t>
            </w:r>
          </w:p>
        </w:tc>
        <w:tc>
          <w:tcPr>
            <w:tcW w:w="40" w:type="dxa"/>
            <w:vAlign w:val="bottom"/>
            <w:tcBorders>
              <w:bottom w:val="single" w:sz="8" w:color="auto"/>
            </w:tcBorders>
          </w:tcPr>
          <w:p>
            <w:pPr>
              <w:spacing w:after="0"/>
              <w:rPr>
                <w:sz w:val="19"/>
                <w:szCs w:val="19"/>
                <w:color w:val="auto"/>
              </w:rPr>
            </w:pPr>
          </w:p>
        </w:tc>
      </w:tr>
      <w:tr>
        <w:trPr>
          <w:trHeight w:val="223"/>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financial assets</w:t>
            </w:r>
          </w:p>
        </w:tc>
        <w:tc>
          <w:tcPr>
            <w:tcW w:w="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1,391,612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224,349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1,162,171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5,092</w:t>
            </w:r>
          </w:p>
        </w:tc>
        <w:tc>
          <w:tcPr>
            <w:tcW w:w="40" w:type="dxa"/>
            <w:vAlign w:val="bottom"/>
            <w:tcBorders>
              <w:bottom w:val="single" w:sz="8" w:color="auto"/>
            </w:tcBorders>
          </w:tcPr>
          <w:p>
            <w:pPr>
              <w:spacing w:after="0"/>
              <w:rPr>
                <w:sz w:val="19"/>
                <w:szCs w:val="19"/>
                <w:color w:val="auto"/>
              </w:rPr>
            </w:pPr>
          </w:p>
        </w:tc>
      </w:tr>
      <w:tr>
        <w:trPr>
          <w:trHeight w:val="21"/>
        </w:trPr>
        <w:tc>
          <w:tcPr>
            <w:tcW w:w="5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r>
        <w:trPr>
          <w:trHeight w:val="798"/>
        </w:trPr>
        <w:tc>
          <w:tcPr>
            <w:tcW w:w="56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7"/>
          </w:tcPr>
          <w:p>
            <w:pPr>
              <w:ind w:left="380"/>
              <w:spacing w:after="0"/>
              <w:rPr>
                <w:sz w:val="20"/>
                <w:szCs w:val="20"/>
                <w:color w:val="auto"/>
              </w:rPr>
            </w:pPr>
            <w:r>
              <w:rPr>
                <w:rFonts w:ascii="Times New Roman" w:cs="Times New Roman" w:eastAsia="Times New Roman" w:hAnsi="Times New Roman"/>
                <w:sz w:val="14"/>
                <w:szCs w:val="14"/>
                <w:b w:val="1"/>
                <w:bCs w:val="1"/>
                <w:color w:val="auto"/>
              </w:rPr>
              <w:t>As of January 31, 2020</w:t>
            </w: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88"/>
        </w:trPr>
        <w:tc>
          <w:tcPr>
            <w:tcW w:w="56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0" w:type="dxa"/>
            <w:vAlign w:val="bottom"/>
          </w:tcPr>
          <w:p>
            <w:pPr>
              <w:spacing w:after="0"/>
              <w:rPr>
                <w:sz w:val="16"/>
                <w:szCs w:val="16"/>
                <w:color w:val="auto"/>
              </w:rPr>
            </w:pPr>
          </w:p>
        </w:tc>
      </w:tr>
      <w:tr>
        <w:trPr>
          <w:trHeight w:val="218"/>
        </w:trPr>
        <w:tc>
          <w:tcPr>
            <w:tcW w:w="5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3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2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96,486</w:t>
            </w:r>
          </w:p>
        </w:tc>
        <w:tc>
          <w:tcPr>
            <w:tcW w:w="20" w:type="dxa"/>
            <w:vAlign w:val="bottom"/>
          </w:tcPr>
          <w:p>
            <w:pPr>
              <w:spacing w:after="0"/>
              <w:rPr>
                <w:sz w:val="19"/>
                <w:szCs w:val="19"/>
                <w:color w:val="auto"/>
              </w:rPr>
            </w:pPr>
          </w:p>
        </w:tc>
        <w:tc>
          <w:tcPr>
            <w:tcW w:w="38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96,486</w:t>
            </w:r>
          </w:p>
        </w:tc>
        <w:tc>
          <w:tcPr>
            <w:tcW w:w="20" w:type="dxa"/>
            <w:vAlign w:val="bottom"/>
          </w:tcPr>
          <w:p>
            <w:pPr>
              <w:spacing w:after="0"/>
              <w:rPr>
                <w:sz w:val="19"/>
                <w:szCs w:val="19"/>
                <w:color w:val="auto"/>
              </w:rPr>
            </w:pPr>
          </w:p>
        </w:tc>
        <w:tc>
          <w:tcPr>
            <w:tcW w:w="500" w:type="dxa"/>
            <w:vAlign w:val="bottom"/>
            <w:gridSpan w:val="3"/>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r>
      <w:tr>
        <w:trPr>
          <w:trHeight w:val="23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r>
      <w:tr>
        <w:trPr>
          <w:trHeight w:val="23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Agency bonds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r>
      <w:tr>
        <w:trPr>
          <w:trHeight w:val="223"/>
        </w:trPr>
        <w:tc>
          <w:tcPr>
            <w:tcW w:w="56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equivalents</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111,479</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96,486</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14,993</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r>
      <w:tr>
        <w:trPr>
          <w:trHeight w:val="223"/>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37,894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37,894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r>
      <w:tr>
        <w:trPr>
          <w:trHeight w:val="23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Agency bonds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141,163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141,163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r>
      <w:tr>
        <w:trPr>
          <w:trHeight w:val="23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and other debt securities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321,166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321,166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r>
      <w:tr>
        <w:trPr>
          <w:trHeight w:val="22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71,837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71,837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r>
      <w:tr>
        <w:trPr>
          <w:trHeight w:val="223"/>
        </w:trPr>
        <w:tc>
          <w:tcPr>
            <w:tcW w:w="56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Marketable securities</w:t>
            </w:r>
          </w:p>
        </w:tc>
        <w:tc>
          <w:tcPr>
            <w:tcW w:w="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572,060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572,060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r>
      <w:tr>
        <w:trPr>
          <w:trHeight w:val="223"/>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Certificate of deposit included in prepaid expenses and other current assets</w:t>
            </w: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r>
      <w:tr>
        <w:trPr>
          <w:trHeight w:val="223"/>
        </w:trPr>
        <w:tc>
          <w:tcPr>
            <w:tcW w:w="5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Certificates of deposit included in other assets, noncurrent</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2,301</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2,301</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r>
      <w:tr>
        <w:trPr>
          <w:trHeight w:val="248"/>
        </w:trPr>
        <w:tc>
          <w:tcPr>
            <w:tcW w:w="5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financial assets</w:t>
            </w:r>
          </w:p>
        </w:tc>
        <w:tc>
          <w:tcPr>
            <w:tcW w:w="240" w:type="dxa"/>
            <w:vAlign w:val="bottom"/>
            <w:tcBorders>
              <w:bottom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685,940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96,486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589,454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classify our highly liquid money market funds within Level 1 of the fair value hierarchy because they are valued based on quoted market prices in active markets. We classify our commercial paper, agency bonds, corporate bonds, corporate and other debt securities, U.S. government agency securities, treasury bills, and certificates of deposit within Level 2 because they are valued using inputs other than quoted prices that are directly or indirectly observable in the market, including readily available pricing sources for the identical underlying security, which may not be actively traded. We classify the Convertible Note as Level 3 due to the lack of relevant observable market data over fair value inputs, such as the probability weighting of the various scenarios that can impact settlement of the arrangement.</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October 31, 2020 and January 31, 2020, the carrying amount of the equity investment was $13.5 million and $3.0 million, respectively. We classify the equity investment as Level 3 within the fair value hierarchy only if an impairment or observable adjustment is recognized during the period, as it is based on an observable transaction price at the transaction date and other unobservable inputs, such as volatility.</w:t>
      </w:r>
    </w:p>
    <w:p>
      <w:pPr>
        <w:spacing w:after="0" w:line="13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Business Combinations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May 7, 2020, we acquired 100% of the issued and outstanding share capital of Keybase, a secure messaging and file-sharing company, for purchase consideration of $42.9 million in cash. The acquisition helps us strengthen the security of our video communications platform by providing end-to-end encryption expertise. The acquisition has been accounted for as a business combination.</w:t>
      </w:r>
    </w:p>
    <w:p>
      <w:pPr>
        <w:spacing w:after="0" w:line="6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allocating the purchase consideration, $24.3 million was attributed to goodwill, $3.3 million to intangible assets, and $15.3 million to other net assets acquired primarily consisting of cash and cash equivalents of $16.4 million. The goodwill amount represents synergies related to our existing products expected to be realized from the acquisition and assembled workforce. The associated goodwill is not deductible for tax purposes. Acquired intangible assets consisted of developed technology with an estimated useful life of five years. The developed technology had a remaining useful life of 4.5 years as of October 31, 2020, and is amortized using the straight-line method over its estimated useful life.</w:t>
      </w:r>
    </w:p>
    <w:p>
      <w:pPr>
        <w:spacing w:after="0" w:line="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Not included in the purchase consideration, we also entered into holdback agreements with certain employees for $20.0 million in cash payments, which are subject to such employees’ continued service with us. The holdback amount of $20.0 million will be treated as compensation for research and development over the required service period ranging from one to three years.</w:t>
      </w:r>
    </w:p>
    <w:p>
      <w:pPr>
        <w:spacing w:after="0" w:line="6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Transaction costs incurred in connection with the acquisition were immaterial. The results of operations of Keybase have been included in our condensed consolidated financial statements from the date of the acquisition. Pro forma and historical results of operations of Keybase have not been presented, as the results do not have a material effect on any of the periods presented in our condensed consolidated statements of operations.</w:t>
      </w:r>
    </w:p>
    <w:p>
      <w:pPr>
        <w:spacing w:after="0" w:line="17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tab/>
        <w:t>Balance Sheet Components</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77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5"/>
          </w:tcPr>
          <w:p>
            <w:pPr>
              <w:jc w:val="center"/>
              <w:ind w:left="1136"/>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77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October 31, 2020</w:t>
            </w:r>
          </w:p>
        </w:tc>
        <w:tc>
          <w:tcPr>
            <w:tcW w:w="120" w:type="dxa"/>
            <w:vAlign w:val="bottom"/>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January 31, 2020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80" w:type="dxa"/>
            <w:vAlign w:val="bottom"/>
            <w:gridSpan w:val="6"/>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7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 from international employee stock sales</w:t>
            </w:r>
          </w:p>
        </w:tc>
        <w:tc>
          <w:tcPr>
            <w:tcW w:w="2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295,907</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48,547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46,092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7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345,448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760" w:type="dxa"/>
            <w:vAlign w:val="bottom"/>
            <w:vMerge w:val="restart"/>
          </w:tcPr>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3"/>
        </w:trPr>
        <w:tc>
          <w:tcPr>
            <w:tcW w:w="40" w:type="dxa"/>
            <w:vAlign w:val="bottom"/>
          </w:tcPr>
          <w:p>
            <w:pPr>
              <w:spacing w:after="0"/>
              <w:rPr>
                <w:sz w:val="24"/>
                <w:szCs w:val="24"/>
                <w:color w:val="auto"/>
              </w:rPr>
            </w:pPr>
          </w:p>
        </w:tc>
        <w:tc>
          <w:tcPr>
            <w:tcW w:w="77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77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Property and equipment consisted of the following:</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5"/>
          </w:tcPr>
          <w:p>
            <w:pPr>
              <w:jc w:val="center"/>
              <w:ind w:left="1176"/>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7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October 31, 2020</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January 31, 2020</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80" w:type="dxa"/>
            <w:vAlign w:val="bottom"/>
            <w:gridSpan w:val="6"/>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and office equipment</w:t>
            </w:r>
          </w:p>
        </w:tc>
        <w:tc>
          <w:tcPr>
            <w:tcW w:w="2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94,822</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51,375</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Software</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30,586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22,325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3,994</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3,949</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Property and equipment, gross</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151,727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84,394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(43,650)</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(27,256)</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77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108,077</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57,138</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7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Depreciation expense was $7.4 million and $4.4 million for the three months ended October 31, 2020 and 2019, respectively, and $19.1 million and $11.6 million for the nine months ended October 31, 2020 and 2019, respectively.</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Other Assets, Noncurrent</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Other assets, noncurrent consisted of the following:</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8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October 31, 2020</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January 31, 2020</w:t>
            </w:r>
          </w:p>
        </w:tc>
        <w:tc>
          <w:tcPr>
            <w:tcW w:w="0" w:type="dxa"/>
            <w:vAlign w:val="bottom"/>
          </w:tcPr>
          <w:p>
            <w:pPr>
              <w:spacing w:after="0"/>
              <w:rPr>
                <w:sz w:val="1"/>
                <w:szCs w:val="1"/>
                <w:color w:val="auto"/>
              </w:rPr>
            </w:pPr>
          </w:p>
        </w:tc>
      </w:tr>
      <w:tr>
        <w:trPr>
          <w:trHeight w:val="218"/>
        </w:trPr>
        <w:tc>
          <w:tcPr>
            <w:tcW w:w="7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0" w:type="dxa"/>
            <w:vAlign w:val="bottom"/>
            <w:gridSpan w:val="4"/>
          </w:tcPr>
          <w:p>
            <w:pPr>
              <w:jc w:val="right"/>
              <w:ind w:right="117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4"/>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noncurrent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25,086</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9,011</w:t>
            </w:r>
          </w:p>
        </w:tc>
        <w:tc>
          <w:tcPr>
            <w:tcW w:w="0" w:type="dxa"/>
            <w:vAlign w:val="bottom"/>
          </w:tcPr>
          <w:p>
            <w:pPr>
              <w:spacing w:after="0"/>
              <w:rPr>
                <w:sz w:val="1"/>
                <w:szCs w:val="1"/>
                <w:color w:val="auto"/>
              </w:rPr>
            </w:pPr>
          </w:p>
        </w:tc>
      </w:tr>
      <w:tr>
        <w:trPr>
          <w:trHeight w:val="230"/>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investment</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noncurrent</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2,945</w:t>
            </w:r>
          </w:p>
        </w:tc>
        <w:tc>
          <w:tcPr>
            <w:tcW w:w="0" w:type="dxa"/>
            <w:vAlign w:val="bottom"/>
          </w:tcPr>
          <w:p>
            <w:pPr>
              <w:spacing w:after="0"/>
              <w:rPr>
                <w:sz w:val="1"/>
                <w:szCs w:val="1"/>
                <w:color w:val="auto"/>
              </w:rPr>
            </w:pPr>
          </w:p>
        </w:tc>
      </w:t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Indefinite-lived intangible assets</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2,159</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Note</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subject to amortization, net</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5,217</w:t>
            </w:r>
          </w:p>
        </w:tc>
        <w:tc>
          <w:tcPr>
            <w:tcW w:w="0" w:type="dxa"/>
            <w:vAlign w:val="bottom"/>
          </w:tcPr>
          <w:p>
            <w:pPr>
              <w:spacing w:after="0"/>
              <w:rPr>
                <w:sz w:val="1"/>
                <w:szCs w:val="1"/>
                <w:color w:val="auto"/>
              </w:rPr>
            </w:pPr>
          </w:p>
        </w:tc>
      </w:tr>
      <w:tr>
        <w:trPr>
          <w:trHeight w:val="223"/>
        </w:trPr>
        <w:tc>
          <w:tcPr>
            <w:tcW w:w="7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assets, noncurrent</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70,468</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22,332</w:t>
            </w:r>
          </w:p>
        </w:tc>
        <w:tc>
          <w:tcPr>
            <w:tcW w:w="0" w:type="dxa"/>
            <w:vAlign w:val="bottom"/>
          </w:tcPr>
          <w:p>
            <w:pPr>
              <w:spacing w:after="0"/>
              <w:rPr>
                <w:sz w:val="1"/>
                <w:szCs w:val="1"/>
                <w:color w:val="auto"/>
              </w:rPr>
            </w:pPr>
          </w:p>
        </w:tc>
      </w:tr>
      <w:tr>
        <w:trPr>
          <w:trHeight w:val="21"/>
        </w:trPr>
        <w:tc>
          <w:tcPr>
            <w:tcW w:w="780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Current Liabilities</w:t>
            </w: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3"/>
        </w:trPr>
        <w:tc>
          <w:tcPr>
            <w:tcW w:w="78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w:t>
            </w: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78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78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October 31, 2020</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January 31, 2020</w:t>
            </w:r>
          </w:p>
        </w:tc>
        <w:tc>
          <w:tcPr>
            <w:tcW w:w="0" w:type="dxa"/>
            <w:vAlign w:val="bottom"/>
          </w:tcPr>
          <w:p>
            <w:pPr>
              <w:spacing w:after="0"/>
              <w:rPr>
                <w:sz w:val="1"/>
                <w:szCs w:val="1"/>
                <w:color w:val="auto"/>
              </w:rPr>
            </w:pPr>
          </w:p>
        </w:tc>
      </w:tr>
      <w:tr>
        <w:trPr>
          <w:trHeight w:val="218"/>
        </w:trPr>
        <w:tc>
          <w:tcPr>
            <w:tcW w:w="7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0" w:type="dxa"/>
            <w:vAlign w:val="bottom"/>
            <w:gridSpan w:val="4"/>
          </w:tcPr>
          <w:p>
            <w:pPr>
              <w:jc w:val="right"/>
              <w:ind w:right="117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4"/>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employee equity transactions to be remitted to employees and tax authorities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301,727</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49,287</w:t>
            </w:r>
          </w:p>
        </w:tc>
        <w:tc>
          <w:tcPr>
            <w:tcW w:w="0" w:type="dxa"/>
            <w:vAlign w:val="bottom"/>
          </w:tcPr>
          <w:p>
            <w:pPr>
              <w:spacing w:after="0"/>
              <w:rPr>
                <w:sz w:val="1"/>
                <w:szCs w:val="1"/>
                <w:color w:val="auto"/>
              </w:rPr>
            </w:pPr>
          </w:p>
        </w:tc>
      </w:t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110,981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36,732</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102,241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17,475</w:t>
            </w:r>
          </w:p>
        </w:tc>
        <w:tc>
          <w:tcPr>
            <w:tcW w:w="0" w:type="dxa"/>
            <w:vAlign w:val="bottom"/>
          </w:tcPr>
          <w:p>
            <w:pPr>
              <w:spacing w:after="0"/>
              <w:rPr>
                <w:sz w:val="1"/>
                <w:szCs w:val="1"/>
                <w:color w:val="auto"/>
              </w:rPr>
            </w:pPr>
          </w:p>
        </w:tc>
      </w:t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other tax liabilities</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3,774</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deposit liabilities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3,414</w:t>
            </w:r>
          </w:p>
        </w:tc>
        <w:tc>
          <w:tcPr>
            <w:tcW w:w="0" w:type="dxa"/>
            <w:vAlign w:val="bottom"/>
          </w:tcPr>
          <w:p>
            <w:pPr>
              <w:spacing w:after="0"/>
              <w:rPr>
                <w:sz w:val="1"/>
                <w:szCs w:val="1"/>
                <w:color w:val="auto"/>
              </w:rPr>
            </w:pPr>
          </w:p>
        </w:tc>
      </w:t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7,675</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4,335</w:t>
            </w:r>
          </w:p>
        </w:tc>
        <w:tc>
          <w:tcPr>
            <w:tcW w:w="0" w:type="dxa"/>
            <w:vAlign w:val="bottom"/>
          </w:tcPr>
          <w:p>
            <w:pPr>
              <w:spacing w:after="0"/>
              <w:rPr>
                <w:sz w:val="1"/>
                <w:szCs w:val="1"/>
                <w:color w:val="auto"/>
              </w:rPr>
            </w:pPr>
          </w:p>
        </w:tc>
      </w:tr>
      <w:tr>
        <w:trPr>
          <w:trHeight w:val="223"/>
        </w:trPr>
        <w:tc>
          <w:tcPr>
            <w:tcW w:w="7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565,520</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122,692</w:t>
            </w:r>
          </w:p>
        </w:tc>
        <w:tc>
          <w:tcPr>
            <w:tcW w:w="0" w:type="dxa"/>
            <w:vAlign w:val="bottom"/>
          </w:tcPr>
          <w:p>
            <w:pPr>
              <w:spacing w:after="0"/>
              <w:rPr>
                <w:sz w:val="1"/>
                <w:szCs w:val="1"/>
                <w:color w:val="auto"/>
              </w:rPr>
            </w:pPr>
          </w:p>
        </w:tc>
      </w:tr>
      <w:tr>
        <w:trPr>
          <w:trHeight w:val="20"/>
        </w:trPr>
        <w:tc>
          <w:tcPr>
            <w:tcW w:w="780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Other Liabilities, Noncurrent</w:t>
            </w: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78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Other liabilities, noncurrent consisted of the following:</w:t>
            </w: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78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78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October 31, 2020</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January 31, 2020</w:t>
            </w:r>
          </w:p>
        </w:tc>
        <w:tc>
          <w:tcPr>
            <w:tcW w:w="0" w:type="dxa"/>
            <w:vAlign w:val="bottom"/>
          </w:tcPr>
          <w:p>
            <w:pPr>
              <w:spacing w:after="0"/>
              <w:rPr>
                <w:sz w:val="1"/>
                <w:szCs w:val="1"/>
                <w:color w:val="auto"/>
              </w:rPr>
            </w:pPr>
          </w:p>
        </w:tc>
      </w:tr>
      <w:tr>
        <w:trPr>
          <w:trHeight w:val="218"/>
        </w:trPr>
        <w:tc>
          <w:tcPr>
            <w:tcW w:w="7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0" w:type="dxa"/>
            <w:vAlign w:val="bottom"/>
            <w:gridSpan w:val="4"/>
          </w:tcPr>
          <w:p>
            <w:pPr>
              <w:jc w:val="right"/>
              <w:ind w:right="117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4"/>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other tax liabilities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53,759</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33,957</w:t>
            </w:r>
          </w:p>
        </w:tc>
        <w:tc>
          <w:tcPr>
            <w:tcW w:w="0" w:type="dxa"/>
            <w:vAlign w:val="bottom"/>
          </w:tcPr>
          <w:p>
            <w:pPr>
              <w:spacing w:after="0"/>
              <w:rPr>
                <w:sz w:val="1"/>
                <w:szCs w:val="1"/>
                <w:color w:val="auto"/>
              </w:rPr>
            </w:pPr>
          </w:p>
        </w:tc>
      </w:tr>
      <w:tr>
        <w:trPr>
          <w:trHeight w:val="230"/>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2,329</w:t>
            </w:r>
          </w:p>
        </w:tc>
        <w:tc>
          <w:tcPr>
            <w:tcW w:w="0" w:type="dxa"/>
            <w:vAlign w:val="bottom"/>
          </w:tcPr>
          <w:p>
            <w:pPr>
              <w:spacing w:after="0"/>
              <w:rPr>
                <w:sz w:val="1"/>
                <w:szCs w:val="1"/>
                <w:color w:val="auto"/>
              </w:rPr>
            </w:pPr>
          </w:p>
        </w:tc>
      </w:tr>
      <w:tr>
        <w:trPr>
          <w:trHeight w:val="248"/>
        </w:trPr>
        <w:tc>
          <w:tcPr>
            <w:tcW w:w="78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liabilities, noncurrent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56,988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36,286</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tab/>
        <w:t>Commitments and Contingencies</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Non-cancelable Purchase Obligations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October 31, 2020, we had additional outstanding non-cancelable purchase obligations with a term of 12 months or longer of $468.4 million over the corresponding amount disclosed in our Annual Report on Form 10-K for the year ended January 31, 2020, mainly related to third-party cloud hosting.</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 Not Yet Commenced</w:t>
      </w:r>
    </w:p>
    <w:p>
      <w:pPr>
        <w:spacing w:after="0" w:line="121"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As of October 31, 2020, we had additional operating leases that had not yet commenced with aggregate undiscounted future lease payments of $37.9 million. These operating leases will commence in the fourth quarter of fiscal year 2021.</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May 2020, we entered into a license agreement with MPEG LA, LLC (“MPEGLA”) to obtain the rights for future use of licensed intellectual property in exchange for periodic royalty payments. In connection with the license agreement, we made a royalty payment of $9.8 million to use the technology until December 31, 2020, which is amortized in cost of revenue on a straight-line basis in our condensed consolidated statements of operations. During the nine months ended October 31, 2020, we recorded $7.0 million of such costs. In addition, we made a one-time payment of $9.8 million for past use, which was recorded in general and administrative expenses in our condensed consolidated statements of operations for the nine months ended October 31, 2020.</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Beginning on March 30, 2020, multiple putative class actions have been filed against us in various U.S. federal district courts and state courts relating to our alleged privacy and security practices, including alleged data sharing with third parties (the “U.S. Privacy Class Actions”). We have also been sued under the DC private attorney general statute on behalf of members of the general public. The plaintiffs claim violations of a variety of state consumer protection and privacy laws, and also assert state constitutional and common law claims, such as negligence and unjust enrichment. The U.S. Privacy Class Actions seek to certify both nationwide and state-specific classes of individuals using our services in certain time periods. The plaintiffs seek various forms of injunctive and monetary relief, including restitution, statutory and actual damages, punitive damages, and attorneys’ fees. The federal cases have been transferred to and consolidated in the Northern District of California with our consent; lead plaintiffs’ counsel have been appointed; and plaintiffs filed their first amended consolidated class action complaint on October 28, 2020, with our response due on December 2, 2020.</w:t>
      </w:r>
    </w:p>
    <w:p>
      <w:pPr>
        <w:spacing w:after="0" w:line="8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On April 7, 2020 and April 8, 2020, securities class action complaints were filed against us and two of our officers in the United States District Court for the Northern District of California. The plaintiffs are purported stockholders of the Company. The complaints allege, among other things, that we violated Sections 10(b) and 20(a) of the Exchange Act, and Rule 10b-5 by making false and misleading statements and omissions of material fact about our data privacy and security measures. The complaints seek unspecified damages, interest, fees, and costs. On May 18, 2020, the actions were consolidated. On November 4, 2020, the court appointed a lead plaintiff.</w:t>
      </w:r>
    </w:p>
    <w:p>
      <w:pPr>
        <w:spacing w:after="0" w:line="7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On June 11, 2020 and July 30, 2020, purported shareholder derivative complaints were filed in the United States District Court for the District of Delaware. The first complaint names as defendants nine of our officers and directors, and the second complaint names eight of our officers and directors. The lawsuits assert state and federal claims and are based on the same alleged misstatements as the shareholder class action complaint. The lawsuits accuse our board of directors of failing to exercise reasonable and prudent supervision over our management, policies, practices, and internal controls. The plaintiffs seek unspecified monetary damages on behalf of us as well as governance reforms. On September 25, 2020, the derivative cases were consolidated. The consolidated case is stayed pending resolution of a forthcoming motion to dismiss the securities class action.</w:t>
      </w:r>
    </w:p>
    <w:p>
      <w:pPr>
        <w:spacing w:after="0" w:line="7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believe these lawsuits are without merit, and we are vigorously defending ourselves against them. Given the uncertainty of litigation, the preliminary stage of the cases, and the legal standards that must be met for, among other things, class certification and success on the merits, we cannot estimate the reasonably possible loss or range of loss that may result from these actions. In addition, from time to time, we are involved in various other legal proceedings arising from the normal course of business activities. We are not presently a party to any other such litigation the outcome of which, we believe, if determined adversely to us, would individually, or taken together, have a material adverse effect on our business, operating results, cash flows, or financial condition.</w:t>
      </w:r>
    </w:p>
    <w:p>
      <w:pPr>
        <w:spacing w:after="0" w:line="7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September 2019, the Federal Trade Commission (“FTC”) issued a Civil Investigative Demand to us requiring us to produce certain documents and materials and to answer certain interrogatories relating to our privacy and security representations and practices. Since then, we have fully cooperated with the investigation. In October 2020, we reached a proposed settlement agreement with the FTC staff, which would resolve the FTC’s allegations that certain of our statements and practices about our security constituted deceptive and unfair acts or practices in violation of the FTC Act. On November 10, 2020, the FTC Commissioners voted to approve the settlement and, on November 13, 2020, the FTC published the settlement in the Federal Register for a 30-day public comment period, which will end on December 13, 2020. The proposed settlement remains subject to a final vote by the FTC. Under the terms of the proposed settlement, we neither admit nor deny the FTC’s allegations, and the FTC does not impose any fine or penalty upon us. We would be required to implement certain injunctive provisions, including, among other things, refraining from making any misrepresentations regarding the privacy and security of</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services or how we collect, maintain, use, delete, disclose, allow access to, and protect user information. It also requires us to implement a detailed information security program and obtain third-party security assessments periodically.</w:t>
      </w:r>
    </w:p>
    <w:p>
      <w:pPr>
        <w:spacing w:after="0" w:line="5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do not expect the proposed settlement, once final, to have a material impact on our financial results. We will cooperate with the FTC’s requirements and work to ensure compliance. Any failure to comply with the settlement once final may increase the possibility of additional adverse consequences, including litigation, additional regulatory actions, injunctions, or monetary penalties, or require further changes to our business practices, significant management time, or the diversion of significant operational resources, all of which could result in a material loss or otherwise harm our business.</w:t>
      </w:r>
    </w:p>
    <w:p>
      <w:pPr>
        <w:spacing w:after="0" w:line="17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Stockholders’ Equity and Equity Incentive Plans</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connection with our initial public offering (“IPO”) in April 2019, our amended and restated certificate of incorporation became effective, which authorized the issuance of 2,000,000,000 shares of Class A common stock, $0.001 par value per share, and 300,000,000 shares of Class B common stock, $0.001 par value per share. Class A and Class B common stock are referred to as common stock throughout the notes to the condensed consolidated financial statements, unless otherwise noted.</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2011, we adopted the 2011 Global Share Plan (“2011 Plan”), under which officers, employees, and consultants were granted various forms of equity incentive compensation at the discretion of the board of directors, including stock options and restricted stock awards. In connection with the IPO, the shares of Class B common stock remaining available for issuance under the 2011 Plan became available for issuance for a corresponding number of shares of our Class A common stock under the 2019 Equity Incentive Plan (“2019 Plan”), which is a successor to and continuation of our 2011 Plan.</w:t>
      </w:r>
    </w:p>
    <w:p>
      <w:pPr>
        <w:spacing w:after="0" w:line="72"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In April 2019, we adopted the 2019 Plan, which became effective in connection with our IPO. Our 2019 Plan provides for the grant of stock options, stock appreciation rights, restricted stock awards, restricted stock unit (“RSU”) awards, performance awards, and other forms of awards. The maximum number of shares of our Class A common stock that may be issued under our 2019 Plan will not exceed 58,300,889 shares of our Class A common stock, which is the sum of (1) 34,000,000 new shares, plus (2) an additional number of shares not to exceed 24,300,889, consisting of (A) shares that remain available for the issuance of awards under our 2011 Plan as of immediately prior to the time our 2019 Plan became effective and (B) shares of Class B common stock, subject to outstanding stock options or other stock awards granted under our 2011 Plan that, on or after the 2019 Plan becomes effective, terminate, or expire prior to exercise or settlement; are not issued because the award is settled in cash; are forfeited because of the failure to vest; or are reacquired or withheld (or not issued) to satisfy a tax withholding obligation or the purchase or exercise price, if any, as such shares become available from time to time. In addition, the number of shares of our Class A common stock reserved for issuance under our 2019 Plan automatically increases on February 1 of each calendar year, starting on February 1, 2020 through February 1, 2029, in an amount equal to (i) 5% of the total number of shares of our common stock (both Class A and Class B) outstanding on January 31 of the fiscal year before the date of each automatic increase, or (ii) a lesser number of shares determined by our board of directors prior to the applicable February 1.</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summary of stock option activity under our equity incentive plan and related information is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80" w:type="dxa"/>
            <w:vAlign w:val="bottom"/>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center"/>
              <w:ind w:right="668"/>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51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vMerge w:val="restart"/>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jc w:val="center"/>
              <w:ind w:left="228"/>
              <w:spacing w:after="0" w:line="134"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80" w:type="dxa"/>
            <w:vAlign w:val="bottom"/>
          </w:tcPr>
          <w:p>
            <w:pPr>
              <w:spacing w:after="0"/>
              <w:rPr>
                <w:sz w:val="11"/>
                <w:szCs w:val="11"/>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jc w:val="center"/>
              <w:ind w:left="208"/>
              <w:spacing w:after="0" w:line="13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vMerge w:val="restart"/>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35"/>
        </w:trPr>
        <w:tc>
          <w:tcPr>
            <w:tcW w:w="518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center"/>
              <w:ind w:left="328"/>
              <w:spacing w:after="0" w:line="13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jc w:val="center"/>
              <w:ind w:left="228"/>
              <w:spacing w:after="0" w:line="135"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80" w:type="dxa"/>
            <w:vAlign w:val="bottom"/>
          </w:tcPr>
          <w:p>
            <w:pPr>
              <w:spacing w:after="0"/>
              <w:rPr>
                <w:sz w:val="11"/>
                <w:szCs w:val="11"/>
                <w:color w:val="auto"/>
              </w:rPr>
            </w:pPr>
          </w:p>
        </w:tc>
        <w:tc>
          <w:tcPr>
            <w:tcW w:w="14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1"/>
                <w:szCs w:val="11"/>
                <w:color w:val="auto"/>
              </w:rPr>
            </w:pPr>
          </w:p>
        </w:tc>
        <w:tc>
          <w:tcPr>
            <w:tcW w:w="1020" w:type="dxa"/>
            <w:vAlign w:val="bottom"/>
          </w:tcPr>
          <w:p>
            <w:pPr>
              <w:jc w:val="center"/>
              <w:ind w:left="308"/>
              <w:spacing w:after="0" w:line="135"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jc w:val="center"/>
              <w:ind w:left="228"/>
              <w:spacing w:after="0" w:line="135"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tcPr>
          <w:p>
            <w:pPr>
              <w:jc w:val="center"/>
              <w:ind w:right="179"/>
              <w:spacing w:after="0" w:line="135"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89"/>
        </w:trPr>
        <w:tc>
          <w:tcPr>
            <w:tcW w:w="5180" w:type="dxa"/>
            <w:vAlign w:val="bottom"/>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6"/>
                <w:szCs w:val="16"/>
                <w:color w:val="auto"/>
              </w:rPr>
            </w:pPr>
          </w:p>
        </w:tc>
        <w:tc>
          <w:tcPr>
            <w:tcW w:w="1020" w:type="dxa"/>
            <w:vAlign w:val="bottom"/>
            <w:tcBorders>
              <w:bottom w:val="single" w:sz="8" w:color="auto"/>
            </w:tcBorders>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Price</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bottom w:val="single" w:sz="8" w:color="auto"/>
            </w:tcBorders>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8"/>
        </w:trPr>
        <w:tc>
          <w:tcPr>
            <w:tcW w:w="5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0" w:type="dxa"/>
            <w:vAlign w:val="bottom"/>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life, and per share data)</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January 31, 2020</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16,833,009</w:t>
            </w:r>
          </w:p>
        </w:tc>
        <w:tc>
          <w:tcPr>
            <w:tcW w:w="1140" w:type="dxa"/>
            <w:vAlign w:val="bottom"/>
            <w:gridSpan w:val="2"/>
            <w:shd w:val="clear" w:color="auto" w:fill="CCEEFF"/>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5.73</w:t>
            </w: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1,191,881</w:t>
            </w:r>
          </w:p>
        </w:tc>
        <w:tc>
          <w:tcPr>
            <w:tcW w:w="0" w:type="dxa"/>
            <w:vAlign w:val="bottom"/>
          </w:tcPr>
          <w:p>
            <w:pPr>
              <w:spacing w:after="0"/>
              <w:rPr>
                <w:sz w:val="1"/>
                <w:szCs w:val="1"/>
                <w:color w:val="auto"/>
              </w:rPr>
            </w:pPr>
          </w:p>
        </w:tc>
      </w:tr>
      <w:tr>
        <w:trPr>
          <w:trHeight w:val="229"/>
        </w:trPr>
        <w:tc>
          <w:tcPr>
            <w:tcW w:w="5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tcPr>
          <w:p>
            <w:pPr>
              <w:jc w:val="right"/>
              <w:ind w:right="1248"/>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Exercised</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(6,164,676)</w:t>
            </w:r>
          </w:p>
        </w:tc>
        <w:tc>
          <w:tcPr>
            <w:tcW w:w="1140" w:type="dxa"/>
            <w:vAlign w:val="bottom"/>
            <w:gridSpan w:val="2"/>
            <w:shd w:val="clear" w:color="auto" w:fill="CCEEFF"/>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3.87</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Canceled/forfeited/expired</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(190,164)</w:t>
            </w:r>
          </w:p>
        </w:tc>
        <w:tc>
          <w:tcPr>
            <w:tcW w:w="1140" w:type="dxa"/>
            <w:vAlign w:val="bottom"/>
            <w:tcBorders>
              <w:bottom w:val="single" w:sz="8" w:color="CCEEFF"/>
            </w:tcBorders>
            <w:gridSpan w:val="2"/>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95"/>
              </w:rPr>
              <w:t>6.14</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October 31, 2020</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10,478,169</w:t>
            </w:r>
          </w:p>
        </w:tc>
        <w:tc>
          <w:tcPr>
            <w:tcW w:w="1140" w:type="dxa"/>
            <w:vAlign w:val="bottom"/>
            <w:tcBorders>
              <w:bottom w:val="single" w:sz="8" w:color="CCEEFF"/>
            </w:tcBorders>
            <w:gridSpan w:val="2"/>
            <w:shd w:val="clear" w:color="auto" w:fill="CCEEFF"/>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6.81</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4,757,980</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Vested and exercisable as of October 31, 2020</w:t>
            </w:r>
          </w:p>
        </w:tc>
        <w:tc>
          <w:tcPr>
            <w:tcW w:w="14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4,811,474</w:t>
            </w:r>
          </w:p>
        </w:tc>
        <w:tc>
          <w:tcPr>
            <w:tcW w:w="1140" w:type="dxa"/>
            <w:vAlign w:val="bottom"/>
            <w:gridSpan w:val="2"/>
          </w:tcPr>
          <w:p>
            <w:pPr>
              <w:jc w:val="right"/>
              <w:ind w:right="848"/>
              <w:spacing w:after="0" w:line="203" w:lineRule="exact"/>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95"/>
              </w:rPr>
              <w:t>3.49</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2,200,842</w:t>
            </w:r>
          </w:p>
        </w:tc>
        <w:tc>
          <w:tcPr>
            <w:tcW w:w="0" w:type="dxa"/>
            <w:vAlign w:val="bottom"/>
          </w:tcPr>
          <w:p>
            <w:pPr>
              <w:spacing w:after="0"/>
              <w:rPr>
                <w:sz w:val="1"/>
                <w:szCs w:val="1"/>
                <w:color w:val="auto"/>
              </w:rPr>
            </w:pPr>
          </w:p>
        </w:tc>
      </w:tr>
      <w:tr>
        <w:trPr>
          <w:trHeight w:val="21"/>
        </w:trPr>
        <w:tc>
          <w:tcPr>
            <w:tcW w:w="51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As of October 31, 2020, unrecognized stock-based compensation expense related to outstanding unvested stock options was $53.9 million, which is expected to be recognized over a weighted-average period of 2.1 years.</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RSU activity under our equity incentive plan and related information is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60" w:type="dxa"/>
            <w:vAlign w:val="bottom"/>
          </w:tcPr>
          <w:p>
            <w:pPr>
              <w:spacing w:after="0"/>
              <w:rPr>
                <w:sz w:val="16"/>
                <w:szCs w:val="16"/>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RSUs</w:t>
            </w:r>
          </w:p>
        </w:tc>
        <w:tc>
          <w:tcPr>
            <w:tcW w:w="1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78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tcPr>
          <w:p>
            <w:pPr>
              <w:jc w:val="center"/>
              <w:ind w:right="38"/>
              <w:spacing w:after="0" w:line="134"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35"/>
        </w:trPr>
        <w:tc>
          <w:tcPr>
            <w:tcW w:w="7860" w:type="dxa"/>
            <w:vAlign w:val="bottom"/>
          </w:tcPr>
          <w:p>
            <w:pPr>
              <w:spacing w:after="0"/>
              <w:rPr>
                <w:sz w:val="11"/>
                <w:szCs w:val="11"/>
                <w:color w:val="auto"/>
              </w:rPr>
            </w:pPr>
          </w:p>
        </w:tc>
        <w:tc>
          <w:tcPr>
            <w:tcW w:w="1640" w:type="dxa"/>
            <w:vAlign w:val="bottom"/>
            <w:vMerge w:val="restart"/>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Unvested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tcPr>
          <w:p>
            <w:pPr>
              <w:jc w:val="center"/>
              <w:ind w:right="58"/>
              <w:spacing w:after="0" w:line="13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35"/>
        </w:trPr>
        <w:tc>
          <w:tcPr>
            <w:tcW w:w="7860" w:type="dxa"/>
            <w:vAlign w:val="bottom"/>
          </w:tcPr>
          <w:p>
            <w:pPr>
              <w:spacing w:after="0"/>
              <w:rPr>
                <w:sz w:val="11"/>
                <w:szCs w:val="11"/>
                <w:color w:val="auto"/>
              </w:rPr>
            </w:pPr>
          </w:p>
        </w:tc>
        <w:tc>
          <w:tcPr>
            <w:tcW w:w="16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tcPr>
          <w:p>
            <w:pPr>
              <w:jc w:val="center"/>
              <w:ind w:right="58"/>
              <w:spacing w:after="0" w:line="135" w:lineRule="exact"/>
              <w:rPr>
                <w:sz w:val="20"/>
                <w:szCs w:val="20"/>
                <w:color w:val="auto"/>
              </w:rPr>
            </w:pPr>
            <w:r>
              <w:rPr>
                <w:rFonts w:ascii="Times New Roman" w:cs="Times New Roman" w:eastAsia="Times New Roman" w:hAnsi="Times New Roman"/>
                <w:sz w:val="14"/>
                <w:szCs w:val="14"/>
                <w:b w:val="1"/>
                <w:bCs w:val="1"/>
                <w:color w:val="auto"/>
              </w:rPr>
              <w:t>Grant Date Fair Value</w:t>
            </w:r>
          </w:p>
        </w:tc>
        <w:tc>
          <w:tcPr>
            <w:tcW w:w="0" w:type="dxa"/>
            <w:vAlign w:val="bottom"/>
          </w:tcPr>
          <w:p>
            <w:pPr>
              <w:spacing w:after="0"/>
              <w:rPr>
                <w:sz w:val="1"/>
                <w:szCs w:val="1"/>
                <w:color w:val="auto"/>
              </w:rPr>
            </w:pPr>
          </w:p>
        </w:tc>
      </w:tr>
      <w:tr>
        <w:trPr>
          <w:trHeight w:val="189"/>
        </w:trPr>
        <w:tc>
          <w:tcPr>
            <w:tcW w:w="786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RSUs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as of January 31, 2020</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1,964,668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79.11</w:t>
            </w:r>
          </w:p>
        </w:tc>
        <w:tc>
          <w:tcPr>
            <w:tcW w:w="0" w:type="dxa"/>
            <w:vAlign w:val="bottom"/>
          </w:tcPr>
          <w:p>
            <w:pPr>
              <w:spacing w:after="0"/>
              <w:rPr>
                <w:sz w:val="1"/>
                <w:szCs w:val="1"/>
                <w:color w:val="auto"/>
              </w:rPr>
            </w:pPr>
          </w:p>
        </w:tc>
      </w:tr>
      <w:tr>
        <w:trPr>
          <w:trHeight w:val="230"/>
        </w:trPr>
        <w:tc>
          <w:tcPr>
            <w:tcW w:w="7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3,091,931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228.82</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Vested</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(435,302)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86.39</w:t>
            </w:r>
          </w:p>
        </w:tc>
        <w:tc>
          <w:tcPr>
            <w:tcW w:w="0" w:type="dxa"/>
            <w:vAlign w:val="bottom"/>
          </w:tcPr>
          <w:p>
            <w:pPr>
              <w:spacing w:after="0"/>
              <w:rPr>
                <w:sz w:val="1"/>
                <w:szCs w:val="1"/>
                <w:color w:val="auto"/>
              </w:rPr>
            </w:pPr>
          </w:p>
        </w:tc>
      </w:tr>
      <w:tr>
        <w:trPr>
          <w:trHeight w:val="229"/>
        </w:trPr>
        <w:tc>
          <w:tcPr>
            <w:tcW w:w="78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Canceled/forfeited</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(155,751)</w:t>
            </w:r>
          </w:p>
        </w:tc>
        <w:tc>
          <w:tcPr>
            <w:tcW w:w="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165.09</w:t>
            </w:r>
          </w:p>
        </w:tc>
        <w:tc>
          <w:tcPr>
            <w:tcW w:w="0" w:type="dxa"/>
            <w:vAlign w:val="bottom"/>
          </w:tcPr>
          <w:p>
            <w:pPr>
              <w:spacing w:after="0"/>
              <w:rPr>
                <w:sz w:val="1"/>
                <w:szCs w:val="1"/>
                <w:color w:val="auto"/>
              </w:rPr>
            </w:pP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as of October 31, 2020</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4,465,546</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179.06</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October 31, 2020, unrecognized stock-based compensation expense related to outstanding unvested RSUs was $711.3 million, which is expected to be recognized over a weighted-average period of 3.0 years.</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2019 Employee Stock Purchase Plan</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April 2019, we adopted the 2019 Employee Stock Purchase Plan (“ESPP”), which became effective in connection with the IPO. A total of 9,000,000 shares of our Class A common stock were initially reserved for issuance under the ESPP. The number of shares of our Class A common stock reserved for issuance automatically increases on February 1 of each calendar year, beginning on February 1, 2020 through February 1, 2029, by the lesser of (1) 1% of the total number of shares of our common stock (both Class A and Class B) outstanding on the last day of the fiscal year before the date of the automatic increase and (2) 7,500,000 shares; provided that before the date of any such increase, our board of directors may determine that such increase will be less than the amount set forth in clauses (1) and (2).</w:t>
      </w:r>
    </w:p>
    <w:p>
      <w:pPr>
        <w:spacing w:after="0" w:line="7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Under our current ESPP, Class A common stock will be purchased for the accounts of employees participating in the ESPP at a price per share equal to the lesser of (1) 85% of the fair market value of a share of our Class A common stock on the first date of an offering or (2) 85% of the fair market value of a share of our Class A common stock on the date of purchase. No employee may purchase shares under the ESPP at a rate in excess of $25,000 worth of our Class A common stock based on the fair market value per share of our Class A common stock at the beginning of an offering for each calendar year such purchase right is outstanding or 3,000 shares. The 2019 ESPP provides for, at maximum, 27 months offering periods with four offering dates, generally in June and December of each year. The first offering period began on April 18, 2019. As of October 31, 2020, 1,096,192 shares of our Class A common stock have been purchased under the ESPP.</w:t>
      </w:r>
    </w:p>
    <w:p>
      <w:pPr>
        <w:spacing w:after="0" w:line="81"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As of October 31, 2020, unrecognized stock-based compensation expense related to the ESPP was $40.8 million, which is expected to be recognized over a weighted-average period of 0.6 years.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Early Exercise of Common Stock Options</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Our board of directors authorized certain stock option holders to exercise unvested options to purchase shares of common stock. Shares received from such early exercises are subject to repurchase in the event of the optionee’s termination of service, at the original issuance price, until the options are fully vested. As of October 31, 2020 and January 31, 2020, 269,564 and 466,819 shares, respectively, of Class B common stock were subject to repurchase at a weighted-average price of $2.79 and $2.58 per share, respectively. The cash proceeds received for unvested shares of common stock recorded within accrued expenses and other current liabilities in the condensed consolidated balance sheets were $0.8 million and $1.2 million as of October 31, 2020 and January 31, 2020, respectively.</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Shares Reserved for Charitable Donations</w:t>
      </w:r>
    </w:p>
    <w:p>
      <w:pPr>
        <w:spacing w:after="0" w:line="18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During fiscal year 2020, our board of directors approved the issuance of 500,000 shares of Class A common stock for the sole purpose of being transferred to nonprofit organizations. As of October 31, 2020, 94,844 shares of Class A common stock have been transferred to a donor advised fund through an unaffiliated nonprofit organization. We recorded a non-cash charge of $23.3 million for the fair value of the donated shares, which was recorded in general and administrative expense in the condensed consolidated statements of operations for the nine months ended October 31, 2020.</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jc w:val="both"/>
        <w:ind w:right="20" w:firstLine="486"/>
        <w:spacing w:after="0" w:line="270" w:lineRule="auto"/>
        <w:rPr>
          <w:sz w:val="20"/>
          <w:szCs w:val="20"/>
          <w:color w:val="auto"/>
        </w:rPr>
      </w:pPr>
      <w:r>
        <w:rPr>
          <w:rFonts w:ascii="Times New Roman" w:cs="Times New Roman" w:eastAsia="Times New Roman" w:hAnsi="Times New Roman"/>
          <w:sz w:val="18"/>
          <w:szCs w:val="18"/>
          <w:color w:val="auto"/>
        </w:rPr>
        <w:t>The stock-based compensation expense by line item in the accompanying condensed consolidated statements of operations is summarized as follows:</w:t>
      </w:r>
    </w:p>
    <w:tbl>
      <w:tblPr>
        <w:tblLayout w:type="fixed"/>
        <w:tblInd w:w="0" w:type="dxa"/>
        <w:tblCellMar>
          <w:top w:w="0" w:type="dxa"/>
          <w:left w:w="0" w:type="dxa"/>
          <w:bottom w:w="0" w:type="dxa"/>
          <w:right w:w="0" w:type="dxa"/>
        </w:tblCellMar>
      </w:tblPr>
      <w:tr>
        <w:trPr>
          <w:trHeight w:val="195"/>
        </w:trPr>
        <w:tc>
          <w:tcPr>
            <w:tcW w:w="4400" w:type="dxa"/>
            <w:vAlign w:val="bottom"/>
          </w:tcPr>
          <w:p>
            <w:pPr>
              <w:spacing w:after="0"/>
              <w:rPr>
                <w:sz w:val="16"/>
                <w:szCs w:val="16"/>
                <w:color w:val="auto"/>
              </w:rPr>
            </w:pPr>
          </w:p>
        </w:tc>
        <w:tc>
          <w:tcPr>
            <w:tcW w:w="27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r>
      <w:tr>
        <w:trPr>
          <w:trHeight w:val="188"/>
        </w:trPr>
        <w:tc>
          <w:tcPr>
            <w:tcW w:w="4400" w:type="dxa"/>
            <w:vAlign w:val="bottom"/>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6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18"/>
        </w:trPr>
        <w:tc>
          <w:tcPr>
            <w:tcW w:w="4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2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4"/>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02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11,287</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2,369</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22,263</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5,101</w:t>
            </w:r>
          </w:p>
        </w:tc>
      </w:tr>
      <w:tr>
        <w:trPr>
          <w:trHeight w:val="23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16,035</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31,269</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7,316</w:t>
            </w: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46,716</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96,237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25,554</w:t>
            </w:r>
          </w:p>
        </w:tc>
      </w:tr>
      <w:tr>
        <w:trPr>
          <w:trHeight w:val="230"/>
        </w:trPr>
        <w:tc>
          <w:tcPr>
            <w:tcW w:w="4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19,887</w:t>
            </w:r>
          </w:p>
        </w:tc>
        <w:tc>
          <w:tcPr>
            <w:tcW w:w="1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3,296</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29,788</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8,561</w:t>
            </w:r>
          </w:p>
        </w:tc>
      </w:tr>
      <w:tr>
        <w:trPr>
          <w:trHeight w:val="248"/>
        </w:trPr>
        <w:tc>
          <w:tcPr>
            <w:tcW w:w="44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020" w:type="dxa"/>
            <w:vAlign w:val="bottom"/>
            <w:tcBorders>
              <w:bottom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93,925</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179,557</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46,532</w:t>
            </w: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tax provision for interim periods is determined using an estimated annual effective tax rate, adjusted for discrete items arising in the applicable quarter. In each quarter, we update the estimated annual effective tax rate and make a year-to-date adjustment to the provision. The estimated annual effective tax rate is subject to significant volatility due to several factors, including our ability to accurately predict the proportion of our pretax income in multiple jurisdictions and certain book-tax differences.</w:t>
      </w:r>
    </w:p>
    <w:p>
      <w:pPr>
        <w:spacing w:after="0" w:line="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provides details of the (benefit from) provision for income taxes: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2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400" w:type="dxa"/>
            <w:vAlign w:val="bottom"/>
          </w:tcPr>
          <w:p>
            <w:pPr>
              <w:spacing w:after="0"/>
              <w:rPr>
                <w:sz w:val="16"/>
                <w:szCs w:val="16"/>
                <w:color w:val="auto"/>
              </w:rPr>
            </w:pPr>
          </w:p>
        </w:tc>
        <w:tc>
          <w:tcPr>
            <w:tcW w:w="3120" w:type="dxa"/>
            <w:vAlign w:val="bottom"/>
            <w:gridSpan w:val="4"/>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0" w:type="dxa"/>
            <w:vAlign w:val="bottom"/>
          </w:tcPr>
          <w:p>
            <w:pPr>
              <w:spacing w:after="0"/>
              <w:rPr>
                <w:sz w:val="1"/>
                <w:szCs w:val="1"/>
                <w:color w:val="auto"/>
              </w:rPr>
            </w:pPr>
          </w:p>
        </w:tc>
      </w:tr>
      <w:tr>
        <w:trPr>
          <w:trHeight w:val="188"/>
        </w:trPr>
        <w:tc>
          <w:tcPr>
            <w:tcW w:w="4100" w:type="dxa"/>
            <w:vAlign w:val="bottom"/>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1320" w:type="dxa"/>
            <w:vAlign w:val="bottom"/>
            <w:tcBorders>
              <w:top w:val="single" w:sz="8" w:color="auto"/>
              <w:bottom w:val="single" w:sz="8" w:color="auto"/>
            </w:tcBorders>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1320" w:type="dxa"/>
            <w:vAlign w:val="bottom"/>
            <w:tcBorders>
              <w:top w:val="single" w:sz="8" w:color="auto"/>
              <w:bottom w:val="single" w:sz="8" w:color="auto"/>
            </w:tcBorders>
          </w:tcPr>
          <w:p>
            <w:pPr>
              <w:jc w:val="right"/>
              <w:ind w:right="637"/>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Borders>
              <w:top w:val="single" w:sz="8" w:color="auto"/>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18"/>
        </w:trPr>
        <w:tc>
          <w:tcPr>
            <w:tcW w:w="4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0" w:type="dxa"/>
            <w:vAlign w:val="bottom"/>
            <w:gridSpan w:val="5"/>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10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Net income before (benefit from) provision for income</w:t>
            </w:r>
          </w:p>
        </w:tc>
        <w:tc>
          <w:tcPr>
            <w:tcW w:w="400" w:type="dxa"/>
            <w:vAlign w:val="bottom"/>
            <w:vMerge w:val="restart"/>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vMerge w:val="restart"/>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194,021</w:t>
            </w:r>
          </w:p>
        </w:tc>
        <w:tc>
          <w:tcPr>
            <w:tcW w:w="100" w:type="dxa"/>
            <w:vAlign w:val="bottom"/>
            <w:shd w:val="clear" w:color="auto" w:fill="CCEEFF"/>
          </w:tcPr>
          <w:p>
            <w:pPr>
              <w:spacing w:after="0"/>
              <w:rPr>
                <w:sz w:val="15"/>
                <w:szCs w:val="15"/>
                <w:color w:val="auto"/>
              </w:rPr>
            </w:pPr>
          </w:p>
        </w:tc>
        <w:tc>
          <w:tcPr>
            <w:tcW w:w="400" w:type="dxa"/>
            <w:vAlign w:val="bottom"/>
            <w:vMerge w:val="restart"/>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vMerge w:val="restart"/>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2,530</w:t>
            </w:r>
          </w:p>
        </w:tc>
        <w:tc>
          <w:tcPr>
            <w:tcW w:w="100" w:type="dxa"/>
            <w:vAlign w:val="bottom"/>
            <w:shd w:val="clear" w:color="auto" w:fill="CCEEFF"/>
          </w:tcPr>
          <w:p>
            <w:pPr>
              <w:spacing w:after="0"/>
              <w:rPr>
                <w:sz w:val="15"/>
                <w:szCs w:val="15"/>
                <w:color w:val="auto"/>
              </w:rPr>
            </w:pPr>
          </w:p>
        </w:tc>
        <w:tc>
          <w:tcPr>
            <w:tcW w:w="400" w:type="dxa"/>
            <w:vAlign w:val="bottom"/>
            <w:vMerge w:val="restart"/>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vMerge w:val="restart"/>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413,381</w:t>
            </w:r>
          </w:p>
        </w:tc>
        <w:tc>
          <w:tcPr>
            <w:tcW w:w="80" w:type="dxa"/>
            <w:vAlign w:val="bottom"/>
            <w:shd w:val="clear" w:color="auto" w:fill="CCEEFF"/>
          </w:tcPr>
          <w:p>
            <w:pPr>
              <w:spacing w:after="0"/>
              <w:rPr>
                <w:sz w:val="15"/>
                <w:szCs w:val="15"/>
                <w:color w:val="auto"/>
              </w:rPr>
            </w:pPr>
          </w:p>
        </w:tc>
        <w:tc>
          <w:tcPr>
            <w:tcW w:w="420" w:type="dxa"/>
            <w:vAlign w:val="bottom"/>
            <w:vMerge w:val="restart"/>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vMerge w:val="restart"/>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11,817</w:t>
            </w: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taxes</w:t>
            </w:r>
          </w:p>
        </w:tc>
        <w:tc>
          <w:tcPr>
            <w:tcW w:w="400" w:type="dxa"/>
            <w:vAlign w:val="bottom"/>
            <w:vMerge w:val="continue"/>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vMerge w:val="continue"/>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vMerge w:val="continue"/>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vMerge w:val="continue"/>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 from) provision for income taxes</w:t>
            </w:r>
          </w:p>
        </w:tc>
        <w:tc>
          <w:tcPr>
            <w:tcW w:w="400" w:type="dxa"/>
            <w:vAlign w:val="bottom"/>
          </w:tcPr>
          <w:p>
            <w:pPr>
              <w:spacing w:after="0"/>
              <w:rPr>
                <w:sz w:val="19"/>
                <w:szCs w:val="19"/>
                <w:color w:val="auto"/>
              </w:rPr>
            </w:pPr>
          </w:p>
        </w:tc>
        <w:tc>
          <w:tcPr>
            <w:tcW w:w="132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(4,621)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1,675</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1,851</w:t>
            </w: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15.7 %</w:t>
            </w:r>
          </w:p>
        </w:tc>
        <w:tc>
          <w:tcPr>
            <w:tcW w:w="0" w:type="dxa"/>
            <w:vAlign w:val="bottom"/>
          </w:tcPr>
          <w:p>
            <w:pPr>
              <w:spacing w:after="0"/>
              <w:rPr>
                <w:sz w:val="1"/>
                <w:szCs w:val="1"/>
                <w:color w:val="auto"/>
              </w:rPr>
            </w:pPr>
          </w:p>
        </w:tc>
      </w:tr>
      <w:tr>
        <w:trPr>
          <w:trHeight w:val="878"/>
        </w:trPr>
        <w:tc>
          <w:tcPr>
            <w:tcW w:w="4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had a benefit from income taxes of $4.6 million for the three months ended October 31, 2020, and a provision for income taxes of $0.3 million for the three months ended October 31, 2019. We had a tax provision for income taxes of $1.7 million and $1.9 million for the nine months ended October 31, 2020 and 2019, respectively. The benefit from and provision for income taxes for the three and nine months ended October 31, 2020 consisted primarily of foreign income taxes, state income taxes, and a one-time benefit from the release of a valuation allowance as a result of an acquisition. For the three and nine months ended October 31, 2020 and 2019, the benefit from and provision for income taxes differed from the U.S. federal statutory rate primarily due to stock-based compensation and the full valuation allowance on the U.S. and the U.K. deferred tax assets.</w:t>
      </w:r>
    </w:p>
    <w:p>
      <w:pPr>
        <w:spacing w:after="0" w:line="18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realization of tax benefits of net deferred tax assets is dependent upon future levels of taxable income, of an appropriate character, in the periods the items are expected to be deductible or taxable. Based on the available objective evidence during the three and nine months ended October 31, 2020, we believe it is more likely than not that the tax benefits of the U.S. and the U.K. losses incurred may not be realized. Accordingly, we recorded a full valuation allowance against the tax benefits of the U.S. and the U.K. losses incurred. We intend to maintain the full valuation allowance on the U.S. and the U.K. net deferred tax assets until sufficient positive evidence exists to support a reversal of, or decrease in, the valuation allowance.</w:t>
      </w:r>
    </w:p>
    <w:p>
      <w:pPr>
        <w:spacing w:after="0" w:line="7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recorded a valuation allowance against our deferred tax assets (“DTAs”) for the U.S. and U.K. as of both October 31, 2020 and January 31, 2020. We intend to continue maintaining a full valuation allowance on our DTAs until there is sufficient evidence to support the reversal of all or some portion of these allowances. However, given our current earnings and anticipated future earnings, we believe that there is a reasonable possibility that in the foreseeable future, sufficient positive evidence may become available to reach a conclusion that a portion of the valuation allowance will no longer be needed. Release of the valuation allowance would result in the recognition of certain DTAs and a decrease to income tax expense for the period the release is recorded. However, the exact timing and amount of the valuation allowance release are subject to change on the basis of the level of profitability (pretax income adjusted for permanent differences) that we are able to actually achieve.</w:t>
      </w:r>
    </w:p>
    <w:p>
      <w:pPr>
        <w:spacing w:after="0" w:line="8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October 31, 2020, there were no material changes to the total amount of unrecognized tax benefits and we do not expect any significant changes in the next 12 months.</w:t>
      </w:r>
    </w:p>
    <w:p>
      <w:pPr>
        <w:spacing w:after="0" w:line="5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March 27, 2020, the Coronavirus Aid, Relief, and Economic Security Act (“CARES Act”) was passed into law and amended portions of relevant tax laws. The CARES Act did not have a significant impact on the provision for income taxes for the three and nine months ended October 31, 2020. We will continue to monitor future guidance issued regarding the CARES Act and other similar stimulus measures to determine any future impacts.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Net Income Per Share Attributable to Common Stockholders</w:t>
      </w:r>
    </w:p>
    <w:p>
      <w:pPr>
        <w:spacing w:after="0" w:line="121" w:lineRule="exact"/>
        <w:rPr>
          <w:sz w:val="20"/>
          <w:szCs w:val="20"/>
          <w:color w:val="auto"/>
        </w:rPr>
      </w:pPr>
    </w:p>
    <w:p>
      <w:pPr>
        <w:ind w:firstLine="486"/>
        <w:spacing w:after="0" w:line="270"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net income per share attributable to common stockholders for the periods presented:</w:t>
      </w:r>
    </w:p>
    <w:tbl>
      <w:tblPr>
        <w:tblLayout w:type="fixed"/>
        <w:tblInd w:w="0" w:type="dxa"/>
        <w:tblCellMar>
          <w:top w:w="0" w:type="dxa"/>
          <w:left w:w="0" w:type="dxa"/>
          <w:bottom w:w="0" w:type="dxa"/>
          <w:right w:w="0" w:type="dxa"/>
        </w:tblCellMar>
      </w:tblPr>
      <w:tr>
        <w:trPr>
          <w:trHeight w:val="195"/>
        </w:trPr>
        <w:tc>
          <w:tcPr>
            <w:tcW w:w="18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8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9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8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0" w:type="dxa"/>
            <w:vAlign w:val="bottom"/>
          </w:tcPr>
          <w:p>
            <w:pPr>
              <w:spacing w:after="0"/>
              <w:rPr>
                <w:sz w:val="1"/>
                <w:szCs w:val="1"/>
                <w:color w:val="auto"/>
              </w:rPr>
            </w:pPr>
          </w:p>
        </w:tc>
      </w:tr>
      <w:tr>
        <w:trPr>
          <w:trHeight w:val="247"/>
        </w:trPr>
        <w:tc>
          <w:tcPr>
            <w:tcW w:w="18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Numerator:</w:t>
            </w: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560" w:type="dxa"/>
            <w:vAlign w:val="bottom"/>
            <w:gridSpan w:val="12"/>
          </w:tcPr>
          <w:p>
            <w:pPr>
              <w:ind w:left="680"/>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136,849</w:t>
            </w:r>
          </w:p>
        </w:tc>
        <w:tc>
          <w:tcPr>
            <w:tcW w:w="3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61,793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w:t>
            </w:r>
          </w:p>
        </w:tc>
        <w:tc>
          <w:tcPr>
            <w:tcW w:w="3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256,176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155,530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8,629</w:t>
            </w:r>
          </w:p>
        </w:tc>
        <w:tc>
          <w:tcPr>
            <w:tcW w:w="0" w:type="dxa"/>
            <w:vAlign w:val="bottom"/>
          </w:tcPr>
          <w:p>
            <w:pPr>
              <w:spacing w:after="0"/>
              <w:rPr>
                <w:sz w:val="1"/>
                <w:szCs w:val="1"/>
                <w:color w:val="auto"/>
              </w:rPr>
            </w:pPr>
          </w:p>
        </w:tc>
      </w:tr>
      <w:tr>
        <w:trPr>
          <w:trHeight w:val="162"/>
        </w:trPr>
        <w:tc>
          <w:tcPr>
            <w:tcW w:w="18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Less: Undistributed</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earnings attributable to</w:t>
            </w:r>
          </w:p>
        </w:tc>
        <w:tc>
          <w:tcPr>
            <w:tcW w:w="1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(531)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(2,493)</w:t>
            </w:r>
          </w:p>
        </w:tc>
        <w:tc>
          <w:tcPr>
            <w:tcW w:w="0" w:type="dxa"/>
            <w:vAlign w:val="bottom"/>
          </w:tcPr>
          <w:p>
            <w:pPr>
              <w:spacing w:after="0"/>
              <w:rPr>
                <w:sz w:val="1"/>
                <w:szCs w:val="1"/>
                <w:color w:val="auto"/>
              </w:rPr>
            </w:pPr>
          </w:p>
        </w:tc>
      </w:tr>
      <w:tr>
        <w:trPr>
          <w:trHeight w:val="213"/>
        </w:trPr>
        <w:tc>
          <w:tcPr>
            <w:tcW w:w="1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participating securities</w:t>
            </w:r>
          </w:p>
        </w:tc>
        <w:tc>
          <w:tcPr>
            <w:tcW w:w="1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1860" w:type="dxa"/>
            <w:vAlign w:val="bottom"/>
            <w:tcBorders>
              <w:top w:val="single" w:sz="8" w:color="CCEEFF"/>
            </w:tcBorders>
            <w:shd w:val="clear" w:color="auto" w:fill="CCEEFF"/>
          </w:tcPr>
          <w:p>
            <w:pPr>
              <w:ind w:left="20"/>
              <w:spacing w:after="0" w:line="145" w:lineRule="exact"/>
              <w:rPr>
                <w:sz w:val="20"/>
                <w:szCs w:val="20"/>
                <w:color w:val="auto"/>
              </w:rPr>
            </w:pPr>
            <w:r>
              <w:rPr>
                <w:rFonts w:ascii="Times New Roman" w:cs="Times New Roman" w:eastAsia="Times New Roman" w:hAnsi="Times New Roman"/>
                <w:sz w:val="16"/>
                <w:szCs w:val="16"/>
                <w:color w:val="auto"/>
              </w:rPr>
              <w:t>Net income attributable to</w:t>
            </w:r>
          </w:p>
        </w:tc>
        <w:tc>
          <w:tcPr>
            <w:tcW w:w="14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86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common stockholders,</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136,849</w:t>
            </w:r>
          </w:p>
        </w:tc>
        <w:tc>
          <w:tcPr>
            <w:tcW w:w="30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61,591</w:t>
            </w:r>
          </w:p>
        </w:tc>
        <w:tc>
          <w:tcPr>
            <w:tcW w:w="12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w:t>
            </w:r>
          </w:p>
        </w:tc>
        <w:tc>
          <w:tcPr>
            <w:tcW w:w="34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1,627</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256,176</w:t>
            </w:r>
          </w:p>
        </w:tc>
        <w:tc>
          <w:tcPr>
            <w:tcW w:w="12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154,999</w:t>
            </w:r>
          </w:p>
        </w:tc>
        <w:tc>
          <w:tcPr>
            <w:tcW w:w="10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1,337</w:t>
            </w:r>
          </w:p>
        </w:tc>
        <w:tc>
          <w:tcPr>
            <w:tcW w:w="10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6,136</w:t>
            </w:r>
          </w:p>
        </w:tc>
        <w:tc>
          <w:tcPr>
            <w:tcW w:w="0" w:type="dxa"/>
            <w:vAlign w:val="bottom"/>
          </w:tcPr>
          <w:p>
            <w:pPr>
              <w:spacing w:after="0"/>
              <w:rPr>
                <w:sz w:val="1"/>
                <w:szCs w:val="1"/>
                <w:color w:val="auto"/>
              </w:rPr>
            </w:pPr>
          </w:p>
        </w:tc>
      </w:tr>
      <w:tr>
        <w:trPr>
          <w:trHeight w:val="209"/>
        </w:trPr>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w:t>
            </w:r>
          </w:p>
        </w:tc>
        <w:tc>
          <w:tcPr>
            <w:tcW w:w="14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300" w:type="dxa"/>
            <w:vAlign w:val="bottom"/>
            <w:gridSpan w:val="3"/>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340" w:type="dxa"/>
            <w:vAlign w:val="bottom"/>
            <w:gridSpan w:val="3"/>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60" w:type="dxa"/>
            <w:vAlign w:val="bottom"/>
            <w:tcBorders>
              <w:top w:val="single" w:sz="8" w:color="CCEEFF"/>
              <w:bottom w:val="single" w:sz="8" w:color="CCEEFF"/>
            </w:tcBorders>
            <w:vMerge w:val="restart"/>
          </w:tcPr>
          <w:p>
            <w:pPr>
              <w:ind w:left="20"/>
              <w:spacing w:after="0" w:line="149" w:lineRule="exact"/>
              <w:rPr>
                <w:sz w:val="20"/>
                <w:szCs w:val="20"/>
                <w:color w:val="auto"/>
              </w:rPr>
            </w:pPr>
            <w:r>
              <w:rPr>
                <w:rFonts w:ascii="Times New Roman" w:cs="Times New Roman" w:eastAsia="Times New Roman" w:hAnsi="Times New Roman"/>
                <w:sz w:val="16"/>
                <w:szCs w:val="16"/>
                <w:color w:val="auto"/>
              </w:rPr>
              <w:t>Reallocation of net income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186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18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attributable to common</w:t>
            </w:r>
          </w:p>
        </w:tc>
        <w:tc>
          <w:tcPr>
            <w:tcW w:w="140" w:type="dxa"/>
            <w:vAlign w:val="bottom"/>
          </w:tcPr>
          <w:p>
            <w:pPr>
              <w:spacing w:after="0"/>
              <w:rPr>
                <w:sz w:val="14"/>
                <w:szCs w:val="14"/>
                <w:color w:val="auto"/>
              </w:rPr>
            </w:pP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(4,094)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4,094</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(9,083)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9,083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0" w:type="dxa"/>
            <w:vAlign w:val="bottom"/>
          </w:tcPr>
          <w:p>
            <w:pPr>
              <w:spacing w:after="0"/>
              <w:rPr>
                <w:sz w:val="1"/>
                <w:szCs w:val="1"/>
                <w:color w:val="auto"/>
              </w:rPr>
            </w:pPr>
          </w:p>
        </w:tc>
      </w:tr>
      <w:tr>
        <w:trPr>
          <w:trHeight w:val="213"/>
        </w:trPr>
        <w:tc>
          <w:tcPr>
            <w:tcW w:w="1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stockholders</w:t>
            </w: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186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6"/>
                <w:szCs w:val="16"/>
                <w:color w:val="auto"/>
              </w:rPr>
              <w:t>Net income attributable to</w:t>
            </w: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86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common stockholders,</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132,755</w:t>
            </w:r>
          </w:p>
        </w:tc>
        <w:tc>
          <w:tcPr>
            <w:tcW w:w="30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65,685</w:t>
            </w:r>
          </w:p>
        </w:tc>
        <w:tc>
          <w:tcPr>
            <w:tcW w:w="12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w:t>
            </w:r>
          </w:p>
        </w:tc>
        <w:tc>
          <w:tcPr>
            <w:tcW w:w="34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1,663</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247,093</w:t>
            </w:r>
          </w:p>
        </w:tc>
        <w:tc>
          <w:tcPr>
            <w:tcW w:w="12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164,082</w:t>
            </w:r>
          </w:p>
        </w:tc>
        <w:tc>
          <w:tcPr>
            <w:tcW w:w="10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1,216</w:t>
            </w:r>
          </w:p>
        </w:tc>
        <w:tc>
          <w:tcPr>
            <w:tcW w:w="10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6,257</w:t>
            </w:r>
          </w:p>
        </w:tc>
        <w:tc>
          <w:tcPr>
            <w:tcW w:w="0" w:type="dxa"/>
            <w:vAlign w:val="bottom"/>
          </w:tcPr>
          <w:p>
            <w:pPr>
              <w:spacing w:after="0"/>
              <w:rPr>
                <w:sz w:val="1"/>
                <w:szCs w:val="1"/>
                <w:color w:val="auto"/>
              </w:rPr>
            </w:pPr>
          </w:p>
        </w:tc>
      </w:tr>
      <w:tr>
        <w:trPr>
          <w:trHeight w:val="209"/>
        </w:trPr>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w:t>
            </w:r>
          </w:p>
        </w:tc>
        <w:tc>
          <w:tcPr>
            <w:tcW w:w="14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300" w:type="dxa"/>
            <w:vAlign w:val="bottom"/>
            <w:gridSpan w:val="3"/>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340" w:type="dxa"/>
            <w:vAlign w:val="bottom"/>
            <w:gridSpan w:val="3"/>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Denominator:</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18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860" w:type="dxa"/>
            <w:vAlign w:val="bottom"/>
            <w:shd w:val="clear" w:color="auto" w:fill="CCEEFF"/>
          </w:tcPr>
          <w:p>
            <w:pPr>
              <w:ind w:left="20"/>
              <w:spacing w:after="0" w:line="164" w:lineRule="exact"/>
              <w:rPr>
                <w:sz w:val="20"/>
                <w:szCs w:val="20"/>
                <w:color w:val="auto"/>
              </w:rPr>
            </w:pPr>
            <w:r>
              <w:rPr>
                <w:rFonts w:ascii="Times New Roman" w:cs="Times New Roman" w:eastAsia="Times New Roman" w:hAnsi="Times New Roman"/>
                <w:sz w:val="16"/>
                <w:szCs w:val="16"/>
                <w:color w:val="auto"/>
              </w:rPr>
              <w:t>Weighted-average shares</w:t>
            </w: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6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used in computing net</w:t>
            </w: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6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income per share</w:t>
            </w: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6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attributable to common</w:t>
            </w:r>
          </w:p>
        </w:tc>
        <w:tc>
          <w:tcPr>
            <w:tcW w:w="1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196,393,625</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88,389,381</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71,833,141</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201,483,709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176,047,037</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106,517,444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39,227,409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180,068,036</w:t>
            </w:r>
          </w:p>
        </w:tc>
        <w:tc>
          <w:tcPr>
            <w:tcW w:w="0" w:type="dxa"/>
            <w:vAlign w:val="bottom"/>
          </w:tcPr>
          <w:p>
            <w:pPr>
              <w:spacing w:after="0"/>
              <w:rPr>
                <w:sz w:val="1"/>
                <w:szCs w:val="1"/>
                <w:color w:val="auto"/>
              </w:rPr>
            </w:pPr>
          </w:p>
        </w:tc>
      </w:tr>
      <w:tr>
        <w:trPr>
          <w:trHeight w:val="216"/>
        </w:trPr>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basic</w:t>
            </w:r>
          </w:p>
        </w:tc>
        <w:tc>
          <w:tcPr>
            <w:tcW w:w="14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8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Weighted-average shares</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used in computing net</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income per share</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attributable to common</w:t>
            </w:r>
          </w:p>
        </w:tc>
        <w:tc>
          <w:tcPr>
            <w:tcW w:w="1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200,202,338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99,056,427</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72,117,530</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220,653,592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178,844,073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118,761,868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39,294,822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202,217,747</w:t>
            </w:r>
          </w:p>
        </w:tc>
        <w:tc>
          <w:tcPr>
            <w:tcW w:w="0" w:type="dxa"/>
            <w:vAlign w:val="bottom"/>
          </w:tcPr>
          <w:p>
            <w:pPr>
              <w:spacing w:after="0"/>
              <w:rPr>
                <w:sz w:val="1"/>
                <w:szCs w:val="1"/>
                <w:color w:val="auto"/>
              </w:rPr>
            </w:pPr>
          </w:p>
        </w:tc>
      </w:tr>
      <w:tr>
        <w:trPr>
          <w:trHeight w:val="213"/>
        </w:trPr>
        <w:tc>
          <w:tcPr>
            <w:tcW w:w="1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stockholders, diluted</w:t>
            </w: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186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6"/>
                <w:szCs w:val="16"/>
                <w:color w:val="auto"/>
              </w:rPr>
              <w:t>Net income per share</w:t>
            </w: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86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attributable to common</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0.70</w:t>
            </w:r>
          </w:p>
        </w:tc>
        <w:tc>
          <w:tcPr>
            <w:tcW w:w="30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0.70</w:t>
            </w:r>
          </w:p>
        </w:tc>
        <w:tc>
          <w:tcPr>
            <w:tcW w:w="12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34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2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0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10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0" w:type="dxa"/>
            <w:vAlign w:val="bottom"/>
          </w:tcPr>
          <w:p>
            <w:pPr>
              <w:spacing w:after="0"/>
              <w:rPr>
                <w:sz w:val="1"/>
                <w:szCs w:val="1"/>
                <w:color w:val="auto"/>
              </w:rPr>
            </w:pPr>
          </w:p>
        </w:tc>
      </w:tr>
      <w:tr>
        <w:trPr>
          <w:trHeight w:val="209"/>
        </w:trPr>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basic</w:t>
            </w:r>
          </w:p>
        </w:tc>
        <w:tc>
          <w:tcPr>
            <w:tcW w:w="14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300" w:type="dxa"/>
            <w:vAlign w:val="bottom"/>
            <w:gridSpan w:val="3"/>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340" w:type="dxa"/>
            <w:vAlign w:val="bottom"/>
            <w:gridSpan w:val="3"/>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60" w:type="dxa"/>
            <w:vAlign w:val="bottom"/>
            <w:tcBorders>
              <w:top w:val="single" w:sz="8" w:color="CCEEFF"/>
              <w:bottom w:val="single" w:sz="8" w:color="CCEEFF"/>
            </w:tcBorders>
            <w:vMerge w:val="restart"/>
          </w:tcPr>
          <w:p>
            <w:pPr>
              <w:ind w:left="20"/>
              <w:spacing w:after="0" w:line="149" w:lineRule="exact"/>
              <w:rPr>
                <w:sz w:val="20"/>
                <w:szCs w:val="20"/>
                <w:color w:val="auto"/>
              </w:rPr>
            </w:pPr>
            <w:r>
              <w:rPr>
                <w:rFonts w:ascii="Times New Roman" w:cs="Times New Roman" w:eastAsia="Times New Roman" w:hAnsi="Times New Roman"/>
                <w:sz w:val="16"/>
                <w:szCs w:val="16"/>
                <w:color w:val="auto"/>
              </w:rPr>
              <w:t>Net income per share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186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18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attributable to common</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0.66</w:t>
            </w:r>
          </w:p>
        </w:tc>
        <w:tc>
          <w:tcPr>
            <w:tcW w:w="30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0.66</w:t>
            </w:r>
          </w:p>
        </w:tc>
        <w:tc>
          <w:tcPr>
            <w:tcW w:w="120" w:type="dxa"/>
            <w:vAlign w:val="bottom"/>
          </w:tcPr>
          <w:p>
            <w:pPr>
              <w:spacing w:after="0"/>
              <w:rPr>
                <w:sz w:val="14"/>
                <w:szCs w:val="14"/>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34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2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00" w:type="dxa"/>
            <w:vAlign w:val="bottom"/>
          </w:tcPr>
          <w:p>
            <w:pPr>
              <w:spacing w:after="0"/>
              <w:rPr>
                <w:sz w:val="14"/>
                <w:szCs w:val="14"/>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10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0" w:type="dxa"/>
            <w:vAlign w:val="bottom"/>
          </w:tcPr>
          <w:p>
            <w:pPr>
              <w:spacing w:after="0"/>
              <w:rPr>
                <w:sz w:val="1"/>
                <w:szCs w:val="1"/>
                <w:color w:val="auto"/>
              </w:rPr>
            </w:pPr>
          </w:p>
        </w:tc>
      </w:tr>
      <w:tr>
        <w:trPr>
          <w:trHeight w:val="189"/>
        </w:trPr>
        <w:tc>
          <w:tcPr>
            <w:tcW w:w="1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diluted</w:t>
            </w:r>
          </w:p>
        </w:tc>
        <w:tc>
          <w:tcPr>
            <w:tcW w:w="14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300" w:type="dxa"/>
            <w:vAlign w:val="bottom"/>
            <w:gridSpan w:val="3"/>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340" w:type="dxa"/>
            <w:vAlign w:val="bottom"/>
            <w:gridSpan w:val="3"/>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20" w:firstLine="486"/>
        <w:spacing w:after="0" w:line="270" w:lineRule="auto"/>
        <w:rPr>
          <w:sz w:val="20"/>
          <w:szCs w:val="20"/>
          <w:color w:val="auto"/>
        </w:rPr>
      </w:pPr>
      <w:r>
        <w:rPr>
          <w:rFonts w:ascii="Times New Roman" w:cs="Times New Roman" w:eastAsia="Times New Roman" w:hAnsi="Times New Roman"/>
          <w:sz w:val="18"/>
          <w:szCs w:val="18"/>
          <w:color w:val="auto"/>
        </w:rPr>
        <w:t>The potential shares of common stock that were excluded from the computation of diluted net income per share attributable to common stockholders for the periods presented because including them would have been anti-dilutive are as follows:</w:t>
      </w:r>
    </w:p>
    <w:tbl>
      <w:tblPr>
        <w:tblLayout w:type="fixed"/>
        <w:tblInd w:w="0" w:type="dxa"/>
        <w:tblCellMar>
          <w:top w:w="0" w:type="dxa"/>
          <w:left w:w="0" w:type="dxa"/>
          <w:bottom w:w="0" w:type="dxa"/>
          <w:right w:w="0" w:type="dxa"/>
        </w:tblCellMar>
      </w:tblPr>
      <w:tr>
        <w:trPr>
          <w:trHeight w:val="195"/>
        </w:trPr>
        <w:tc>
          <w:tcPr>
            <w:tcW w:w="178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780" w:type="dxa"/>
            <w:vAlign w:val="bottom"/>
          </w:tcPr>
          <w:p>
            <w:pPr>
              <w:spacing w:after="0"/>
              <w:rPr>
                <w:sz w:val="16"/>
                <w:szCs w:val="16"/>
                <w:color w:val="auto"/>
              </w:rPr>
            </w:pPr>
          </w:p>
        </w:tc>
        <w:tc>
          <w:tcPr>
            <w:tcW w:w="13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2020</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2019</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2019</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780" w:type="dxa"/>
            <w:vAlign w:val="bottom"/>
          </w:tcPr>
          <w:p>
            <w:pPr>
              <w:spacing w:after="0"/>
              <w:rPr>
                <w:sz w:val="15"/>
                <w:szCs w:val="15"/>
                <w:color w:val="auto"/>
              </w:rPr>
            </w:pPr>
          </w:p>
        </w:tc>
        <w:tc>
          <w:tcPr>
            <w:tcW w:w="1300" w:type="dxa"/>
            <w:vAlign w:val="bottom"/>
            <w:gridSpan w:val="3"/>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98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00" w:type="dxa"/>
            <w:vAlign w:val="bottom"/>
          </w:tcPr>
          <w:p>
            <w:pPr>
              <w:spacing w:after="0"/>
              <w:rPr>
                <w:sz w:val="15"/>
                <w:szCs w:val="15"/>
                <w:color w:val="auto"/>
              </w:rPr>
            </w:pPr>
          </w:p>
        </w:tc>
        <w:tc>
          <w:tcPr>
            <w:tcW w:w="1400" w:type="dxa"/>
            <w:vAlign w:val="bottom"/>
            <w:gridSpan w:val="3"/>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90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00" w:type="dxa"/>
            <w:vAlign w:val="bottom"/>
          </w:tcPr>
          <w:p>
            <w:pPr>
              <w:spacing w:after="0"/>
              <w:rPr>
                <w:sz w:val="15"/>
                <w:szCs w:val="15"/>
                <w:color w:val="auto"/>
              </w:rPr>
            </w:pPr>
          </w:p>
        </w:tc>
        <w:tc>
          <w:tcPr>
            <w:tcW w:w="1320" w:type="dxa"/>
            <w:vAlign w:val="bottom"/>
            <w:gridSpan w:val="3"/>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96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00" w:type="dxa"/>
            <w:vAlign w:val="bottom"/>
          </w:tcPr>
          <w:p>
            <w:pPr>
              <w:spacing w:after="0"/>
              <w:rPr>
                <w:sz w:val="15"/>
                <w:szCs w:val="15"/>
                <w:color w:val="auto"/>
              </w:rPr>
            </w:pPr>
          </w:p>
        </w:tc>
        <w:tc>
          <w:tcPr>
            <w:tcW w:w="1400" w:type="dxa"/>
            <w:vAlign w:val="bottom"/>
            <w:gridSpan w:val="3"/>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9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0" w:type="dxa"/>
            <w:vAlign w:val="bottom"/>
          </w:tcPr>
          <w:p>
            <w:pPr>
              <w:spacing w:after="0"/>
              <w:rPr>
                <w:sz w:val="1"/>
                <w:szCs w:val="1"/>
                <w:color w:val="auto"/>
              </w:rPr>
            </w:pPr>
          </w:p>
        </w:tc>
      </w:tr>
      <w:tr>
        <w:trPr>
          <w:trHeight w:val="210"/>
        </w:trPr>
        <w:tc>
          <w:tcPr>
            <w:tcW w:w="1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stock options</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219,660</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113,335</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1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Unvested RSUs</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39,872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369,894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200,420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361,923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17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Purchase rights committed</w:t>
            </w:r>
          </w:p>
        </w:tc>
        <w:tc>
          <w:tcPr>
            <w:tcW w:w="1300" w:type="dxa"/>
            <w:vAlign w:val="bottom"/>
            <w:gridSpan w:val="3"/>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vMerge w:val="restart"/>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63,384</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3"/>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vMerge w:val="restart"/>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29,225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under the ESPP</w:t>
            </w:r>
          </w:p>
        </w:tc>
        <w:tc>
          <w:tcPr>
            <w:tcW w:w="1300" w:type="dxa"/>
            <w:vAlign w:val="bottom"/>
            <w:gridSpan w:val="3"/>
            <w:vMerge w:val="continue"/>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320" w:type="dxa"/>
            <w:vAlign w:val="bottom"/>
            <w:gridSpan w:val="3"/>
            <w:vMerge w:val="continue"/>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39,872</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652,938</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200,420</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504,483</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
        </w:trPr>
        <w:tc>
          <w:tcPr>
            <w:tcW w:w="17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table above does not include 405,156 shares of issued Class A common stock held by us as of October 31, 2020 that are reserved for the sole purpose of being transferred to nonprofit organizations.</w:t>
      </w:r>
    </w:p>
    <w:p>
      <w:pPr>
        <w:spacing w:after="0" w:line="11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19" w:lineRule="exact"/>
        <w:rPr>
          <w:sz w:val="20"/>
          <w:szCs w:val="20"/>
          <w:color w:val="auto"/>
        </w:rPr>
      </w:pPr>
    </w:p>
    <w:p>
      <w:pPr>
        <w:jc w:val="both"/>
        <w:ind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the unaudited condensed consolidated financial statements and related notes included elsewhere in this Quarterly Report on</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Form 10-Q. This discussion contains forward-looking statements based upon current expectations that involve risks and uncertainties. Our actual results may differ materially from those anticipated in these forward-looking statements as a result of various factors, including those discussed in the section titled “Risk Factors” and in other parts of this Quarterly Report on Form 10-Q.</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mission is to make video communications frictionless and secure.</w:t>
      </w:r>
    </w:p>
    <w:p>
      <w:pPr>
        <w:spacing w:after="0" w:line="11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provide a video-first unified communications platform that delivers happiness and fundamentally changes how people interact. We connect people through frictionless and secure video, voice, chat, and content sharing and enable face-to-face video experiences for thousands of people in a single meeting across disparate devices and locations. Our cloud-native platform delivers reliable, high-quality video that is easy to use, manage, and deploy, provides an attractive return on investment, is scalable, and easily integrates with applications and physical spaces. We believe that rich and reliable communications lead to interactions that build greater empathy and trust. We strive to live up to the trust our customers place in us by delivering a communications solution that “just works” while prioritizing their privacy and security. Our goal is to make Zoom Meetings better than in-person meetings. Our 21 co-located data centers located worldwide and the public cloud enable us to provide both high-quality and high-definition, real-time video to our customers even in low-bandwidth environments.</w:t>
      </w:r>
    </w:p>
    <w:p>
      <w:pPr>
        <w:spacing w:after="0" w:line="84"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generate revenue from the sale of subscriptions to our unified communications platform. Subscription revenue is driven primarily by the number of paid hosts as well as purchases of additional products, including Zoom Rooms, Zoom Video Webinars, Zoom Phone, and Hardware-as-a-Service (“HaaS”) for rooms and phones. A host is any user of our video-first communications platform who initiates a Zoom Meeting and invites one or more participants to join that meeting. We refer to hosts who subscribe to a paid Zoom Meeting plan as “paid hosts.” We define a customer as a separate and distinct buying entity, which can be a single paid host or an organization of any size (including a distinct unit of an organization) that has multiple paid hosts. Our Basic offering is free and gives hosts access to Zoom Meetings with core features but with the limitation that meetings with more than two endpoints time-out at 40 minutes. Our paid offerings include our Pro, Business, Enterprise, Education, and Healthcare plans, which provide incremental features and functionality, such as different participant limits, administrative controls, and reporting.</w:t>
      </w:r>
    </w:p>
    <w:p>
      <w:pPr>
        <w:spacing w:after="0" w:line="8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revenue was $777.2 million and $166.6 million for the three months ended October 31, 2020 and 2019, respectively, representing a period-over-period growth rate of 367%. We had net income of $198.6 million and $2.2 million for the three months ended October 31, 2020 and 2019, respectively. Our revenue was $1,768.9 million and $434.4 million for the nine months ended October 31, 2020 and 2019, respectively, representing a period-over-period growth rate of 307%. We had net income of $411.7 million and $10.0 million for the nine months ended October 31, 2020 and 2019, respectively. Net cash provided by operating activities was $1,071.8 million and $115.3 million for the nine months ended October 31, 2020 and 2019,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COVID-19</w:t>
      </w:r>
    </w:p>
    <w:p>
      <w:pPr>
        <w:spacing w:after="0" w:line="12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 December 2019, an outbreak of the COVID-19 disease was first identified and began to spread across the globe. In March 2020, the World Health Organization declared COVID-19 a pandemic, impacting many countries around the world. Governments have instituted lockdown or other similar measures to slow infection rates. Many organizations have resorted to mandating employees to work from home, which has resulted in these organizations seeking out video communication solutions like ours to keep employees as productive as possible, even while working from home. Schools, colleges, and universities globally have also closed as a result of this pandemic. Many of these institutions are utilizing our platform to provide remote instruction to their students. To help teachers and students navigate this unprecedented situation, we have temporarily removed the 40-minute time limit for meetings with more than two endpoints from our free Basic accounts for more than 125,000 K-12 school domains worldwide.</w:t>
      </w:r>
    </w:p>
    <w:p>
      <w:pPr>
        <w:spacing w:after="0" w:line="8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While we have experienced a significant increase in paid hosts and revenue due to the pandemic, the aforementioned factors have also driven increased usage of our services and have required us to expand our network and data storage and processing capacity, both in our own co-located data centers as well as through third-party cloud hosting, which has resulted, and is continuing to result, in an increase in our operating costs. Furthermore, a significant portion of the increase in usage of our platform is attributable to free Basic accounts and our removal of the time limit for school domains, which do not generate any revenue, but still require us to incur these additional operating costs to expand our capacity. Therefore, the recent increase in usage of our platform has adversely impacted, and may continue to adversely impact, our gross margin.</w:t>
      </w:r>
    </w:p>
    <w:p>
      <w:pPr>
        <w:spacing w:after="0" w:line="7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In addition, there is no assurance that we will experience an increase in paid hosts or that new or existing users will continue to utilize our service after the COVID-19 pandemic has tapered. Moreover, the tapering of the COVID-19 pandemic,</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particularly as vaccinations become widely available, may result in a decline in paid hosts and users once individuals are no longer working or attending school from home.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Acquiring New Customers</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are focused on continuing to grow the number of customers that use our platform. Our operating results and growth prospects will depend, in part, on our ability to attract new customers. While we believe there is a significant market opportunity that our platform addresses, it is difficult to predict customer adoption rates or the future growth rate and size of the market for our platform. We will need to continue to invest in sales and marketing in order to address this opportunity by hiring, developing, and retaining talented sales personnel who are able to achieve desired productivity levels in a reasonable period of time.</w:t>
      </w:r>
    </w:p>
    <w:p>
      <w:pPr>
        <w:spacing w:after="0" w:line="1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Expansion of Zoom Across Existing Customers</w:t>
      </w:r>
    </w:p>
    <w:p>
      <w:pPr>
        <w:spacing w:after="0" w:line="1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believe that there is a large opportunity for growth with many of our existing customers. Many customers have increased the size of their subscriptions as they have expanded their use of our platform across their operations. Some of our larger enterprise customers start with a deployment of Zoom Meetings with one team, location, or geography, before rolling out our platform throughout their organization. Several of our largest customers have deployed our platform globally to their entire workforce following smaller initial deployments. This expansion in the use of our platform also provides us with opportunities to market and sell additional products to our customers, such as Zoom Phone, Zoom Hardware as a Service, Zoom for Home, Zoom Rooms at each office location, and Zoom Video Webinars. In order for us to address this opportunity to expand the use of our products with our existing customers, we will need to maintain the reliability of our platform and produce new features and functionality that are responsive to our customers’ requirements for enterprise-grade solutions.</w:t>
      </w:r>
    </w:p>
    <w:p>
      <w:pPr>
        <w:spacing w:after="0" w:line="84"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quantify our expansion across existing customers through our net dollar expansion rate. Our net dollar expansion rate includes the increase in user adoption within our customers, as our subscription revenue is primarily driven by the number of paid hosts within a customer and the purchase of additional products, and compares our subscription revenue from the same set of customers across comparable periods. We calculate net dollar expansion rate as of a period end by starting with the annual recurring revenue (“ARR”) from all customers with more than 10 employees as of 12 months prior (“Prior Period ARR”). We define ARR as the annualized revenue run rate of subscription agreements from all customers at a point in time. We calculate ARR by taking the monthly recurring revenue (“MRR”) and multiplying it by 12. MRR is defined as the recurring revenue run-rate of subscription agreements from all customers for the last month of the period, including revenue from monthly subscribers who have not provided any indication that they intend to cancel their subscriptions. We then calculate the ARR from these customers as of the current period end (“Current Period ARR”), which includes any upsells, contraction, and attrition. We divide the Current Period ARR by the Prior Period ARR to arrive at the net dollar expansion rate. For the trailing 12-months calculation, we take an average of the net dollar expansion rate over the trailing 12 months. Our net dollar expansion rate may fluctuate as a result of a number of factors, including the level of penetration within our customer base, expansion of products and features, and our ability to retain our customers. Our trailing 12-month net dollar expansion rate in customers with more than 10 employees was greater than 130% as of October 31, 2020 and 2019.</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Innovation and Expansion of Our Platform</w:t>
      </w:r>
    </w:p>
    <w:p>
      <w:pPr>
        <w:spacing w:after="0" w:line="1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continue to invest resources to enhance the capabilities of our platform. For example, we have recently introduced a number of product enhancements, including new features for Zoom Phone, Zoom Meetings, and Zoom Video Webinars. We addressed new work-from-home realities with the introduction of Zoom for Home, a solution designed for the home office that combines Zoom software enhancements with compatible hardware. We also expanded our geographic footprint with Zoom Phone availability in 26 new countries and territories, bringing the total to 44. Third-party developers are also a key component of our strategy for platform innovation to make it easier for customers and developers to extend our product portfolio with new functionalities. We believe that as more developers and other third parties use our platform to integrate major third-party applications, we will become the ubiquitous platform for communications. We will need to expend additional resources to continue introducing new products, features, and functionality, and supporting the efforts of third parties to enhance the value of our platform with their own applications.</w:t>
      </w:r>
    </w:p>
    <w:p>
      <w:pPr>
        <w:spacing w:after="0" w:line="8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End-to-end encryption (“E2EE”) is now available to Zoom users globally, free and paid, for meetings with up to 200 participants. Zoom’s E2EE uses the same AES-256-GCM encryption that secures Zoom meetings by default, but with Zoom’s new E2EE, the meeting host generates encryption keys and uses public key cryptography to distribute these keys to the other meeting participants.</w:t>
      </w:r>
    </w:p>
    <w:p>
      <w:pPr>
        <w:spacing w:after="0" w:line="6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recently announced two additions to the Zoom platform: OnZoom and Zoom Apps. OnZoom is an online event platform for Zoom users to create and host free, paid, and fundraising events. OnZoom is currently offered as a public beta for</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U.S. users to attend events. Zoom Apps are designed to give developers a fast and flexible web view canvas to create apps, viral distribution, and IT deployment and manageability.</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International Expansion</w:t>
      </w:r>
    </w:p>
    <w:p>
      <w:pPr>
        <w:spacing w:after="0" w:line="1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platform addresses the communications needs of users worldwide, and we see international expansion as a major opportunity. Our revenue from the rest of world (APAC and EMEA) represented 31% and 19% of our total revenue for the three months ended October 31, 2020 and 2019, respectively, and 30% and 19% of our total revenue for the nine months ended October 31, 2020 and 2019, respectively. We plan to add local sales support in further select international markets over time. We use strategic partners and resellers to sell in certain international markets where we have limited or no direct sales presence. While we believe global demand for our platform will continue to increase as international market awareness of Zoom grows, our ability to conduct our operations internationally will require considerable management attention and resources, and is subject to the particular challenges of supporting a rapidly growing business in an environment of multiple languages, cultures, customs, legal and regulatory systems, alternative dispute systems, and commercial markets.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121"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We review the following key business metrics to measure our performance, identify trends, formulate financial projections, and make strategic decisions.</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Customers with More Than 10 Employees</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Increasing awareness of our platform and its broad range of capabilities has enabled us to substantially expand our customer base, which includes organizations of all sizes across industries. We define a customer as a separate and distinct buying entity, which can be a single paid host or an organization of any size (including a distinct unit of an organization) that has multiple paid hosts. To better distinguish business customers from our broader customer base, we review the number of customers with more than 10 employees. As of October 31, 2020 and 2019, we had approximately 433,700 and 74,100 customers, respectively, with more than 10 employees. When disclosing the number of customers, we round down to the nearest hundred.</w:t>
      </w:r>
    </w:p>
    <w:p>
      <w:pPr>
        <w:spacing w:after="0" w:line="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Since the start of the COVID-19 pandemic early this fiscal year, our customer segment with 10 or fewer employees expanded as individual users adopted Zoom for many personal, professional, and social events. As a result, we have experienced a shift in the makeup of customer cohorts, and a higher percentage of our revenue during the three and nine months ended October 31, 2020, compared to comparable periods in the prior fiscal year, was attributable to customers with 10 or fewer employees.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Customers Contributing More Than $100,000 of Trailing 12 Months Revenue</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focus on growing the number of customers that contribute more than $100,000 of trailing 12 months revenue as a measure of our ability to scale with our customers and attract larger organizations to Zoom. Revenue from these customers represented 18% and 31% of total revenue for the three months ended October 31, 2020 and 2019, respectively, and 20% and 32% of total revenue for the nine months ended October 31, 2020 and 2019, respectively. As of October 31, 2020 and 2019, we had 1,289 and 546 customers, respectively, that contributed more than $100,000 of trailing 12 months revenue, demonstrating our rapid penetration of larger organizations, including enterprises. These customers are a subset of the customers with more than 10 employees.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 addition to our results determined in accordance with GAAP, we believe that free cash flow (“FCF”), a non-GAAP financial measure, is useful in evaluating our liquidity.</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Free Cash Flow</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define FCF as GAAP net cash provided by operating activities less purchases of property and equipment. We believe that FCF is a useful indicator of liquidity that provides information to management and investors about the amount of cash generated from our operations that, after investments in property and equipment, can be used for future growth. FCF is presented for supplemental informational purposes only, has limitations as an analytical tool, and should not be considered in isolation or as a substitute for analysis of other GAAP financial measures, such as net cash provided by operating activities. It is important to note that other companies, including companies in our industry, may not use this metric, may calculate this metric</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differently, or may use other financial measures to evaluate their liquidity, all of which could reduce the usefulness of this non-GAAP metric as a comparative measure.</w:t>
      </w:r>
    </w:p>
    <w:p>
      <w:pPr>
        <w:spacing w:after="0" w:line="54" w:lineRule="exact"/>
        <w:rPr>
          <w:sz w:val="20"/>
          <w:szCs w:val="20"/>
          <w:color w:val="auto"/>
        </w:rPr>
      </w:pPr>
    </w:p>
    <w:p>
      <w:pPr>
        <w:jc w:val="both"/>
        <w:ind w:firstLine="486"/>
        <w:spacing w:after="0" w:line="270" w:lineRule="auto"/>
        <w:rPr>
          <w:sz w:val="20"/>
          <w:szCs w:val="20"/>
          <w:color w:val="auto"/>
        </w:rPr>
      </w:pPr>
      <w:r>
        <w:rPr>
          <w:rFonts w:ascii="Times New Roman" w:cs="Times New Roman" w:eastAsia="Times New Roman" w:hAnsi="Times New Roman"/>
          <w:sz w:val="18"/>
          <w:szCs w:val="18"/>
          <w:color w:val="auto"/>
        </w:rPr>
        <w:t>The following table presents a summary of our cash flows for the periods presented and a reconciliation of FCF to net cash provided by operating activities, the most directly comparable financial measure calculated in accordance with GAAP:</w:t>
      </w:r>
    </w:p>
    <w:tbl>
      <w:tblPr>
        <w:tblLayout w:type="fixed"/>
        <w:tblInd w:w="0" w:type="dxa"/>
        <w:tblCellMar>
          <w:top w:w="0" w:type="dxa"/>
          <w:left w:w="0" w:type="dxa"/>
          <w:bottom w:w="0" w:type="dxa"/>
          <w:right w:w="0" w:type="dxa"/>
        </w:tblCellMar>
      </w:tblPr>
      <w:tr>
        <w:trPr>
          <w:trHeight w:val="195"/>
        </w:trPr>
        <w:tc>
          <w:tcPr>
            <w:tcW w:w="78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4"/>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0" w:type="dxa"/>
            <w:vAlign w:val="bottom"/>
          </w:tcPr>
          <w:p>
            <w:pPr>
              <w:spacing w:after="0"/>
              <w:rPr>
                <w:sz w:val="1"/>
                <w:szCs w:val="1"/>
                <w:color w:val="auto"/>
              </w:rPr>
            </w:pPr>
          </w:p>
        </w:tc>
      </w:tr>
      <w:tr>
        <w:trPr>
          <w:trHeight w:val="188"/>
        </w:trPr>
        <w:tc>
          <w:tcPr>
            <w:tcW w:w="78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18"/>
        </w:trPr>
        <w:tc>
          <w:tcPr>
            <w:tcW w:w="7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2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1,071,781</w:t>
            </w:r>
          </w:p>
        </w:tc>
        <w:tc>
          <w:tcPr>
            <w:tcW w:w="100" w:type="dxa"/>
            <w:vAlign w:val="bottom"/>
            <w:shd w:val="clear" w:color="auto" w:fill="CFF0FC"/>
          </w:tcPr>
          <w:p>
            <w:pPr>
              <w:spacing w:after="0"/>
              <w:rPr>
                <w:sz w:val="20"/>
                <w:szCs w:val="20"/>
                <w:color w:val="auto"/>
              </w:rPr>
            </w:pPr>
          </w:p>
        </w:tc>
        <w:tc>
          <w:tcPr>
            <w:tcW w:w="540" w:type="dxa"/>
            <w:vAlign w:val="bottom"/>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115,338</w:t>
            </w:r>
          </w:p>
        </w:tc>
        <w:tc>
          <w:tcPr>
            <w:tcW w:w="0" w:type="dxa"/>
            <w:vAlign w:val="bottom"/>
          </w:tcPr>
          <w:p>
            <w:pPr>
              <w:spacing w:after="0"/>
              <w:rPr>
                <w:sz w:val="1"/>
                <w:szCs w:val="1"/>
                <w:color w:val="auto"/>
              </w:rPr>
            </w:pPr>
          </w:p>
        </w:tc>
      </w:tr>
      <w:tr>
        <w:trPr>
          <w:trHeight w:val="230"/>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Purchases of property and equipment</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(58,517)</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(28,132)</w:t>
            </w:r>
          </w:p>
        </w:tc>
        <w:tc>
          <w:tcPr>
            <w:tcW w:w="0" w:type="dxa"/>
            <w:vAlign w:val="bottom"/>
          </w:tcPr>
          <w:p>
            <w:pPr>
              <w:spacing w:after="0"/>
              <w:rPr>
                <w:sz w:val="1"/>
                <w:szCs w:val="1"/>
                <w:color w:val="auto"/>
              </w:rPr>
            </w:pPr>
          </w:p>
        </w:tc>
      </w:tr>
      <w:tr>
        <w:trPr>
          <w:trHeight w:val="248"/>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Free cash flow (non-GAAP)</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1,013,264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87,206</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820" w:type="dxa"/>
            <w:vAlign w:val="bottom"/>
            <w:vMerge w:val="continue"/>
          </w:tcPr>
          <w:p>
            <w:pPr>
              <w:spacing w:after="0"/>
              <w:rPr>
                <w:sz w:val="17"/>
                <w:szCs w:val="17"/>
                <w:color w:val="auto"/>
              </w:rPr>
            </w:pPr>
          </w:p>
        </w:tc>
        <w:tc>
          <w:tcPr>
            <w:tcW w:w="380" w:type="dxa"/>
            <w:vAlign w:val="bottom"/>
            <w:tcBorders>
              <w:bottom w:val="single" w:sz="8" w:color="auto"/>
            </w:tcBorders>
          </w:tcPr>
          <w:p>
            <w:pPr>
              <w:jc w:val="right"/>
              <w:ind w:right="1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(673,377)</w:t>
            </w:r>
          </w:p>
        </w:tc>
        <w:tc>
          <w:tcPr>
            <w:tcW w:w="100" w:type="dxa"/>
            <w:vAlign w:val="bottom"/>
          </w:tcPr>
          <w:p>
            <w:pPr>
              <w:spacing w:after="0"/>
              <w:rPr>
                <w:sz w:val="17"/>
                <w:szCs w:val="17"/>
                <w:color w:val="auto"/>
              </w:rPr>
            </w:pPr>
          </w:p>
        </w:tc>
        <w:tc>
          <w:tcPr>
            <w:tcW w:w="540" w:type="dxa"/>
            <w:vAlign w:val="bottom"/>
            <w:tcBorders>
              <w:bottom w:val="single" w:sz="8" w:color="auto"/>
            </w:tcBorders>
          </w:tcPr>
          <w:p>
            <w:pPr>
              <w:jc w:val="right"/>
              <w:ind w:right="3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(496,099)</w:t>
            </w:r>
          </w:p>
        </w:tc>
        <w:tc>
          <w:tcPr>
            <w:tcW w:w="0" w:type="dxa"/>
            <w:vAlign w:val="bottom"/>
          </w:tcPr>
          <w:p>
            <w:pPr>
              <w:spacing w:after="0"/>
              <w:rPr>
                <w:sz w:val="1"/>
                <w:szCs w:val="1"/>
                <w:color w:val="auto"/>
              </w:rPr>
            </w:pPr>
          </w:p>
        </w:tc>
      </w:tr>
      <w:tr>
        <w:trPr>
          <w:trHeight w:val="20"/>
        </w:trPr>
        <w:tc>
          <w:tcPr>
            <w:tcW w:w="78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296,242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596,623</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derive our revenue from subscription agreements with customers for access to our video-first communications platform. Our customers generally do not have the ability to take possession of our software. We also provide services, which include professional services, consulting services, and online event hosting, which are generally considered distinct from the access to our video-first communications platform.</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Cost of revenue primarily consists of costs related to hosting our video-first communications platform and providing general operating support services to our customers. These costs are related to our co-located data centers, third-party cloud hosting, integrated third-party public switched telephone network (“PSTN”) services, personnel-related expenses, amortization of capitalized software development and acquired intangible assets, royalty payments, and allocated overhead. We expect our cost of revenue to increase for the foreseeable future in absolute dollars, as we expand our data center capacity due to increased usage stemming from the COVID-19 pandemic. However, the cost of revenue as a percentage of revenue may decrease over time as we scale our data centers to accommodate usage from our increased customer base and as the ratio of free to paid users varies.</w:t>
      </w:r>
    </w:p>
    <w:p>
      <w:pPr>
        <w:spacing w:after="0" w:line="29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primarily consist of personnel-related expenses directly associated with our research and development organization, depreciation of equipment used in research and development, and allocated overhead. Research and development costs are expensed as incurred. We plan to increase our investment in research and development for the foreseeable future, primarily by increasing research and development headcount, as we focus on further developing our platform, enhancing its use cases, and strengthening security and privacy. As a result, we expect our research and development expenses to increase both in absolute dollars and as a percentage of revenue for the rest of the current fiscal year.</w:t>
      </w:r>
    </w:p>
    <w:p>
      <w:pPr>
        <w:spacing w:after="0" w:line="7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11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Sales and marketing expenses primarily consist of personnel-related expenses directly associated with our sales and marketing organization. Other sales and marketing expenses include advertising and promotional events to promote our brand, such as awareness programs, digital programs, public relations, tradeshows, and our user conference, Zoomtopia, and allocated overhead. Sales and marketing expenses also include amortization of deferred contract acquisition costs and credit card processing fees related to sales. We plan to increase our investment in sales and marketing over the foreseeable future, primarily by increasing the headcount of our direct sales force and marketing investments in demand generation. As a result, we expect our sales and marketing expenses to increase both in absolute dollars and as a percentage of revenue for the rest of the current fiscal year.</w:t>
      </w:r>
    </w:p>
    <w:p>
      <w:pPr>
        <w:spacing w:after="0" w:line="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1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primarily consist of personnel-related expenses associated with our finance, legal, and human resources organizations; professional fees for external legal, accounting, and other consulting services; expected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credit losses; insurance; sales and other taxes; and allocated overhead. We expect to increase the size of our general and administrative function to support the growth and complexity of our business. As a result, we expect our general and administrative expenses to increase both in absolute dollars and as a percentage of revenue for the rest of the current fiscal year.</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and Other, Net</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Interest income and other, net consists primarily of interest income and net accretion earned on our marketable securities as well as remeasurement gains or losses on our equity investment.</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Provision for income taxes consists primarily of income taxes related to foreign and state jurisdictions where we conduct business.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jc w:val="both"/>
        <w:ind w:firstLine="486"/>
        <w:spacing w:after="0" w:line="270" w:lineRule="auto"/>
        <w:rPr>
          <w:sz w:val="20"/>
          <w:szCs w:val="20"/>
          <w:color w:val="auto"/>
        </w:rPr>
      </w:pPr>
      <w:r>
        <w:rPr>
          <w:rFonts w:ascii="Times New Roman" w:cs="Times New Roman" w:eastAsia="Times New Roman" w:hAnsi="Times New Roman"/>
          <w:sz w:val="18"/>
          <w:szCs w:val="18"/>
          <w:color w:val="auto"/>
        </w:rPr>
        <w:t>The following tables set forth selected condensed consolidated statements of operations data and such data as a percentage of revenue for each of the periods indicated:</w:t>
      </w:r>
    </w:p>
    <w:tbl>
      <w:tblPr>
        <w:tblLayout w:type="fixed"/>
        <w:tblInd w:w="0" w:type="dxa"/>
        <w:tblCellMar>
          <w:top w:w="0" w:type="dxa"/>
          <w:left w:w="0" w:type="dxa"/>
          <w:bottom w:w="0" w:type="dxa"/>
          <w:right w:w="0" w:type="dxa"/>
        </w:tblCellMar>
      </w:tblPr>
      <w:tr>
        <w:trPr>
          <w:trHeight w:val="195"/>
        </w:trPr>
        <w:tc>
          <w:tcPr>
            <w:tcW w:w="4400" w:type="dxa"/>
            <w:vAlign w:val="bottom"/>
          </w:tcPr>
          <w:p>
            <w:pPr>
              <w:spacing w:after="0"/>
              <w:rPr>
                <w:sz w:val="16"/>
                <w:szCs w:val="16"/>
                <w:color w:val="auto"/>
              </w:rPr>
            </w:pPr>
          </w:p>
        </w:tc>
        <w:tc>
          <w:tcPr>
            <w:tcW w:w="27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6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0" w:type="dxa"/>
            <w:vAlign w:val="bottom"/>
          </w:tcPr>
          <w:p>
            <w:pPr>
              <w:spacing w:after="0"/>
              <w:rPr>
                <w:sz w:val="1"/>
                <w:szCs w:val="1"/>
                <w:color w:val="auto"/>
              </w:rPr>
            </w:pPr>
          </w:p>
        </w:tc>
      </w:tr>
      <w:tr>
        <w:trPr>
          <w:trHeight w:val="188"/>
        </w:trPr>
        <w:tc>
          <w:tcPr>
            <w:tcW w:w="440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6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6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18"/>
        </w:trPr>
        <w:tc>
          <w:tcPr>
            <w:tcW w:w="4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8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777,196</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166,593</w:t>
            </w: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1,768,883</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434,407</w:t>
            </w:r>
          </w:p>
        </w:tc>
        <w:tc>
          <w:tcPr>
            <w:tcW w:w="0" w:type="dxa"/>
            <w:vAlign w:val="bottom"/>
          </w:tcPr>
          <w:p>
            <w:pPr>
              <w:spacing w:after="0"/>
              <w:rPr>
                <w:sz w:val="1"/>
                <w:szCs w:val="1"/>
                <w:color w:val="auto"/>
              </w:rPr>
            </w:pPr>
          </w:p>
        </w:tc>
      </w:tr>
      <w:tr>
        <w:trPr>
          <w:trHeight w:val="230"/>
        </w:trPr>
        <w:tc>
          <w:tcPr>
            <w:tcW w:w="440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Cost of revenue </w:t>
            </w:r>
            <w:r>
              <w:rPr>
                <w:rFonts w:ascii="Times New Roman" w:cs="Times New Roman" w:eastAsia="Times New Roman" w:hAnsi="Times New Roman"/>
                <w:sz w:val="23"/>
                <w:szCs w:val="23"/>
                <w:color w:val="auto"/>
                <w:vertAlign w:val="superscript"/>
              </w:rPr>
              <w:t>(1)</w:t>
            </w:r>
          </w:p>
        </w:tc>
        <w:tc>
          <w:tcPr>
            <w:tcW w:w="9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258,727</w:t>
            </w: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30,845</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554,705</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82,849</w:t>
            </w:r>
          </w:p>
        </w:tc>
        <w:tc>
          <w:tcPr>
            <w:tcW w:w="0" w:type="dxa"/>
            <w:vAlign w:val="bottom"/>
          </w:tcPr>
          <w:p>
            <w:pPr>
              <w:spacing w:after="0"/>
              <w:rPr>
                <w:sz w:val="1"/>
                <w:szCs w:val="1"/>
                <w:color w:val="auto"/>
              </w:rPr>
            </w:pPr>
          </w:p>
        </w:tc>
      </w:tr>
      <w:tr>
        <w:trPr>
          <w:trHeight w:val="223"/>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9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518,469</w:t>
            </w:r>
          </w:p>
        </w:tc>
        <w:tc>
          <w:tcPr>
            <w:tcW w:w="12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135,748</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1,214,178</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351,558</w:t>
            </w:r>
          </w:p>
        </w:tc>
        <w:tc>
          <w:tcPr>
            <w:tcW w:w="0" w:type="dxa"/>
            <w:vAlign w:val="bottom"/>
          </w:tcPr>
          <w:p>
            <w:pPr>
              <w:spacing w:after="0"/>
              <w:rPr>
                <w:sz w:val="1"/>
                <w:szCs w:val="1"/>
                <w:color w:val="auto"/>
              </w:rPr>
            </w:pPr>
          </w:p>
        </w:tc>
      </w:tr>
      <w:tr>
        <w:trPr>
          <w:trHeight w:val="21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Research and development </w:t>
            </w:r>
            <w:r>
              <w:rPr>
                <w:rFonts w:ascii="Times New Roman" w:cs="Times New Roman" w:eastAsia="Times New Roman" w:hAnsi="Times New Roman"/>
                <w:sz w:val="23"/>
                <w:szCs w:val="23"/>
                <w:color w:val="auto"/>
                <w:vertAlign w:val="superscript"/>
              </w:rPr>
              <w:t>(1)</w:t>
            </w:r>
          </w:p>
        </w:tc>
        <w:tc>
          <w:tcPr>
            <w:tcW w:w="9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42,582</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17,573</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111,705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46,410</w:t>
            </w:r>
          </w:p>
        </w:tc>
        <w:tc>
          <w:tcPr>
            <w:tcW w:w="0" w:type="dxa"/>
            <w:vAlign w:val="bottom"/>
          </w:tcPr>
          <w:p>
            <w:pPr>
              <w:spacing w:after="0"/>
              <w:rPr>
                <w:sz w:val="1"/>
                <w:szCs w:val="1"/>
                <w:color w:val="auto"/>
              </w:rPr>
            </w:pPr>
          </w:p>
        </w:tc>
      </w:tr>
      <w:tr>
        <w:trPr>
          <w:trHeight w:val="229"/>
        </w:trPr>
        <w:tc>
          <w:tcPr>
            <w:tcW w:w="440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Sales and marketing </w:t>
            </w:r>
            <w:r>
              <w:rPr>
                <w:rFonts w:ascii="Times New Roman" w:cs="Times New Roman" w:eastAsia="Times New Roman" w:hAnsi="Times New Roman"/>
                <w:sz w:val="23"/>
                <w:szCs w:val="23"/>
                <w:color w:val="auto"/>
                <w:vertAlign w:val="superscript"/>
              </w:rPr>
              <w:t>(1)</w:t>
            </w:r>
          </w:p>
        </w:tc>
        <w:tc>
          <w:tcPr>
            <w:tcW w:w="9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190,157</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96,048</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470,886</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239,741</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General and administrative </w:t>
            </w:r>
            <w:r>
              <w:rPr>
                <w:rFonts w:ascii="Times New Roman" w:cs="Times New Roman" w:eastAsia="Times New Roman" w:hAnsi="Times New Roman"/>
                <w:sz w:val="23"/>
                <w:szCs w:val="23"/>
                <w:color w:val="auto"/>
                <w:vertAlign w:val="superscript"/>
              </w:rPr>
              <w:t>(1)</w:t>
            </w:r>
          </w:p>
        </w:tc>
        <w:tc>
          <w:tcPr>
            <w:tcW w:w="9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93,488</w:t>
            </w:r>
          </w:p>
        </w:tc>
        <w:tc>
          <w:tcPr>
            <w:tcW w:w="12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23,806</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227,856</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63,264</w:t>
            </w:r>
          </w:p>
        </w:tc>
        <w:tc>
          <w:tcPr>
            <w:tcW w:w="0" w:type="dxa"/>
            <w:vAlign w:val="bottom"/>
          </w:tcPr>
          <w:p>
            <w:pPr>
              <w:spacing w:after="0"/>
              <w:rPr>
                <w:sz w:val="1"/>
                <w:szCs w:val="1"/>
                <w:color w:val="auto"/>
              </w:rPr>
            </w:pPr>
          </w:p>
        </w:tc>
      </w:tr>
      <w:tr>
        <w:trPr>
          <w:trHeight w:val="223"/>
        </w:trPr>
        <w:tc>
          <w:tcPr>
            <w:tcW w:w="440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326,227</w:t>
            </w: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137,427</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810,447</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349,415</w:t>
            </w:r>
          </w:p>
        </w:tc>
        <w:tc>
          <w:tcPr>
            <w:tcW w:w="0" w:type="dxa"/>
            <w:vAlign w:val="bottom"/>
          </w:tcPr>
          <w:p>
            <w:pPr>
              <w:spacing w:after="0"/>
              <w:rPr>
                <w:sz w:val="1"/>
                <w:szCs w:val="1"/>
                <w:color w:val="auto"/>
              </w:rPr>
            </w:pPr>
          </w:p>
        </w:tc>
      </w:tr>
      <w:tr>
        <w:trPr>
          <w:trHeight w:val="223"/>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9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192,242</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403,731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2,143</w:t>
            </w:r>
          </w:p>
        </w:tc>
        <w:tc>
          <w:tcPr>
            <w:tcW w:w="0" w:type="dxa"/>
            <w:vAlign w:val="bottom"/>
          </w:tcPr>
          <w:p>
            <w:pPr>
              <w:spacing w:after="0"/>
              <w:rPr>
                <w:sz w:val="1"/>
                <w:szCs w:val="1"/>
                <w:color w:val="auto"/>
              </w:rPr>
            </w:pPr>
          </w:p>
        </w:tc>
      </w:tr>
      <w:tr>
        <w:trPr>
          <w:trHeight w:val="230"/>
        </w:trPr>
        <w:tc>
          <w:tcPr>
            <w:tcW w:w="4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income and other, net</w:t>
            </w:r>
          </w:p>
        </w:tc>
        <w:tc>
          <w:tcPr>
            <w:tcW w:w="9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4,209</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9,650</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9,674</w:t>
            </w:r>
          </w:p>
        </w:tc>
        <w:tc>
          <w:tcPr>
            <w:tcW w:w="0" w:type="dxa"/>
            <w:vAlign w:val="bottom"/>
          </w:tcPr>
          <w:p>
            <w:pPr>
              <w:spacing w:after="0"/>
              <w:rPr>
                <w:sz w:val="1"/>
                <w:szCs w:val="1"/>
                <w:color w:val="auto"/>
              </w:rPr>
            </w:pPr>
          </w:p>
        </w:tc>
      </w:tr>
      <w:tr>
        <w:trPr>
          <w:trHeight w:val="155"/>
        </w:trPr>
        <w:tc>
          <w:tcPr>
            <w:tcW w:w="440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Net income before (benefit from) provision for income</w:t>
            </w:r>
          </w:p>
        </w:tc>
        <w:tc>
          <w:tcPr>
            <w:tcW w:w="96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194,021</w:t>
            </w: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413,381</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11,817</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taxes</w:t>
            </w:r>
          </w:p>
        </w:tc>
        <w:tc>
          <w:tcPr>
            <w:tcW w:w="96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(Benefit from) provision for income taxes</w:t>
            </w:r>
          </w:p>
        </w:tc>
        <w:tc>
          <w:tcPr>
            <w:tcW w:w="9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(4,621)</w:t>
            </w: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1,675</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1,851</w:t>
            </w:r>
          </w:p>
        </w:tc>
        <w:tc>
          <w:tcPr>
            <w:tcW w:w="0" w:type="dxa"/>
            <w:vAlign w:val="bottom"/>
          </w:tcPr>
          <w:p>
            <w:pPr>
              <w:spacing w:after="0"/>
              <w:rPr>
                <w:sz w:val="1"/>
                <w:szCs w:val="1"/>
                <w:color w:val="auto"/>
              </w:rPr>
            </w:pPr>
          </w:p>
        </w:tc>
      </w:tr>
      <w:tr>
        <w:trPr>
          <w:trHeight w:val="248"/>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tcBorders>
              <w:bottom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198,642</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411,706</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9,966</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ind w:left="200" w:hanging="174"/>
        <w:spacing w:after="0"/>
        <w:tabs>
          <w:tab w:leader="none" w:pos="200"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stock-based compensation expense as follows: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580" w:type="dxa"/>
            <w:vAlign w:val="bottom"/>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11,287</w:t>
            </w: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2,369</w:t>
            </w: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22,263</w:t>
            </w:r>
          </w:p>
        </w:tc>
        <w:tc>
          <w:tcPr>
            <w:tcW w:w="8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5,101</w:t>
            </w:r>
          </w:p>
        </w:tc>
      </w:tr>
      <w:tr>
        <w:trPr>
          <w:trHeight w:val="23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5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16,035</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3,642</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31,269</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7,316</w:t>
            </w:r>
          </w:p>
        </w:tc>
      </w:tr>
      <w:tr>
        <w:trPr>
          <w:trHeight w:val="229"/>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5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46,716</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12,488</w:t>
            </w:r>
          </w:p>
        </w:tc>
        <w:tc>
          <w:tcPr>
            <w:tcW w:w="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96,237</w:t>
            </w:r>
          </w:p>
        </w:tc>
        <w:tc>
          <w:tcPr>
            <w:tcW w:w="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25,554</w:t>
            </w:r>
          </w:p>
        </w:tc>
      </w:tr>
      <w:tr>
        <w:trPr>
          <w:trHeight w:val="230"/>
        </w:trPr>
        <w:tc>
          <w:tcPr>
            <w:tcW w:w="440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19,887</w:t>
            </w:r>
          </w:p>
        </w:tc>
        <w:tc>
          <w:tcPr>
            <w:tcW w:w="12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3,296</w:t>
            </w:r>
          </w:p>
        </w:tc>
        <w:tc>
          <w:tcPr>
            <w:tcW w:w="8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29,788</w:t>
            </w:r>
          </w:p>
        </w:tc>
        <w:tc>
          <w:tcPr>
            <w:tcW w:w="8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8,561</w:t>
            </w:r>
          </w:p>
        </w:tc>
      </w:tr>
      <w:tr>
        <w:trPr>
          <w:trHeight w:val="248"/>
        </w:trPr>
        <w:tc>
          <w:tcPr>
            <w:tcW w:w="440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580" w:type="dxa"/>
            <w:vAlign w:val="bottom"/>
            <w:tcBorders>
              <w:bottom w:val="single" w:sz="8" w:color="auto"/>
            </w:tcBorders>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93,925</w:t>
            </w:r>
          </w:p>
        </w:tc>
        <w:tc>
          <w:tcPr>
            <w:tcW w:w="12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21,795</w:t>
            </w:r>
          </w:p>
        </w:tc>
        <w:tc>
          <w:tcPr>
            <w:tcW w:w="8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179,557</w:t>
            </w:r>
          </w:p>
        </w:tc>
        <w:tc>
          <w:tcPr>
            <w:tcW w:w="8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46,532</w:t>
            </w:r>
          </w:p>
        </w:tc>
      </w:tr>
      <w:tr>
        <w:trPr>
          <w:trHeight w:val="20"/>
        </w:trPr>
        <w:tc>
          <w:tcPr>
            <w:tcW w:w="440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CFF0FC"/>
              <w:bottom w:val="single" w:sz="8" w:color="auto"/>
            </w:tcBorders>
          </w:tcPr>
          <w:p>
            <w:pPr>
              <w:spacing w:after="0" w:line="20" w:lineRule="exact"/>
              <w:rPr>
                <w:sz w:val="1"/>
                <w:szCs w:val="1"/>
                <w:color w:val="auto"/>
              </w:rPr>
            </w:pPr>
          </w:p>
        </w:tc>
        <w:tc>
          <w:tcPr>
            <w:tcW w:w="104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CFF0FC"/>
              <w:bottom w:val="single" w:sz="8" w:color="auto"/>
            </w:tcBorders>
          </w:tcPr>
          <w:p>
            <w:pPr>
              <w:spacing w:after="0" w:line="20" w:lineRule="exact"/>
              <w:rPr>
                <w:sz w:val="1"/>
                <w:szCs w:val="1"/>
                <w:color w:val="auto"/>
              </w:rPr>
            </w:pPr>
          </w:p>
        </w:tc>
        <w:tc>
          <w:tcPr>
            <w:tcW w:w="106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CFF0FC"/>
              <w:bottom w:val="single" w:sz="8" w:color="auto"/>
            </w:tcBorders>
          </w:tcPr>
          <w:p>
            <w:pPr>
              <w:spacing w:after="0" w:line="20" w:lineRule="exact"/>
              <w:rPr>
                <w:sz w:val="1"/>
                <w:szCs w:val="1"/>
                <w:color w:val="auto"/>
              </w:rPr>
            </w:pPr>
          </w:p>
        </w:tc>
        <w:tc>
          <w:tcPr>
            <w:tcW w:w="110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CFF0FC"/>
              <w:bottom w:val="single" w:sz="8" w:color="auto"/>
            </w:tcBorders>
          </w:tcPr>
          <w:p>
            <w:pPr>
              <w:spacing w:after="0" w:line="20" w:lineRule="exact"/>
              <w:rPr>
                <w:sz w:val="1"/>
                <w:szCs w:val="1"/>
                <w:color w:val="auto"/>
              </w:rPr>
            </w:pPr>
          </w:p>
        </w:tc>
        <w:tc>
          <w:tcPr>
            <w:tcW w:w="1040" w:type="dxa"/>
            <w:vAlign w:val="bottom"/>
            <w:tcBorders>
              <w:top w:val="single" w:sz="8" w:color="CFF0FC"/>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160" w:type="dxa"/>
            <w:vAlign w:val="bottom"/>
          </w:tcPr>
          <w:p>
            <w:pPr>
              <w:spacing w:after="0"/>
              <w:rPr>
                <w:sz w:val="16"/>
                <w:szCs w:val="16"/>
                <w:color w:val="auto"/>
              </w:rPr>
            </w:pPr>
          </w:p>
        </w:tc>
        <w:tc>
          <w:tcPr>
            <w:tcW w:w="2900" w:type="dxa"/>
            <w:vAlign w:val="bottom"/>
            <w:tcBorders>
              <w:bottom w:val="single" w:sz="8" w:color="auto"/>
            </w:tcBorders>
            <w:gridSpan w:val="5"/>
          </w:tcPr>
          <w:p>
            <w:pPr>
              <w:ind w:left="70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6"/>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0" w:type="dxa"/>
            <w:vAlign w:val="bottom"/>
          </w:tcPr>
          <w:p>
            <w:pPr>
              <w:spacing w:after="0"/>
              <w:rPr>
                <w:sz w:val="1"/>
                <w:szCs w:val="1"/>
                <w:color w:val="auto"/>
              </w:rPr>
            </w:pPr>
          </w:p>
        </w:tc>
      </w:tr>
      <w:tr>
        <w:trPr>
          <w:trHeight w:val="188"/>
        </w:trPr>
        <w:tc>
          <w:tcPr>
            <w:tcW w:w="4160" w:type="dxa"/>
            <w:vAlign w:val="bottom"/>
          </w:tcPr>
          <w:p>
            <w:pPr>
              <w:spacing w:after="0"/>
              <w:rPr>
                <w:sz w:val="16"/>
                <w:szCs w:val="16"/>
                <w:color w:val="auto"/>
              </w:rPr>
            </w:pPr>
          </w:p>
        </w:tc>
        <w:tc>
          <w:tcPr>
            <w:tcW w:w="108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bottom w:val="single" w:sz="8" w:color="auto"/>
            </w:tcBorders>
            <w:gridSpan w:val="2"/>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20" w:type="dxa"/>
            <w:vAlign w:val="bottom"/>
            <w:gridSpan w:val="10"/>
          </w:tcPr>
          <w:p>
            <w:pPr>
              <w:ind w:left="240"/>
              <w:spacing w:after="0"/>
              <w:rPr>
                <w:sz w:val="20"/>
                <w:szCs w:val="20"/>
                <w:color w:val="auto"/>
              </w:rPr>
            </w:pPr>
            <w:r>
              <w:rPr>
                <w:rFonts w:ascii="Times New Roman" w:cs="Times New Roman" w:eastAsia="Times New Roman" w:hAnsi="Times New Roman"/>
                <w:sz w:val="14"/>
                <w:szCs w:val="14"/>
                <w:b w:val="1"/>
                <w:bCs w:val="1"/>
                <w:color w:val="auto"/>
              </w:rPr>
              <w:t>(as a percentage of revenue)</w:t>
            </w: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29"/>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080" w:type="dxa"/>
            <w:vAlign w:val="bottom"/>
            <w:tcBorders>
              <w:top w:val="single" w:sz="8" w:color="auto"/>
              <w:bottom w:val="single" w:sz="8" w:color="auto"/>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81</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Sales and marketing</w:t>
            </w:r>
          </w:p>
        </w:tc>
        <w:tc>
          <w:tcPr>
            <w:tcW w:w="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6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8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tcPr>
          <w:p>
            <w:pPr>
              <w:spacing w:after="0"/>
              <w:rPr>
                <w:sz w:val="19"/>
                <w:szCs w:val="19"/>
                <w:color w:val="auto"/>
              </w:rPr>
            </w:pPr>
          </w:p>
        </w:tc>
        <w:tc>
          <w:tcPr>
            <w:tcW w:w="66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81</w:t>
            </w:r>
          </w:p>
        </w:tc>
        <w:tc>
          <w:tcPr>
            <w:tcW w:w="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0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income and other, net</w:t>
            </w:r>
          </w:p>
        </w:tc>
        <w:tc>
          <w:tcPr>
            <w:tcW w:w="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416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Net income before (benefit from) provision for income</w:t>
            </w:r>
          </w:p>
        </w:tc>
        <w:tc>
          <w:tcPr>
            <w:tcW w:w="108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vMerge w:val="restart"/>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vMerge w:val="restart"/>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vMerge w:val="restart"/>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taxes</w:t>
            </w:r>
          </w:p>
        </w:tc>
        <w:tc>
          <w:tcPr>
            <w:tcW w:w="6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(Benefit from) provision for income taxes</w:t>
            </w:r>
          </w:p>
        </w:tc>
        <w:tc>
          <w:tcPr>
            <w:tcW w:w="10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October 31, 2020 and 2019</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240" w:type="dxa"/>
            <w:vAlign w:val="bottom"/>
            <w:gridSpan w:val="2"/>
          </w:tcPr>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4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7"/>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12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4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960" w:type="dxa"/>
            <w:vAlign w:val="bottom"/>
            <w:gridSpan w:val="9"/>
          </w:tcPr>
          <w:p>
            <w:pPr>
              <w:ind w:left="5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820" w:type="dxa"/>
            <w:vAlign w:val="bottom"/>
            <w:gridSpan w:val="4"/>
            <w:shd w:val="clear" w:color="auto" w:fill="CFF0FC"/>
          </w:tcPr>
          <w:p>
            <w:pPr>
              <w:jc w:val="right"/>
              <w:ind w:right="288"/>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777,196</w:t>
            </w: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166,593</w:t>
            </w:r>
          </w:p>
        </w:tc>
        <w:tc>
          <w:tcPr>
            <w:tcW w:w="1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231F20"/>
        </w:rPr>
        <w:t>Revenue for the three months ended October 31, 2020 increased by $610.6 million, or 367%, compared to the three months ended October 31, 2019. D</w:t>
      </w:r>
      <w:r>
        <w:rPr>
          <w:rFonts w:ascii="Times New Roman" w:cs="Times New Roman" w:eastAsia="Times New Roman" w:hAnsi="Times New Roman"/>
          <w:sz w:val="18"/>
          <w:szCs w:val="18"/>
          <w:color w:val="000000"/>
        </w:rPr>
        <w:t>ue to the COVID-19 pandemic, t</w:t>
      </w:r>
      <w:r>
        <w:rPr>
          <w:rFonts w:ascii="Times New Roman" w:cs="Times New Roman" w:eastAsia="Times New Roman" w:hAnsi="Times New Roman"/>
          <w:sz w:val="18"/>
          <w:szCs w:val="18"/>
          <w:color w:val="231F20"/>
        </w:rPr>
        <w:t xml:space="preserve">here was </w:t>
      </w:r>
      <w:r>
        <w:rPr>
          <w:rFonts w:ascii="Times New Roman" w:cs="Times New Roman" w:eastAsia="Times New Roman" w:hAnsi="Times New Roman"/>
          <w:sz w:val="18"/>
          <w:szCs w:val="18"/>
          <w:color w:val="000000"/>
        </w:rPr>
        <w:t>an increase in usage of our services, as many organizations around the world started utilizing our platform to</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continue their operations remotely. As a result, the increase in revenue was primarily due to subscription services provided to new customers, which accounted for approximately 81% of the increase, and to subscription services provided to existing customers, which accounted for approximately 19% of the increase.</w:t>
      </w:r>
    </w:p>
    <w:p>
      <w:pPr>
        <w:spacing w:after="0" w:line="1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4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1240" w:type="dxa"/>
            <w:vAlign w:val="bottom"/>
            <w:tcBorders>
              <w:bottom w:val="single" w:sz="8" w:color="auto"/>
            </w:tcBorders>
          </w:tcPr>
          <w:p>
            <w:pPr>
              <w:spacing w:after="0"/>
              <w:rPr>
                <w:sz w:val="16"/>
                <w:szCs w:val="16"/>
                <w:color w:val="auto"/>
              </w:rPr>
            </w:pPr>
          </w:p>
        </w:tc>
      </w:tr>
      <w:tr>
        <w:trPr>
          <w:trHeight w:val="188"/>
        </w:trPr>
        <w:tc>
          <w:tcPr>
            <w:tcW w:w="64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8"/>
        </w:trPr>
        <w:tc>
          <w:tcPr>
            <w:tcW w:w="6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8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5"/>
        </w:trPr>
        <w:tc>
          <w:tcPr>
            <w:tcW w:w="6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258,727</w:t>
            </w:r>
          </w:p>
        </w:tc>
        <w:tc>
          <w:tcPr>
            <w:tcW w:w="800" w:type="dxa"/>
            <w:vAlign w:val="bottom"/>
            <w:gridSpan w:val="3"/>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135"/>
              <w:spacing w:after="0"/>
              <w:rPr>
                <w:sz w:val="20"/>
                <w:szCs w:val="20"/>
                <w:color w:val="auto"/>
              </w:rPr>
            </w:pPr>
            <w:r>
              <w:rPr>
                <w:rFonts w:ascii="Times New Roman" w:cs="Times New Roman" w:eastAsia="Times New Roman" w:hAnsi="Times New Roman"/>
                <w:sz w:val="18"/>
                <w:szCs w:val="18"/>
                <w:color w:val="auto"/>
              </w:rPr>
              <w:t>30,845</w:t>
            </w: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739 %</w:t>
            </w:r>
          </w:p>
        </w:tc>
      </w:tr>
      <w:tr>
        <w:trPr>
          <w:trHeight w:val="229"/>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518,469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135,748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282 %</w:t>
            </w:r>
          </w:p>
        </w:tc>
      </w:tr>
      <w:tr>
        <w:trPr>
          <w:trHeight w:val="230"/>
        </w:trPr>
        <w:tc>
          <w:tcPr>
            <w:tcW w:w="6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3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r>
    </w:tbl>
    <w:p>
      <w:pPr>
        <w:spacing w:after="0" w:line="198"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231F20"/>
        </w:rPr>
        <w:t xml:space="preserve">Cost of revenue for the three months ended October 31, 2020 increased by $227.9 million, or 739%, compared to the three months ended October 31, 2019. In response to the </w:t>
      </w:r>
      <w:r>
        <w:rPr>
          <w:rFonts w:ascii="Times New Roman" w:cs="Times New Roman" w:eastAsia="Times New Roman" w:hAnsi="Times New Roman"/>
          <w:sz w:val="18"/>
          <w:szCs w:val="18"/>
          <w:color w:val="000000"/>
        </w:rPr>
        <w:t>COVID-19 pandemic, we have temporarily removed the 40-minute time limit for meetings with more than two</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endpoints from our free Basic accounts for more than 125,000 K-12 school domains worldwide. We also experienced a significant increase in usage from paid users as more companies started utilizing our platform to allow their employees to work remotely. This increase in usage resulted in </w:t>
      </w:r>
      <w:r>
        <w:rPr>
          <w:rFonts w:ascii="Times New Roman" w:cs="Times New Roman" w:eastAsia="Times New Roman" w:hAnsi="Times New Roman"/>
          <w:sz w:val="18"/>
          <w:szCs w:val="18"/>
          <w:color w:val="231F20"/>
        </w:rPr>
        <w:t>an increase of</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 xml:space="preserve">$200.7 million in costs related to third-party cloud hosting, integrated third-party PSTN services, and our co-located data centers to support the increase in customers and expanded use of our unified communications platform by existing customers. The remaining increase was primarily due to an increase of $18.3 million in personnel-related expenses, which includes a $8.9 million </w:t>
      </w:r>
      <w:r>
        <w:rPr>
          <w:rFonts w:ascii="Times New Roman" w:cs="Times New Roman" w:eastAsia="Times New Roman" w:hAnsi="Times New Roman"/>
          <w:sz w:val="18"/>
          <w:szCs w:val="18"/>
          <w:color w:val="000000"/>
        </w:rPr>
        <w:t>increase in stock-based compensation expense,</w:t>
      </w:r>
      <w:r>
        <w:rPr>
          <w:rFonts w:ascii="Times New Roman" w:cs="Times New Roman" w:eastAsia="Times New Roman" w:hAnsi="Times New Roman"/>
          <w:sz w:val="18"/>
          <w:szCs w:val="18"/>
          <w:color w:val="231F20"/>
        </w:rPr>
        <w:t xml:space="preserve"> mainly driven by additional headcount, </w:t>
      </w:r>
      <w:r>
        <w:rPr>
          <w:rFonts w:ascii="Times New Roman" w:cs="Times New Roman" w:eastAsia="Times New Roman" w:hAnsi="Times New Roman"/>
          <w:sz w:val="18"/>
          <w:szCs w:val="18"/>
          <w:color w:val="000000"/>
        </w:rPr>
        <w:t>and an increase of</w:t>
      </w:r>
      <w:r>
        <w:rPr>
          <w:rFonts w:ascii="Times New Roman" w:cs="Times New Roman" w:eastAsia="Times New Roman" w:hAnsi="Times New Roman"/>
          <w:sz w:val="18"/>
          <w:szCs w:val="18"/>
          <w:color w:val="231F20"/>
        </w:rPr>
        <w:t xml:space="preserve"> $6.1 million </w:t>
      </w:r>
      <w:r>
        <w:rPr>
          <w:rFonts w:ascii="Times New Roman" w:cs="Times New Roman" w:eastAsia="Times New Roman" w:hAnsi="Times New Roman"/>
          <w:sz w:val="18"/>
          <w:szCs w:val="18"/>
          <w:color w:val="000000"/>
        </w:rPr>
        <w:t>in professional services mainly for customer support.</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 xml:space="preserve">Gross margin decreased to 67% for the three months ended </w:t>
      </w:r>
      <w:r>
        <w:rPr>
          <w:rFonts w:ascii="Times New Roman" w:cs="Times New Roman" w:eastAsia="Times New Roman" w:hAnsi="Times New Roman"/>
          <w:sz w:val="18"/>
          <w:szCs w:val="18"/>
          <w:color w:val="231F20"/>
        </w:rPr>
        <w:t>October 31, 2020</w:t>
      </w:r>
      <w:r>
        <w:rPr>
          <w:rFonts w:ascii="Times New Roman" w:cs="Times New Roman" w:eastAsia="Times New Roman" w:hAnsi="Times New Roman"/>
          <w:sz w:val="18"/>
          <w:szCs w:val="18"/>
          <w:color w:val="auto"/>
        </w:rPr>
        <w:t xml:space="preserve"> from 81% for the three months ended </w:t>
      </w:r>
      <w:r>
        <w:rPr>
          <w:rFonts w:ascii="Times New Roman" w:cs="Times New Roman" w:eastAsia="Times New Roman" w:hAnsi="Times New Roman"/>
          <w:sz w:val="18"/>
          <w:szCs w:val="18"/>
          <w:color w:val="231F20"/>
        </w:rPr>
        <w:t>October 31, 2019</w:t>
      </w:r>
      <w:r>
        <w:rPr>
          <w:rFonts w:ascii="Times New Roman" w:cs="Times New Roman" w:eastAsia="Times New Roman" w:hAnsi="Times New Roman"/>
          <w:sz w:val="18"/>
          <w:szCs w:val="18"/>
          <w:color w:val="auto"/>
        </w:rPr>
        <w:t>. The decrease in gross margin was due to higher incremental cost from leveraging third-party cloud hosting providers to meet the significant increase in usage as well as the higher percentage of usage from free users.</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60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6"/>
          </w:tcPr>
          <w:p>
            <w:pPr>
              <w:ind w:left="44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1200" w:type="dxa"/>
            <w:vAlign w:val="bottom"/>
            <w:tcBorders>
              <w:bottom w:val="single" w:sz="8" w:color="auto"/>
            </w:tcBorders>
          </w:tcPr>
          <w:p>
            <w:pPr>
              <w:spacing w:after="0"/>
              <w:rPr>
                <w:sz w:val="16"/>
                <w:szCs w:val="16"/>
                <w:color w:val="auto"/>
              </w:rPr>
            </w:pPr>
          </w:p>
        </w:tc>
      </w:tr>
      <w:tr>
        <w:trPr>
          <w:trHeight w:val="188"/>
        </w:trPr>
        <w:tc>
          <w:tcPr>
            <w:tcW w:w="660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8"/>
        </w:trPr>
        <w:tc>
          <w:tcPr>
            <w:tcW w:w="6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4"/>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40" w:type="dxa"/>
            <w:vAlign w:val="bottom"/>
            <w:shd w:val="clear" w:color="auto" w:fill="CFF0FC"/>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8"/>
                <w:szCs w:val="18"/>
                <w:color w:val="auto"/>
                <w:w w:val="96"/>
              </w:rPr>
              <w:t>42,582</w:t>
            </w:r>
          </w:p>
        </w:tc>
        <w:tc>
          <w:tcPr>
            <w:tcW w:w="100" w:type="dxa"/>
            <w:vAlign w:val="bottom"/>
            <w:shd w:val="clear" w:color="auto" w:fill="CFF0FC"/>
          </w:tcPr>
          <w:p>
            <w:pPr>
              <w:spacing w:after="0"/>
              <w:rPr>
                <w:sz w:val="20"/>
                <w:szCs w:val="20"/>
                <w:color w:val="auto"/>
              </w:rPr>
            </w:pP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17,573</w:t>
            </w:r>
          </w:p>
        </w:tc>
        <w:tc>
          <w:tcPr>
            <w:tcW w:w="1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142 %</w:t>
            </w:r>
          </w:p>
        </w:tc>
      </w:tr>
    </w:tbl>
    <w:p>
      <w:pPr>
        <w:spacing w:after="0" w:line="19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231F20"/>
        </w:rPr>
        <w:t xml:space="preserve">Research and development expense for the three months ended October 31, 2020 increased by $25.0 million, or 142%, compared to the three months ended October 31, 2019. </w:t>
      </w:r>
      <w:r>
        <w:rPr>
          <w:rFonts w:ascii="Times New Roman" w:cs="Times New Roman" w:eastAsia="Times New Roman" w:hAnsi="Times New Roman"/>
          <w:sz w:val="18"/>
          <w:szCs w:val="18"/>
          <w:color w:val="000000"/>
        </w:rPr>
        <w:t>The increase was primarily due to higher personnel-related expenses of</w:t>
      </w:r>
      <w:r>
        <w:rPr>
          <w:rFonts w:ascii="Times New Roman" w:cs="Times New Roman" w:eastAsia="Times New Roman" w:hAnsi="Times New Roman"/>
          <w:sz w:val="18"/>
          <w:szCs w:val="18"/>
          <w:color w:val="231F20"/>
        </w:rPr>
        <w:t xml:space="preserve"> $22.3 million, </w:t>
      </w:r>
      <w:r>
        <w:rPr>
          <w:rFonts w:ascii="Times New Roman" w:cs="Times New Roman" w:eastAsia="Times New Roman" w:hAnsi="Times New Roman"/>
          <w:sz w:val="18"/>
          <w:szCs w:val="18"/>
          <w:color w:val="000000"/>
        </w:rPr>
        <w:t>due to a</w:t>
      </w:r>
      <w:r>
        <w:rPr>
          <w:rFonts w:ascii="Times New Roman" w:cs="Times New Roman" w:eastAsia="Times New Roman" w:hAnsi="Times New Roman"/>
          <w:sz w:val="18"/>
          <w:szCs w:val="18"/>
          <w:color w:val="231F20"/>
        </w:rPr>
        <w:t xml:space="preserve"> $12.4 million </w:t>
      </w:r>
      <w:r>
        <w:rPr>
          <w:rFonts w:ascii="Times New Roman" w:cs="Times New Roman" w:eastAsia="Times New Roman" w:hAnsi="Times New Roman"/>
          <w:sz w:val="18"/>
          <w:szCs w:val="18"/>
          <w:color w:val="000000"/>
        </w:rPr>
        <w:t>increase in stock-based compensation expense, as well as an increase in headcount</w:t>
      </w:r>
      <w:r>
        <w:rPr>
          <w:rFonts w:ascii="Times New Roman" w:cs="Times New Roman" w:eastAsia="Times New Roman" w:hAnsi="Times New Roman"/>
          <w:sz w:val="18"/>
          <w:szCs w:val="18"/>
          <w:color w:val="231F20"/>
        </w:rPr>
        <w:t>.</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6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6"/>
          </w:tcPr>
          <w:p>
            <w:pPr>
              <w:ind w:left="94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1200" w:type="dxa"/>
            <w:vAlign w:val="bottom"/>
            <w:tcBorders>
              <w:bottom w:val="single" w:sz="8" w:color="auto"/>
            </w:tcBorders>
          </w:tcPr>
          <w:p>
            <w:pPr>
              <w:spacing w:after="0"/>
              <w:rPr>
                <w:sz w:val="16"/>
                <w:szCs w:val="16"/>
                <w:color w:val="auto"/>
              </w:rPr>
            </w:pPr>
          </w:p>
        </w:tc>
      </w:tr>
      <w:tr>
        <w:trPr>
          <w:trHeight w:val="188"/>
        </w:trPr>
        <w:tc>
          <w:tcPr>
            <w:tcW w:w="66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8"/>
        </w:trPr>
        <w:tc>
          <w:tcPr>
            <w:tcW w:w="6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4"/>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8"/>
                <w:szCs w:val="18"/>
                <w:color w:val="auto"/>
              </w:rPr>
              <w:t>190,157</w:t>
            </w:r>
          </w:p>
        </w:tc>
        <w:tc>
          <w:tcPr>
            <w:tcW w:w="100" w:type="dxa"/>
            <w:vAlign w:val="bottom"/>
            <w:shd w:val="clear" w:color="auto" w:fill="CFF0FC"/>
          </w:tcPr>
          <w:p>
            <w:pPr>
              <w:spacing w:after="0"/>
              <w:rPr>
                <w:sz w:val="20"/>
                <w:szCs w:val="20"/>
                <w:color w:val="auto"/>
              </w:rPr>
            </w:pP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96,048</w:t>
            </w:r>
          </w:p>
        </w:tc>
        <w:tc>
          <w:tcPr>
            <w:tcW w:w="1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98 %</w:t>
            </w:r>
          </w:p>
        </w:tc>
      </w:tr>
    </w:tbl>
    <w:p>
      <w:pPr>
        <w:spacing w:after="0" w:line="198"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231F20"/>
        </w:rPr>
        <w:t xml:space="preserve">Sales and marketing expense for the three months ended October 31, 2020 increased by $94.1 million, or 98%, compared to the three months ended October 31, 2019. The increase in sales and marketing expense was primarily due to higher personnel-related expenses of $81.8 million, mainly driven by additional headcount in our sales force to support the increased demand, which includes a $34.2 million </w:t>
      </w:r>
      <w:r>
        <w:rPr>
          <w:rFonts w:ascii="Times New Roman" w:cs="Times New Roman" w:eastAsia="Times New Roman" w:hAnsi="Times New Roman"/>
          <w:sz w:val="18"/>
          <w:szCs w:val="18"/>
          <w:color w:val="000000"/>
        </w:rPr>
        <w:t>increase in stock-based compensation expense and</w:t>
      </w:r>
      <w:r>
        <w:rPr>
          <w:rFonts w:ascii="Times New Roman" w:cs="Times New Roman" w:eastAsia="Times New Roman" w:hAnsi="Times New Roman"/>
          <w:sz w:val="18"/>
          <w:szCs w:val="18"/>
          <w:color w:val="231F20"/>
        </w:rPr>
        <w:t xml:space="preserve"> a $20.6 million increase in amortization of deferred contract acquisition costs driven by our increase in revenue. </w:t>
      </w:r>
      <w:r>
        <w:rPr>
          <w:rFonts w:ascii="Times New Roman" w:cs="Times New Roman" w:eastAsia="Times New Roman" w:hAnsi="Times New Roman"/>
          <w:sz w:val="18"/>
          <w:szCs w:val="18"/>
          <w:color w:val="000000"/>
        </w:rPr>
        <w:t>The remaining increase was primarily due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to </w:t>
      </w:r>
      <w:r>
        <w:rPr>
          <w:rFonts w:ascii="Times New Roman" w:cs="Times New Roman" w:eastAsia="Times New Roman" w:hAnsi="Times New Roman"/>
          <w:sz w:val="18"/>
          <w:szCs w:val="18"/>
          <w:color w:val="231F20"/>
        </w:rPr>
        <w:t>an increase in credit card processing fees of $18.4 million as a result of increased online payments, and an increase of $2.6 million in professional</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services primarily to support the increase in sales, partially offset by a decrease in marketing and sales event-related costs of $9.1 million mainly due to a decrease in trade shows and awareness programs due to travel and other restrictions as well as increased global brand awareness resulting from the COVID-19 pandemic.</w:t>
      </w:r>
    </w:p>
    <w:p>
      <w:pPr>
        <w:spacing w:after="0" w:line="19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60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6"/>
          </w:tcPr>
          <w:p>
            <w:pPr>
              <w:ind w:left="44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1200" w:type="dxa"/>
            <w:vAlign w:val="bottom"/>
            <w:tcBorders>
              <w:bottom w:val="single" w:sz="8" w:color="auto"/>
            </w:tcBorders>
          </w:tcPr>
          <w:p>
            <w:pPr>
              <w:spacing w:after="0"/>
              <w:rPr>
                <w:sz w:val="16"/>
                <w:szCs w:val="16"/>
                <w:color w:val="auto"/>
              </w:rPr>
            </w:pPr>
          </w:p>
        </w:tc>
      </w:tr>
      <w:tr>
        <w:trPr>
          <w:trHeight w:val="188"/>
        </w:trPr>
        <w:tc>
          <w:tcPr>
            <w:tcW w:w="660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8"/>
        </w:trPr>
        <w:tc>
          <w:tcPr>
            <w:tcW w:w="6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4"/>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40" w:type="dxa"/>
            <w:vAlign w:val="bottom"/>
            <w:shd w:val="clear" w:color="auto" w:fill="CFF0FC"/>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8"/>
                <w:szCs w:val="18"/>
                <w:color w:val="auto"/>
                <w:w w:val="96"/>
              </w:rPr>
              <w:t>93,488</w:t>
            </w:r>
          </w:p>
        </w:tc>
        <w:tc>
          <w:tcPr>
            <w:tcW w:w="100" w:type="dxa"/>
            <w:vAlign w:val="bottom"/>
            <w:shd w:val="clear" w:color="auto" w:fill="CFF0FC"/>
          </w:tcPr>
          <w:p>
            <w:pPr>
              <w:spacing w:after="0"/>
              <w:rPr>
                <w:sz w:val="20"/>
                <w:szCs w:val="20"/>
                <w:color w:val="auto"/>
              </w:rPr>
            </w:pP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23,806</w:t>
            </w:r>
          </w:p>
        </w:tc>
        <w:tc>
          <w:tcPr>
            <w:tcW w:w="1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293 %</w:t>
            </w:r>
          </w:p>
        </w:tc>
      </w:tr>
    </w:tbl>
    <w:p>
      <w:pPr>
        <w:spacing w:after="0" w:line="19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231F20"/>
        </w:rPr>
        <w:t xml:space="preserve">General and administrative expense for the three months ended October 31, 2020 increased by $69.7 million, or 293%, compared to the three months ended October 31, 2019. The increase in general and administrative expense was primarily </w:t>
      </w:r>
      <w:r>
        <w:rPr>
          <w:rFonts w:ascii="Times New Roman" w:cs="Times New Roman" w:eastAsia="Times New Roman" w:hAnsi="Times New Roman"/>
          <w:sz w:val="18"/>
          <w:szCs w:val="18"/>
          <w:color w:val="000000"/>
        </w:rPr>
        <w:t>due to an increase of</w:t>
      </w:r>
      <w:r>
        <w:rPr>
          <w:rFonts w:ascii="Times New Roman" w:cs="Times New Roman" w:eastAsia="Times New Roman" w:hAnsi="Times New Roman"/>
          <w:sz w:val="18"/>
          <w:szCs w:val="18"/>
          <w:color w:val="231F20"/>
        </w:rPr>
        <w:t xml:space="preserve"> $28.0 million </w:t>
      </w:r>
      <w:r>
        <w:rPr>
          <w:rFonts w:ascii="Times New Roman" w:cs="Times New Roman" w:eastAsia="Times New Roman" w:hAnsi="Times New Roman"/>
          <w:sz w:val="18"/>
          <w:szCs w:val="18"/>
          <w:color w:val="000000"/>
        </w:rPr>
        <w:t>in personnel-related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expenses, which includes a </w:t>
      </w:r>
      <w:r>
        <w:rPr>
          <w:rFonts w:ascii="Times New Roman" w:cs="Times New Roman" w:eastAsia="Times New Roman" w:hAnsi="Times New Roman"/>
          <w:sz w:val="18"/>
          <w:szCs w:val="18"/>
          <w:color w:val="231F20"/>
        </w:rPr>
        <w:t>$16.6 million</w:t>
      </w:r>
      <w:r>
        <w:rPr>
          <w:rFonts w:ascii="Times New Roman" w:cs="Times New Roman" w:eastAsia="Times New Roman" w:hAnsi="Times New Roman"/>
          <w:sz w:val="18"/>
          <w:szCs w:val="18"/>
          <w:color w:val="000000"/>
        </w:rPr>
        <w:t xml:space="preserve"> increase in stock-based compensation expense, mainly driven by additional headcount, an increase of </w:t>
      </w:r>
      <w:r>
        <w:rPr>
          <w:rFonts w:ascii="Times New Roman" w:cs="Times New Roman" w:eastAsia="Times New Roman" w:hAnsi="Times New Roman"/>
          <w:sz w:val="18"/>
          <w:szCs w:val="18"/>
          <w:color w:val="231F20"/>
        </w:rPr>
        <w:t xml:space="preserve">$23.7 million </w:t>
      </w:r>
      <w:r>
        <w:rPr>
          <w:rFonts w:ascii="Times New Roman" w:cs="Times New Roman" w:eastAsia="Times New Roman" w:hAnsi="Times New Roman"/>
          <w:sz w:val="18"/>
          <w:szCs w:val="18"/>
          <w:color w:val="000000"/>
        </w:rPr>
        <w:t>in professional services consisting primarily of legal and other professional service fees</w:t>
      </w:r>
      <w:r>
        <w:rPr>
          <w:rFonts w:ascii="Times New Roman" w:cs="Times New Roman" w:eastAsia="Times New Roman" w:hAnsi="Times New Roman"/>
          <w:sz w:val="18"/>
          <w:szCs w:val="18"/>
          <w:color w:val="231F20"/>
        </w:rPr>
        <w:t>, an increase of $10.6 million related to a contingent liability for sales and other indirect tax, and an increase of $7.6 million related to subscription to software-based services.</w:t>
      </w:r>
    </w:p>
    <w:p>
      <w:pPr>
        <w:spacing w:after="0" w:line="1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and Other, Net</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6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6"/>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1200" w:type="dxa"/>
            <w:vAlign w:val="bottom"/>
            <w:tcBorders>
              <w:bottom w:val="single" w:sz="8" w:color="auto"/>
            </w:tcBorders>
          </w:tcPr>
          <w:p>
            <w:pPr>
              <w:spacing w:after="0"/>
              <w:rPr>
                <w:sz w:val="16"/>
                <w:szCs w:val="16"/>
                <w:color w:val="auto"/>
              </w:rPr>
            </w:pPr>
          </w:p>
        </w:tc>
      </w:tr>
      <w:tr>
        <w:trPr>
          <w:trHeight w:val="187"/>
        </w:trPr>
        <w:tc>
          <w:tcPr>
            <w:tcW w:w="660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8"/>
        </w:trPr>
        <w:tc>
          <w:tcPr>
            <w:tcW w:w="6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0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4"/>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income and other, net</w:t>
            </w:r>
          </w:p>
        </w:tc>
        <w:tc>
          <w:tcPr>
            <w:tcW w:w="900" w:type="dxa"/>
            <w:vAlign w:val="bottom"/>
            <w:shd w:val="clear" w:color="auto" w:fill="CFF0FC"/>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8"/>
                <w:szCs w:val="18"/>
                <w:color w:val="auto"/>
              </w:rPr>
              <w:t>1,779</w:t>
            </w:r>
          </w:p>
        </w:tc>
        <w:tc>
          <w:tcPr>
            <w:tcW w:w="100" w:type="dxa"/>
            <w:vAlign w:val="bottom"/>
            <w:shd w:val="clear" w:color="auto" w:fill="CFF0FC"/>
          </w:tcPr>
          <w:p>
            <w:pPr>
              <w:spacing w:after="0"/>
              <w:rPr>
                <w:sz w:val="20"/>
                <w:szCs w:val="20"/>
                <w:color w:val="auto"/>
              </w:rPr>
            </w:pP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4,209</w:t>
            </w:r>
          </w:p>
        </w:tc>
        <w:tc>
          <w:tcPr>
            <w:tcW w:w="1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r>
    </w:tbl>
    <w:p>
      <w:pPr>
        <w:spacing w:after="0" w:line="19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231F20"/>
        </w:rPr>
        <w:t>Interest income and other, net for the three months ended October 31, 2020 decreased by $2.4 million, or 58%, compared to the three months ended October 31, 2019. The decrease was primarily due to a decrease of $2.5 million in net accretion on our investments in marketable securities due to lower market rates.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(Benefit from) Provision for Income Taxes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62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6"/>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1200" w:type="dxa"/>
            <w:vAlign w:val="bottom"/>
            <w:tcBorders>
              <w:bottom w:val="single" w:sz="8" w:color="auto"/>
            </w:tcBorders>
          </w:tcPr>
          <w:p>
            <w:pPr>
              <w:spacing w:after="0"/>
              <w:rPr>
                <w:sz w:val="16"/>
                <w:szCs w:val="16"/>
                <w:color w:val="auto"/>
              </w:rPr>
            </w:pPr>
          </w:p>
        </w:tc>
      </w:tr>
      <w:tr>
        <w:trPr>
          <w:trHeight w:val="188"/>
        </w:trPr>
        <w:tc>
          <w:tcPr>
            <w:tcW w:w="662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8"/>
        </w:trPr>
        <w:tc>
          <w:tcPr>
            <w:tcW w:w="6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4"/>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(Benefit from) provision for income taxes</w:t>
            </w:r>
          </w:p>
        </w:tc>
        <w:tc>
          <w:tcPr>
            <w:tcW w:w="860" w:type="dxa"/>
            <w:vAlign w:val="bottom"/>
            <w:shd w:val="clear" w:color="auto" w:fill="CFF0FC"/>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(4,621)</w:t>
            </w:r>
          </w:p>
        </w:tc>
        <w:tc>
          <w:tcPr>
            <w:tcW w:w="100" w:type="dxa"/>
            <w:vAlign w:val="bottom"/>
            <w:shd w:val="clear" w:color="auto" w:fill="CFF0FC"/>
          </w:tcPr>
          <w:p>
            <w:pPr>
              <w:spacing w:after="0"/>
              <w:rPr>
                <w:sz w:val="20"/>
                <w:szCs w:val="20"/>
                <w:color w:val="auto"/>
              </w:rPr>
            </w:pPr>
          </w:p>
        </w:tc>
        <w:tc>
          <w:tcPr>
            <w:tcW w:w="48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(1,549)%</w:t>
            </w:r>
          </w:p>
        </w:tc>
      </w:tr>
    </w:tbl>
    <w:p>
      <w:pPr>
        <w:spacing w:after="0" w:line="19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We had a benefit from income taxes of $4.6 million for the three months ended October 31, 2020, compared to a provision for income taxes of $0.3 million for the three months ended October 31, 2019. The change was </w:t>
      </w:r>
      <w:r>
        <w:rPr>
          <w:rFonts w:ascii="Times New Roman" w:cs="Times New Roman" w:eastAsia="Times New Roman" w:hAnsi="Times New Roman"/>
          <w:sz w:val="18"/>
          <w:szCs w:val="18"/>
          <w:color w:val="231F20"/>
        </w:rPr>
        <w:t>primarily due to a decrease in the effective tax rate attributable to foreign operations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and increased stock-based compensation deductions. Our calculation of income tax expense is dependent in part on forecasts of full-year results. The impact of the COVID-19 pandemic could create a level of variability to these forecasts, which could materially impact tax expense.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October 31, 2020 and 2019</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6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6"/>
          </w:tcPr>
          <w:p>
            <w:pPr>
              <w:ind w:left="980"/>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1220" w:type="dxa"/>
            <w:vAlign w:val="bottom"/>
            <w:tcBorders>
              <w:bottom w:val="single" w:sz="8" w:color="auto"/>
            </w:tcBorders>
          </w:tcPr>
          <w:p>
            <w:pPr>
              <w:spacing w:after="0"/>
              <w:rPr>
                <w:sz w:val="16"/>
                <w:szCs w:val="16"/>
                <w:color w:val="auto"/>
              </w:rPr>
            </w:pPr>
          </w:p>
        </w:tc>
      </w:tr>
      <w:tr>
        <w:trPr>
          <w:trHeight w:val="188"/>
        </w:trPr>
        <w:tc>
          <w:tcPr>
            <w:tcW w:w="66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8"/>
        </w:trPr>
        <w:tc>
          <w:tcPr>
            <w:tcW w:w="6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4"/>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8"/>
                <w:szCs w:val="18"/>
                <w:color w:val="auto"/>
              </w:rPr>
              <w:t>1,768,883</w:t>
            </w:r>
          </w:p>
        </w:tc>
        <w:tc>
          <w:tcPr>
            <w:tcW w:w="100" w:type="dxa"/>
            <w:vAlign w:val="bottom"/>
            <w:shd w:val="clear" w:color="auto" w:fill="CFF0FC"/>
          </w:tcPr>
          <w:p>
            <w:pPr>
              <w:spacing w:after="0"/>
              <w:rPr>
                <w:sz w:val="20"/>
                <w:szCs w:val="20"/>
                <w:color w:val="auto"/>
              </w:rPr>
            </w:pP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434,407</w:t>
            </w:r>
          </w:p>
        </w:tc>
        <w:tc>
          <w:tcPr>
            <w:tcW w:w="1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307 %</w:t>
            </w:r>
          </w:p>
        </w:tc>
      </w:tr>
    </w:tbl>
    <w:p>
      <w:pPr>
        <w:spacing w:after="0" w:line="19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231F20"/>
        </w:rPr>
        <w:t>Revenue for the nine months ended October 31, 2020 increased by $1,334.5 million, or 307%, compared to the nine months ended October 31, 2019. D</w:t>
      </w:r>
      <w:r>
        <w:rPr>
          <w:rFonts w:ascii="Times New Roman" w:cs="Times New Roman" w:eastAsia="Times New Roman" w:hAnsi="Times New Roman"/>
          <w:sz w:val="18"/>
          <w:szCs w:val="18"/>
          <w:color w:val="000000"/>
        </w:rPr>
        <w:t>ue to the COVID-19 pandemic, t</w:t>
      </w:r>
      <w:r>
        <w:rPr>
          <w:rFonts w:ascii="Times New Roman" w:cs="Times New Roman" w:eastAsia="Times New Roman" w:hAnsi="Times New Roman"/>
          <w:sz w:val="18"/>
          <w:szCs w:val="18"/>
          <w:color w:val="231F20"/>
        </w:rPr>
        <w:t xml:space="preserve">here was </w:t>
      </w:r>
      <w:r>
        <w:rPr>
          <w:rFonts w:ascii="Times New Roman" w:cs="Times New Roman" w:eastAsia="Times New Roman" w:hAnsi="Times New Roman"/>
          <w:sz w:val="18"/>
          <w:szCs w:val="18"/>
          <w:color w:val="000000"/>
        </w:rPr>
        <w:t>an increase in usage of our services, as many organizations around the world started utilizing our platform to</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continue their operations remotely. As a result, the increase in revenue was primarily due to subscription services provided to new customers, which accounted for approximately 75% of the increase, and to subscription services provided to existing customers, which accounted for approximately 25% of the increase.</w:t>
      </w:r>
    </w:p>
    <w:p>
      <w:pPr>
        <w:spacing w:after="0" w:line="1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3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1260" w:type="dxa"/>
            <w:vAlign w:val="bottom"/>
            <w:tcBorders>
              <w:bottom w:val="single" w:sz="8" w:color="auto"/>
            </w:tcBorders>
          </w:tcPr>
          <w:p>
            <w:pPr>
              <w:spacing w:after="0"/>
              <w:rPr>
                <w:sz w:val="16"/>
                <w:szCs w:val="16"/>
                <w:color w:val="auto"/>
              </w:rPr>
            </w:pPr>
          </w:p>
        </w:tc>
      </w:tr>
      <w:tr>
        <w:trPr>
          <w:trHeight w:val="188"/>
        </w:trPr>
        <w:tc>
          <w:tcPr>
            <w:tcW w:w="63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8"/>
        </w:trPr>
        <w:tc>
          <w:tcPr>
            <w:tcW w:w="6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4"/>
        </w:trPr>
        <w:tc>
          <w:tcPr>
            <w:tcW w:w="6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554,705</w:t>
            </w:r>
          </w:p>
        </w:tc>
        <w:tc>
          <w:tcPr>
            <w:tcW w:w="780" w:type="dxa"/>
            <w:vAlign w:val="bottom"/>
            <w:gridSpan w:val="3"/>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135"/>
              <w:spacing w:after="0"/>
              <w:rPr>
                <w:sz w:val="20"/>
                <w:szCs w:val="20"/>
                <w:color w:val="auto"/>
              </w:rPr>
            </w:pPr>
            <w:r>
              <w:rPr>
                <w:rFonts w:ascii="Times New Roman" w:cs="Times New Roman" w:eastAsia="Times New Roman" w:hAnsi="Times New Roman"/>
                <w:sz w:val="18"/>
                <w:szCs w:val="18"/>
                <w:color w:val="auto"/>
              </w:rPr>
              <w:t>82,849</w:t>
            </w: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570 %</w:t>
            </w:r>
          </w:p>
        </w:tc>
      </w:tr>
      <w:tr>
        <w:trPr>
          <w:trHeight w:val="230"/>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1,214,178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351,558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245 %</w:t>
            </w:r>
          </w:p>
        </w:tc>
      </w:tr>
      <w:tr>
        <w:trPr>
          <w:trHeight w:val="230"/>
        </w:trPr>
        <w:tc>
          <w:tcPr>
            <w:tcW w:w="6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3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r>
    </w:tbl>
    <w:p>
      <w:pPr>
        <w:spacing w:after="0" w:line="198"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231F20"/>
        </w:rPr>
        <w:t>Cost of revenue for the nine months ended October 31, 2020 increased by $471.9 million, or 570%, compared to the nine months ended October 31, 2019. D</w:t>
      </w:r>
      <w:r>
        <w:rPr>
          <w:rFonts w:ascii="Times New Roman" w:cs="Times New Roman" w:eastAsia="Times New Roman" w:hAnsi="Times New Roman"/>
          <w:sz w:val="18"/>
          <w:szCs w:val="18"/>
          <w:color w:val="000000"/>
        </w:rPr>
        <w:t>ue to the COVID-19 pandemic, t</w:t>
      </w:r>
      <w:r>
        <w:rPr>
          <w:rFonts w:ascii="Times New Roman" w:cs="Times New Roman" w:eastAsia="Times New Roman" w:hAnsi="Times New Roman"/>
          <w:sz w:val="18"/>
          <w:szCs w:val="18"/>
          <w:color w:val="231F20"/>
        </w:rPr>
        <w:t xml:space="preserve">here was </w:t>
      </w:r>
      <w:r>
        <w:rPr>
          <w:rFonts w:ascii="Times New Roman" w:cs="Times New Roman" w:eastAsia="Times New Roman" w:hAnsi="Times New Roman"/>
          <w:sz w:val="18"/>
          <w:szCs w:val="18"/>
          <w:color w:val="000000"/>
        </w:rPr>
        <w:t>an increase in usage of our services as many organizations around the world started utilizing our platform</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to continue their operations remotely. This increase in usage resulted in </w:t>
      </w:r>
      <w:r>
        <w:rPr>
          <w:rFonts w:ascii="Times New Roman" w:cs="Times New Roman" w:eastAsia="Times New Roman" w:hAnsi="Times New Roman"/>
          <w:sz w:val="18"/>
          <w:szCs w:val="18"/>
          <w:color w:val="231F20"/>
        </w:rPr>
        <w:t>an increase of $418.4 million in costs related to third-party cloud hosting, integrated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 xml:space="preserve">third-party PSTN services, and our co-located data centers to support the increase in customers and expanded use of our unified communications platform by existing customers. The remaining increase was primarily due to an increase of $37.4 million in personnel-related expenses, which includes a $17.2 million </w:t>
      </w:r>
      <w:r>
        <w:rPr>
          <w:rFonts w:ascii="Times New Roman" w:cs="Times New Roman" w:eastAsia="Times New Roman" w:hAnsi="Times New Roman"/>
          <w:sz w:val="18"/>
          <w:szCs w:val="18"/>
          <w:color w:val="000000"/>
        </w:rPr>
        <w:t>increase in stock-based compensation expense,</w:t>
      </w:r>
      <w:r>
        <w:rPr>
          <w:rFonts w:ascii="Times New Roman" w:cs="Times New Roman" w:eastAsia="Times New Roman" w:hAnsi="Times New Roman"/>
          <w:sz w:val="18"/>
          <w:szCs w:val="18"/>
          <w:color w:val="231F20"/>
        </w:rPr>
        <w:t xml:space="preserve"> mainly driven by additional headcount, </w:t>
      </w:r>
      <w:r>
        <w:rPr>
          <w:rFonts w:ascii="Times New Roman" w:cs="Times New Roman" w:eastAsia="Times New Roman" w:hAnsi="Times New Roman"/>
          <w:sz w:val="18"/>
          <w:szCs w:val="18"/>
          <w:color w:val="000000"/>
        </w:rPr>
        <w:t>and an increase of</w:t>
      </w:r>
      <w:r>
        <w:rPr>
          <w:rFonts w:ascii="Times New Roman" w:cs="Times New Roman" w:eastAsia="Times New Roman" w:hAnsi="Times New Roman"/>
          <w:sz w:val="18"/>
          <w:szCs w:val="18"/>
          <w:color w:val="231F20"/>
        </w:rPr>
        <w:t xml:space="preserve"> $11.4 million in professional services driven by an increase in outsourced technical support due to growth in customer base.</w:t>
      </w:r>
    </w:p>
    <w:p>
      <w:pPr>
        <w:spacing w:after="0" w:line="8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 xml:space="preserve">Gross margin decreased to 69% for the </w:t>
      </w:r>
      <w:r>
        <w:rPr>
          <w:rFonts w:ascii="Times New Roman" w:cs="Times New Roman" w:eastAsia="Times New Roman" w:hAnsi="Times New Roman"/>
          <w:sz w:val="18"/>
          <w:szCs w:val="18"/>
          <w:color w:val="231F20"/>
        </w:rPr>
        <w:t>nine</w:t>
      </w:r>
      <w:r>
        <w:rPr>
          <w:rFonts w:ascii="Times New Roman" w:cs="Times New Roman" w:eastAsia="Times New Roman" w:hAnsi="Times New Roman"/>
          <w:sz w:val="18"/>
          <w:szCs w:val="18"/>
          <w:color w:val="auto"/>
        </w:rPr>
        <w:t xml:space="preserve"> months ended </w:t>
      </w:r>
      <w:r>
        <w:rPr>
          <w:rFonts w:ascii="Times New Roman" w:cs="Times New Roman" w:eastAsia="Times New Roman" w:hAnsi="Times New Roman"/>
          <w:sz w:val="18"/>
          <w:szCs w:val="18"/>
          <w:color w:val="231F20"/>
        </w:rPr>
        <w:t>October 31, 2020</w:t>
      </w:r>
      <w:r>
        <w:rPr>
          <w:rFonts w:ascii="Times New Roman" w:cs="Times New Roman" w:eastAsia="Times New Roman" w:hAnsi="Times New Roman"/>
          <w:sz w:val="18"/>
          <w:szCs w:val="18"/>
          <w:color w:val="auto"/>
        </w:rPr>
        <w:t xml:space="preserve"> from 81% for the </w:t>
      </w:r>
      <w:r>
        <w:rPr>
          <w:rFonts w:ascii="Times New Roman" w:cs="Times New Roman" w:eastAsia="Times New Roman" w:hAnsi="Times New Roman"/>
          <w:sz w:val="18"/>
          <w:szCs w:val="18"/>
          <w:color w:val="231F20"/>
        </w:rPr>
        <w:t>nine</w:t>
      </w:r>
      <w:r>
        <w:rPr>
          <w:rFonts w:ascii="Times New Roman" w:cs="Times New Roman" w:eastAsia="Times New Roman" w:hAnsi="Times New Roman"/>
          <w:sz w:val="18"/>
          <w:szCs w:val="18"/>
          <w:color w:val="auto"/>
        </w:rPr>
        <w:t xml:space="preserve"> months ended </w:t>
      </w:r>
      <w:r>
        <w:rPr>
          <w:rFonts w:ascii="Times New Roman" w:cs="Times New Roman" w:eastAsia="Times New Roman" w:hAnsi="Times New Roman"/>
          <w:sz w:val="18"/>
          <w:szCs w:val="18"/>
          <w:color w:val="231F20"/>
        </w:rPr>
        <w:t>October 31, 2019</w:t>
      </w:r>
      <w:r>
        <w:rPr>
          <w:rFonts w:ascii="Times New Roman" w:cs="Times New Roman" w:eastAsia="Times New Roman" w:hAnsi="Times New Roman"/>
          <w:sz w:val="18"/>
          <w:szCs w:val="18"/>
          <w:color w:val="auto"/>
        </w:rPr>
        <w:t>. The decrease in gross margin was due to higher incremental cost from leveraging third-party cloud hosting providers to meet the significant increase in usage as well as the higher percentage of usage from free users.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6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6"/>
          </w:tcPr>
          <w:p>
            <w:pPr>
              <w:ind w:left="980"/>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1220" w:type="dxa"/>
            <w:vAlign w:val="bottom"/>
            <w:tcBorders>
              <w:bottom w:val="single" w:sz="8" w:color="auto"/>
            </w:tcBorders>
          </w:tcPr>
          <w:p>
            <w:pPr>
              <w:spacing w:after="0"/>
              <w:rPr>
                <w:sz w:val="16"/>
                <w:szCs w:val="16"/>
                <w:color w:val="auto"/>
              </w:rPr>
            </w:pPr>
          </w:p>
        </w:tc>
      </w:tr>
      <w:tr>
        <w:trPr>
          <w:trHeight w:val="188"/>
        </w:trPr>
        <w:tc>
          <w:tcPr>
            <w:tcW w:w="66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8"/>
        </w:trPr>
        <w:tc>
          <w:tcPr>
            <w:tcW w:w="6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5"/>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8"/>
                <w:szCs w:val="18"/>
                <w:color w:val="auto"/>
              </w:rPr>
              <w:t>111,705</w:t>
            </w:r>
          </w:p>
        </w:tc>
        <w:tc>
          <w:tcPr>
            <w:tcW w:w="100" w:type="dxa"/>
            <w:vAlign w:val="bottom"/>
            <w:shd w:val="clear" w:color="auto" w:fill="CFF0FC"/>
          </w:tcPr>
          <w:p>
            <w:pPr>
              <w:spacing w:after="0"/>
              <w:rPr>
                <w:sz w:val="20"/>
                <w:szCs w:val="20"/>
                <w:color w:val="auto"/>
              </w:rPr>
            </w:pP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46,410</w:t>
            </w:r>
          </w:p>
        </w:tc>
        <w:tc>
          <w:tcPr>
            <w:tcW w:w="1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141 %</w:t>
            </w:r>
          </w:p>
        </w:tc>
      </w:tr>
    </w:tbl>
    <w:p>
      <w:pPr>
        <w:spacing w:after="0" w:line="19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231F20"/>
        </w:rPr>
        <w:t xml:space="preserve">Research and development expense for the nine months ended October 31, 2020 increased by $65.3 million, or 141%, compared to the nine months ended October 31, 2019. </w:t>
      </w:r>
      <w:r>
        <w:rPr>
          <w:rFonts w:ascii="Times New Roman" w:cs="Times New Roman" w:eastAsia="Times New Roman" w:hAnsi="Times New Roman"/>
          <w:sz w:val="18"/>
          <w:szCs w:val="18"/>
          <w:color w:val="000000"/>
        </w:rPr>
        <w:t>The increase was primarily due to higher personnel-related expenses of</w:t>
      </w:r>
      <w:r>
        <w:rPr>
          <w:rFonts w:ascii="Times New Roman" w:cs="Times New Roman" w:eastAsia="Times New Roman" w:hAnsi="Times New Roman"/>
          <w:sz w:val="18"/>
          <w:szCs w:val="18"/>
          <w:color w:val="231F20"/>
        </w:rPr>
        <w:t xml:space="preserve"> $50.7 million, due to increase headcount as well as </w:t>
      </w:r>
      <w:r>
        <w:rPr>
          <w:rFonts w:ascii="Times New Roman" w:cs="Times New Roman" w:eastAsia="Times New Roman" w:hAnsi="Times New Roman"/>
          <w:sz w:val="18"/>
          <w:szCs w:val="18"/>
          <w:color w:val="000000"/>
        </w:rPr>
        <w:t>a</w:t>
      </w:r>
      <w:r>
        <w:rPr>
          <w:rFonts w:ascii="Times New Roman" w:cs="Times New Roman" w:eastAsia="Times New Roman" w:hAnsi="Times New Roman"/>
          <w:sz w:val="18"/>
          <w:szCs w:val="18"/>
          <w:color w:val="231F20"/>
        </w:rPr>
        <w:t xml:space="preserve"> $24.0 million </w:t>
      </w:r>
      <w:r>
        <w:rPr>
          <w:rFonts w:ascii="Times New Roman" w:cs="Times New Roman" w:eastAsia="Times New Roman" w:hAnsi="Times New Roman"/>
          <w:sz w:val="18"/>
          <w:szCs w:val="18"/>
          <w:color w:val="000000"/>
        </w:rPr>
        <w:t>increase in stock-based compensation expense, an increase in professional services of</w:t>
      </w:r>
      <w:r>
        <w:rPr>
          <w:rFonts w:ascii="Times New Roman" w:cs="Times New Roman" w:eastAsia="Times New Roman" w:hAnsi="Times New Roman"/>
          <w:sz w:val="18"/>
          <w:szCs w:val="18"/>
          <w:color w:val="231F20"/>
        </w:rPr>
        <w:t xml:space="preserve"> $10.9 million, mainly related to security, and an increase of $2.5 million related to subscription to software-based services.</w:t>
      </w:r>
    </w:p>
    <w:p>
      <w:pPr>
        <w:spacing w:after="0" w:line="17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6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6"/>
          </w:tcPr>
          <w:p>
            <w:pPr>
              <w:ind w:left="980"/>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1220" w:type="dxa"/>
            <w:vAlign w:val="bottom"/>
            <w:tcBorders>
              <w:bottom w:val="single" w:sz="8" w:color="auto"/>
            </w:tcBorders>
          </w:tcPr>
          <w:p>
            <w:pPr>
              <w:spacing w:after="0"/>
              <w:rPr>
                <w:sz w:val="16"/>
                <w:szCs w:val="16"/>
                <w:color w:val="auto"/>
              </w:rPr>
            </w:pPr>
          </w:p>
        </w:tc>
      </w:tr>
      <w:tr>
        <w:trPr>
          <w:trHeight w:val="188"/>
        </w:trPr>
        <w:tc>
          <w:tcPr>
            <w:tcW w:w="66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8"/>
        </w:trPr>
        <w:tc>
          <w:tcPr>
            <w:tcW w:w="6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4"/>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8"/>
                <w:szCs w:val="18"/>
                <w:color w:val="auto"/>
              </w:rPr>
              <w:t>470,886</w:t>
            </w:r>
          </w:p>
        </w:tc>
        <w:tc>
          <w:tcPr>
            <w:tcW w:w="100" w:type="dxa"/>
            <w:vAlign w:val="bottom"/>
            <w:shd w:val="clear" w:color="auto" w:fill="CFF0FC"/>
          </w:tcPr>
          <w:p>
            <w:pPr>
              <w:spacing w:after="0"/>
              <w:rPr>
                <w:sz w:val="20"/>
                <w:szCs w:val="20"/>
                <w:color w:val="auto"/>
              </w:rPr>
            </w:pP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239,741</w:t>
            </w:r>
          </w:p>
        </w:tc>
        <w:tc>
          <w:tcPr>
            <w:tcW w:w="1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96 %</w:t>
            </w:r>
          </w:p>
        </w:tc>
      </w:tr>
    </w:tbl>
    <w:p>
      <w:pPr>
        <w:spacing w:after="0" w:line="198"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231F20"/>
        </w:rPr>
        <w:t xml:space="preserve">Sales and marketing expense for the nine months ended October 31, 2020 increased by $231.1 million, or 96%, compared to the nine months ended October 31, 2019. The increase in sales and marketing expense was primarily due to higher personnel-related expenses of $179.5 million mainly driven by additional headcount in our sales force to support the increased demand, which includes a $70.7 million </w:t>
      </w:r>
      <w:r>
        <w:rPr>
          <w:rFonts w:ascii="Times New Roman" w:cs="Times New Roman" w:eastAsia="Times New Roman" w:hAnsi="Times New Roman"/>
          <w:sz w:val="18"/>
          <w:szCs w:val="18"/>
          <w:color w:val="000000"/>
        </w:rPr>
        <w:t>increase in stock-based compensation expense and</w:t>
      </w:r>
      <w:r>
        <w:rPr>
          <w:rFonts w:ascii="Times New Roman" w:cs="Times New Roman" w:eastAsia="Times New Roman" w:hAnsi="Times New Roman"/>
          <w:sz w:val="18"/>
          <w:szCs w:val="18"/>
          <w:color w:val="231F20"/>
        </w:rPr>
        <w:t xml:space="preserve"> a $45.3 million increase in amortization of deferred contract acquisition costs driven by our increase in revenue. </w:t>
      </w:r>
      <w:r>
        <w:rPr>
          <w:rFonts w:ascii="Times New Roman" w:cs="Times New Roman" w:eastAsia="Times New Roman" w:hAnsi="Times New Roman"/>
          <w:sz w:val="18"/>
          <w:szCs w:val="18"/>
          <w:color w:val="000000"/>
        </w:rPr>
        <w:t>The remaining increase was primarily due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to </w:t>
      </w:r>
      <w:r>
        <w:rPr>
          <w:rFonts w:ascii="Times New Roman" w:cs="Times New Roman" w:eastAsia="Times New Roman" w:hAnsi="Times New Roman"/>
          <w:sz w:val="18"/>
          <w:szCs w:val="18"/>
          <w:color w:val="231F20"/>
        </w:rPr>
        <w:t>an increase in credit card processing fees of $49.3 million as a result of increased online payments, an increase of $10.7 million in professional services</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primarily to support the increase in sales, and an increase in allocated overhead of $4.4 million, partially offset by a decrease in marketing and sales event-related costs of $14.6 million mainly due to a decrease in digital and awareness programs and trade shows.</w:t>
      </w:r>
    </w:p>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6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6"/>
          </w:tcPr>
          <w:p>
            <w:pPr>
              <w:ind w:left="980"/>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1220" w:type="dxa"/>
            <w:vAlign w:val="bottom"/>
            <w:tcBorders>
              <w:bottom w:val="single" w:sz="8" w:color="auto"/>
            </w:tcBorders>
          </w:tcPr>
          <w:p>
            <w:pPr>
              <w:spacing w:after="0"/>
              <w:rPr>
                <w:sz w:val="16"/>
                <w:szCs w:val="16"/>
                <w:color w:val="auto"/>
              </w:rPr>
            </w:pPr>
          </w:p>
        </w:tc>
      </w:tr>
      <w:tr>
        <w:trPr>
          <w:trHeight w:val="188"/>
        </w:trPr>
        <w:tc>
          <w:tcPr>
            <w:tcW w:w="66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8"/>
        </w:trPr>
        <w:tc>
          <w:tcPr>
            <w:tcW w:w="6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4"/>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8"/>
                <w:szCs w:val="18"/>
                <w:color w:val="auto"/>
              </w:rPr>
              <w:t>227,856</w:t>
            </w:r>
          </w:p>
        </w:tc>
        <w:tc>
          <w:tcPr>
            <w:tcW w:w="100" w:type="dxa"/>
            <w:vAlign w:val="bottom"/>
            <w:shd w:val="clear" w:color="auto" w:fill="CFF0FC"/>
          </w:tcPr>
          <w:p>
            <w:pPr>
              <w:spacing w:after="0"/>
              <w:rPr>
                <w:sz w:val="20"/>
                <w:szCs w:val="20"/>
                <w:color w:val="auto"/>
              </w:rPr>
            </w:pP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63,264</w:t>
            </w:r>
          </w:p>
        </w:tc>
        <w:tc>
          <w:tcPr>
            <w:tcW w:w="1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260 %</w:t>
            </w:r>
          </w:p>
        </w:tc>
      </w:tr>
    </w:tbl>
    <w:p>
      <w:pPr>
        <w:spacing w:after="0" w:line="198"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231F20"/>
        </w:rPr>
        <w:t xml:space="preserve">General and administrative expense for the nine months ended October 31, 2020 increased by $164.6 million, or 260%, compared to the nine months ended October 31, 2019. The increase in general and administrative expense was primarily </w:t>
      </w:r>
      <w:r>
        <w:rPr>
          <w:rFonts w:ascii="Times New Roman" w:cs="Times New Roman" w:eastAsia="Times New Roman" w:hAnsi="Times New Roman"/>
          <w:sz w:val="18"/>
          <w:szCs w:val="18"/>
          <w:color w:val="000000"/>
        </w:rPr>
        <w:t>due to</w:t>
      </w:r>
      <w:r>
        <w:rPr>
          <w:rFonts w:ascii="Times New Roman" w:cs="Times New Roman" w:eastAsia="Times New Roman" w:hAnsi="Times New Roman"/>
          <w:sz w:val="18"/>
          <w:szCs w:val="18"/>
          <w:color w:val="231F20"/>
        </w:rPr>
        <w:t xml:space="preserve"> an increase </w:t>
      </w:r>
      <w:r>
        <w:rPr>
          <w:rFonts w:ascii="Times New Roman" w:cs="Times New Roman" w:eastAsia="Times New Roman" w:hAnsi="Times New Roman"/>
          <w:sz w:val="18"/>
          <w:szCs w:val="18"/>
          <w:color w:val="000000"/>
        </w:rPr>
        <w:t>of</w:t>
      </w:r>
      <w:r>
        <w:rPr>
          <w:rFonts w:ascii="Times New Roman" w:cs="Times New Roman" w:eastAsia="Times New Roman" w:hAnsi="Times New Roman"/>
          <w:sz w:val="18"/>
          <w:szCs w:val="18"/>
          <w:color w:val="231F20"/>
        </w:rPr>
        <w:t xml:space="preserve"> $46.8 million </w:t>
      </w:r>
      <w:r>
        <w:rPr>
          <w:rFonts w:ascii="Times New Roman" w:cs="Times New Roman" w:eastAsia="Times New Roman" w:hAnsi="Times New Roman"/>
          <w:sz w:val="18"/>
          <w:szCs w:val="18"/>
          <w:color w:val="000000"/>
        </w:rPr>
        <w:t>in personnel-related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expenses, due to higher headcount as well as a </w:t>
      </w:r>
      <w:r>
        <w:rPr>
          <w:rFonts w:ascii="Times New Roman" w:cs="Times New Roman" w:eastAsia="Times New Roman" w:hAnsi="Times New Roman"/>
          <w:sz w:val="18"/>
          <w:szCs w:val="18"/>
          <w:color w:val="231F20"/>
        </w:rPr>
        <w:t>$21.2 million</w:t>
      </w:r>
      <w:r>
        <w:rPr>
          <w:rFonts w:ascii="Times New Roman" w:cs="Times New Roman" w:eastAsia="Times New Roman" w:hAnsi="Times New Roman"/>
          <w:sz w:val="18"/>
          <w:szCs w:val="18"/>
          <w:color w:val="000000"/>
        </w:rPr>
        <w:t xml:space="preserve"> increase in stock-based compensation expense, an increase of </w:t>
      </w:r>
      <w:r>
        <w:rPr>
          <w:rFonts w:ascii="Times New Roman" w:cs="Times New Roman" w:eastAsia="Times New Roman" w:hAnsi="Times New Roman"/>
          <w:sz w:val="18"/>
          <w:szCs w:val="18"/>
          <w:color w:val="231F20"/>
        </w:rPr>
        <w:t>$40.3 million</w:t>
      </w:r>
      <w:r>
        <w:rPr>
          <w:rFonts w:ascii="Times New Roman" w:cs="Times New Roman" w:eastAsia="Times New Roman" w:hAnsi="Times New Roman"/>
          <w:sz w:val="18"/>
          <w:szCs w:val="18"/>
          <w:color w:val="000000"/>
        </w:rPr>
        <w:t xml:space="preserve"> in professional services composed primarily of legal and other consulting fees, </w:t>
      </w:r>
      <w:r>
        <w:rPr>
          <w:rFonts w:ascii="Times New Roman" w:cs="Times New Roman" w:eastAsia="Times New Roman" w:hAnsi="Times New Roman"/>
          <w:sz w:val="18"/>
          <w:szCs w:val="18"/>
          <w:color w:val="231F20"/>
        </w:rPr>
        <w:t>an increase of $25.6 million related to charitable donations related mainly to shares</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transferred to a donor advised fund, an increase of $22.9 million related to a contingent liability for sales and other indirect tax, an increase of $12.6 million related to subscription to software-based services, a one-time payment to MPEGLA of $9.8 million, and an increase of $6.9 million related to insurance expenses.</w:t>
      </w:r>
    </w:p>
    <w:p>
      <w:pPr>
        <w:spacing w:after="0" w:line="1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and Other, Net</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6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6"/>
          </w:tcPr>
          <w:p>
            <w:pPr>
              <w:ind w:left="420"/>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1220" w:type="dxa"/>
            <w:vAlign w:val="bottom"/>
            <w:tcBorders>
              <w:bottom w:val="single" w:sz="8" w:color="auto"/>
            </w:tcBorders>
          </w:tcPr>
          <w:p>
            <w:pPr>
              <w:spacing w:after="0"/>
              <w:rPr>
                <w:sz w:val="16"/>
                <w:szCs w:val="16"/>
                <w:color w:val="auto"/>
              </w:rPr>
            </w:pPr>
          </w:p>
        </w:tc>
      </w:tr>
      <w:tr>
        <w:trPr>
          <w:trHeight w:val="188"/>
        </w:trPr>
        <w:tc>
          <w:tcPr>
            <w:tcW w:w="660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8"/>
        </w:trPr>
        <w:tc>
          <w:tcPr>
            <w:tcW w:w="6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0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4"/>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income and other, net</w:t>
            </w:r>
          </w:p>
        </w:tc>
        <w:tc>
          <w:tcPr>
            <w:tcW w:w="900" w:type="dxa"/>
            <w:vAlign w:val="bottom"/>
            <w:shd w:val="clear" w:color="auto" w:fill="CFF0FC"/>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8"/>
                <w:szCs w:val="18"/>
                <w:color w:val="auto"/>
              </w:rPr>
              <w:t>9,650</w:t>
            </w:r>
          </w:p>
        </w:tc>
        <w:tc>
          <w:tcPr>
            <w:tcW w:w="100" w:type="dxa"/>
            <w:vAlign w:val="bottom"/>
            <w:shd w:val="clear" w:color="auto" w:fill="CFF0FC"/>
          </w:tcPr>
          <w:p>
            <w:pPr>
              <w:spacing w:after="0"/>
              <w:rPr>
                <w:sz w:val="20"/>
                <w:szCs w:val="20"/>
                <w:color w:val="auto"/>
              </w:rPr>
            </w:pP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9,674</w:t>
            </w:r>
          </w:p>
        </w:tc>
        <w:tc>
          <w:tcPr>
            <w:tcW w:w="1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0 %</w:t>
            </w:r>
          </w:p>
        </w:tc>
      </w:tr>
    </w:tbl>
    <w:p>
      <w:pPr>
        <w:spacing w:after="0" w:line="19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231F20"/>
        </w:rPr>
        <w:t>Interest income and other, net for the nine months ended October 31, 2020 remained flat compared to the nine months ended October 31, 2019, primarily due to a gain of $2.5 million related to the remeasurement of our equity investment and an increase of $2.4 million in interest income earned from our investments in marketable securities, offset by a decrease of $4.9 million in net accretion on our investments in marketable securities due to lower market rates.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62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6"/>
          </w:tcPr>
          <w:p>
            <w:pPr>
              <w:ind w:left="420"/>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1220" w:type="dxa"/>
            <w:vAlign w:val="bottom"/>
            <w:tcBorders>
              <w:bottom w:val="single" w:sz="8" w:color="auto"/>
            </w:tcBorders>
          </w:tcPr>
          <w:p>
            <w:pPr>
              <w:spacing w:after="0"/>
              <w:rPr>
                <w:sz w:val="16"/>
                <w:szCs w:val="16"/>
                <w:color w:val="auto"/>
              </w:rPr>
            </w:pPr>
          </w:p>
        </w:tc>
      </w:tr>
      <w:tr>
        <w:trPr>
          <w:trHeight w:val="188"/>
        </w:trPr>
        <w:tc>
          <w:tcPr>
            <w:tcW w:w="662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8"/>
        </w:trPr>
        <w:tc>
          <w:tcPr>
            <w:tcW w:w="6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4"/>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00" w:type="dxa"/>
            <w:vAlign w:val="bottom"/>
            <w:shd w:val="clear" w:color="auto" w:fill="CFF0FC"/>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8"/>
                <w:szCs w:val="18"/>
                <w:color w:val="auto"/>
              </w:rPr>
              <w:t>1,675</w:t>
            </w:r>
          </w:p>
        </w:tc>
        <w:tc>
          <w:tcPr>
            <w:tcW w:w="100" w:type="dxa"/>
            <w:vAlign w:val="bottom"/>
            <w:shd w:val="clear" w:color="auto" w:fill="CFF0FC"/>
          </w:tcPr>
          <w:p>
            <w:pPr>
              <w:spacing w:after="0"/>
              <w:rPr>
                <w:sz w:val="20"/>
                <w:szCs w:val="20"/>
                <w:color w:val="auto"/>
              </w:rPr>
            </w:pPr>
          </w:p>
        </w:tc>
        <w:tc>
          <w:tcPr>
            <w:tcW w:w="48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1,851</w:t>
            </w:r>
          </w:p>
        </w:tc>
        <w:tc>
          <w:tcPr>
            <w:tcW w:w="1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r>
    </w:tbl>
    <w:p>
      <w:pPr>
        <w:spacing w:after="0" w:line="19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231F20"/>
        </w:rPr>
        <w:t xml:space="preserve">Provision for income taxes for the nine months ended October 31, 2020 decreased </w:t>
      </w:r>
      <w:r>
        <w:rPr>
          <w:rFonts w:ascii="Times New Roman" w:cs="Times New Roman" w:eastAsia="Times New Roman" w:hAnsi="Times New Roman"/>
          <w:sz w:val="18"/>
          <w:szCs w:val="18"/>
          <w:color w:val="000000"/>
        </w:rPr>
        <w:t>by</w:t>
      </w:r>
      <w:r>
        <w:rPr>
          <w:rFonts w:ascii="Times New Roman" w:cs="Times New Roman" w:eastAsia="Times New Roman" w:hAnsi="Times New Roman"/>
          <w:sz w:val="18"/>
          <w:szCs w:val="18"/>
          <w:color w:val="231F20"/>
        </w:rPr>
        <w:t xml:space="preserve"> $0.2 million</w:t>
      </w:r>
      <w:r>
        <w:rPr>
          <w:rFonts w:ascii="Times New Roman" w:cs="Times New Roman" w:eastAsia="Times New Roman" w:hAnsi="Times New Roman"/>
          <w:sz w:val="18"/>
          <w:szCs w:val="18"/>
          <w:color w:val="000000"/>
        </w:rPr>
        <w:t>, or 10%, compared to the</w:t>
      </w:r>
      <w:r>
        <w:rPr>
          <w:rFonts w:ascii="Times New Roman" w:cs="Times New Roman" w:eastAsia="Times New Roman" w:hAnsi="Times New Roman"/>
          <w:sz w:val="18"/>
          <w:szCs w:val="18"/>
          <w:color w:val="231F20"/>
        </w:rPr>
        <w:t xml:space="preserve"> nine </w:t>
      </w:r>
      <w:r>
        <w:rPr>
          <w:rFonts w:ascii="Times New Roman" w:cs="Times New Roman" w:eastAsia="Times New Roman" w:hAnsi="Times New Roman"/>
          <w:sz w:val="18"/>
          <w:szCs w:val="18"/>
          <w:color w:val="000000"/>
        </w:rPr>
        <w:t>months ended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October 31, 2019. The change in provision for income taxes was </w:t>
      </w:r>
      <w:r>
        <w:rPr>
          <w:rFonts w:ascii="Times New Roman" w:cs="Times New Roman" w:eastAsia="Times New Roman" w:hAnsi="Times New Roman"/>
          <w:sz w:val="18"/>
          <w:szCs w:val="18"/>
          <w:color w:val="231F20"/>
        </w:rPr>
        <w:t>primarily due to a decrease in the effective tax rate attributable to foreign operations. Our</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calculation of income tax expense is dependent in part on forecasts of full-year results.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 xml:space="preserve">As of October 31, 2020, our principal sources of liquidity were cash, cash equivalents, and marketable securities of </w:t>
      </w:r>
      <w:r>
        <w:rPr>
          <w:rFonts w:ascii="Times New Roman" w:cs="Times New Roman" w:eastAsia="Times New Roman" w:hAnsi="Times New Roman"/>
          <w:sz w:val="18"/>
          <w:szCs w:val="18"/>
          <w:color w:val="231F20"/>
        </w:rPr>
        <w:t>$1.9 billion</w:t>
      </w:r>
      <w:r>
        <w:rPr>
          <w:rFonts w:ascii="Times New Roman" w:cs="Times New Roman" w:eastAsia="Times New Roman" w:hAnsi="Times New Roman"/>
          <w:sz w:val="18"/>
          <w:szCs w:val="18"/>
          <w:color w:val="auto"/>
        </w:rPr>
        <w:t>, which were held for working capital purposes. Our marketable securities generally consist of high-grade commercial paper, corporate bonds, agency bonds, corporate and other debt securities, U.S. government agency securities, and treasury bills.</w:t>
      </w:r>
    </w:p>
    <w:p>
      <w:pPr>
        <w:spacing w:after="0" w:line="176"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have financed our operations primarily through income from operations and sales of equity securities. Cash from operations could also be affected by various risks and uncertainties, including, but not limited to, the effects of the COVID-19 pandemic, including timing of cash collections from our customers and other risks detailed in the section titled “Risk Factors.” However, based on our current business plan and revenue prospects, we believe our existing cash, cash equivalents, and marketable securities, together with net cash provided by operations, will be sufficient to meet our needs for at least the next 12 months. Our future capital requirements will depend on many factors, including our revenue growth rate, subscription renewal activity, billing frequency, the timing and extent of spending to support further sales and marketing and research and development efforts, as well as expenses associated with our international expansion, and the timing and extent of additional capital expenditures to invest in existing and new office spaces as well as data center infrastructure. We may, in the future, enter into arrangements to acquire or invest in complementary businesses, services, and technologies, including intellectual property rights. We may be required to seek additional equity or debt financing. In the event that additional financing is required from outside sources, we may not be able to raise it on terms acceptable to us or at all. If we are unable to raise additional capital when desired, our business, results of operations, and financial condition would be materially and adversely affected.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r>
      <w:tr>
        <w:trPr>
          <w:trHeight w:val="187"/>
        </w:trPr>
        <w:tc>
          <w:tcPr>
            <w:tcW w:w="78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18"/>
        </w:trPr>
        <w:tc>
          <w:tcPr>
            <w:tcW w:w="7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8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20" w:type="dxa"/>
            <w:vAlign w:val="bottom"/>
          </w:tcPr>
          <w:p>
            <w:pPr>
              <w:spacing w:after="0"/>
              <w:rPr>
                <w:sz w:val="18"/>
                <w:szCs w:val="18"/>
                <w:color w:val="auto"/>
              </w:rPr>
            </w:pPr>
          </w:p>
        </w:tc>
      </w:tr>
      <w:tr>
        <w:trPr>
          <w:trHeight w:val="234"/>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1,071,781</w:t>
            </w: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center"/>
              <w:ind w:left="295"/>
              <w:spacing w:after="0"/>
              <w:rPr>
                <w:sz w:val="20"/>
                <w:szCs w:val="20"/>
                <w:color w:val="auto"/>
              </w:rPr>
            </w:pPr>
            <w:r>
              <w:rPr>
                <w:rFonts w:ascii="Times New Roman" w:cs="Times New Roman" w:eastAsia="Times New Roman" w:hAnsi="Times New Roman"/>
                <w:sz w:val="18"/>
                <w:szCs w:val="18"/>
                <w:color w:val="auto"/>
                <w:w w:val="99"/>
              </w:rPr>
              <w:t>115,338</w:t>
            </w:r>
          </w:p>
        </w:tc>
      </w:tr>
      <w:tr>
        <w:trPr>
          <w:trHeight w:val="230"/>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(673,377)</w:t>
            </w:r>
          </w:p>
        </w:tc>
        <w:tc>
          <w:tcPr>
            <w:tcW w:w="12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center"/>
              <w:ind w:left="275"/>
              <w:spacing w:after="0"/>
              <w:rPr>
                <w:sz w:val="20"/>
                <w:szCs w:val="20"/>
                <w:color w:val="auto"/>
              </w:rPr>
            </w:pPr>
            <w:r>
              <w:rPr>
                <w:rFonts w:ascii="Times New Roman" w:cs="Times New Roman" w:eastAsia="Times New Roman" w:hAnsi="Times New Roman"/>
                <w:sz w:val="18"/>
                <w:szCs w:val="18"/>
                <w:color w:val="auto"/>
              </w:rPr>
              <w:t>(496,099)</w:t>
            </w:r>
          </w:p>
        </w:tc>
      </w:tr>
      <w:tr>
        <w:trPr>
          <w:trHeight w:val="23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296,242</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center"/>
              <w:ind w:left="295"/>
              <w:spacing w:after="0"/>
              <w:rPr>
                <w:sz w:val="20"/>
                <w:szCs w:val="20"/>
                <w:color w:val="auto"/>
              </w:rPr>
            </w:pPr>
            <w:r>
              <w:rPr>
                <w:rFonts w:ascii="Times New Roman" w:cs="Times New Roman" w:eastAsia="Times New Roman" w:hAnsi="Times New Roman"/>
                <w:sz w:val="18"/>
                <w:szCs w:val="18"/>
                <w:color w:val="auto"/>
                <w:w w:val="99"/>
              </w:rPr>
              <w:t>596,623</w:t>
            </w:r>
          </w:p>
        </w:tc>
      </w:tr>
    </w:tbl>
    <w:p>
      <w:pPr>
        <w:spacing w:after="0" w:line="30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largest source of operating cash is cash collections from our customers for subscriptions to our platform. Our primary uses of cash from operating activities are for employee-related expenditures, costs related to hosting our platform, and marketing expenses. Net cash provided by operating activities is impacted by our net income adjusted for certain non-cash items, such as stock-based compensation, depreciation and amortization expenses, as well as the effect of changes in operating assets and liabilities.</w:t>
      </w:r>
    </w:p>
    <w:p>
      <w:pPr>
        <w:spacing w:after="0" w:line="7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Net cash provided by operating activities was $1,071.8 million for the nine months ended October 31, 2020, compared to $115.3 million for the nine months ended October 31, 2019. The increase in operating cash flow was due to an increase in net income of $401.7 million, the positive impact from changes in operating assets and liabilities of $323.9 million, and an increase in non-cash adjustments of $230.9 million, which is primarily a result of higher stock-based compensation expense due to the grant of new equity awards and the impact of a new ESPP offering, higher deferred contract acquisition cost amortization due to an increase in capitalized commissions as we continue to grow and expand our customer base, and expenses related to a charitable donation of common stock in the current fiscal year.</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of $673.4 million for the nine months ended October 31, 2020 was primarily due to net purchases of marketable securities of $572.6 million, purchases of property and equipment of $58.5 million, cash paid for acquisition, net of cash acquired, of $26.5 million, purchase of an equity investment of $8.0 million, and purchase of a convertible note of $5.0 million.</w:t>
      </w:r>
    </w:p>
    <w:p>
      <w:pPr>
        <w:spacing w:after="0" w:line="6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of $496.1 million for the nine months ended October 31, 2019 was due to net purchases of marketable securities of $465.0 million, purchases of property and equipment of $28.1 million, and purchase of an equity investment of $3.0 million.</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 xml:space="preserve">Net cash provided by financing activities of $296.2 million for the nine months ended October 31, 2020 was due to proceeds from employee equity transactions to be remitted to employees and tax authorities, net, of </w:t>
      </w:r>
      <w:r>
        <w:rPr>
          <w:rFonts w:ascii="Times New Roman" w:cs="Times New Roman" w:eastAsia="Times New Roman" w:hAnsi="Times New Roman"/>
          <w:sz w:val="18"/>
          <w:szCs w:val="18"/>
          <w:color w:val="231F20"/>
        </w:rPr>
        <w:t>$251.6 million,</w:t>
      </w:r>
      <w:r>
        <w:rPr>
          <w:rFonts w:ascii="Times New Roman" w:cs="Times New Roman" w:eastAsia="Times New Roman" w:hAnsi="Times New Roman"/>
          <w:sz w:val="18"/>
          <w:szCs w:val="18"/>
          <w:color w:val="auto"/>
        </w:rPr>
        <w:t xml:space="preserve"> proceeds from the exercise of stock options of $23.8 million, and </w:t>
      </w:r>
      <w:r>
        <w:rPr>
          <w:rFonts w:ascii="Times New Roman" w:cs="Times New Roman" w:eastAsia="Times New Roman" w:hAnsi="Times New Roman"/>
          <w:sz w:val="18"/>
          <w:szCs w:val="18"/>
          <w:color w:val="231F20"/>
        </w:rPr>
        <w:t xml:space="preserve">proceeds from issuance of common stock under our ESPP of </w:t>
      </w:r>
      <w:r>
        <w:rPr>
          <w:rFonts w:ascii="Times New Roman" w:cs="Times New Roman" w:eastAsia="Times New Roman" w:hAnsi="Times New Roman"/>
          <w:sz w:val="18"/>
          <w:szCs w:val="18"/>
          <w:color w:val="000000"/>
        </w:rPr>
        <w:t>$20.8 million.</w:t>
      </w:r>
    </w:p>
    <w:p>
      <w:pPr>
        <w:spacing w:after="0" w:line="6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of $596.6 million for the nine months ended October 31, 2019 was due to proceeds from the issuance of Class A common stock in connection with the IPO and private placement, net of underwriting discounts and commissions and other offering costs, of $542.5 million, proceeds from employee equity transactions to be remitted to employees and tax authorities, net, of $48.5 million, and proceeds from the exercise of stock options, net of repurchases, of $5.6 million.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 and Contractual Obligations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of October 31, 2020, we had additional outstanding non-cancelable purchase obligations with a term of 12 months or longer of $468.4 million over the corresponding amount disclosed in our Annual Report on Form 10-K for the year ended January 31, 2020, mainly related to third-party cloud hosting. As of October 31, 2020, we also had additional operating leases that have not yet commenced with undiscounted future lease payments of $37.9 million.</w:t>
      </w:r>
    </w:p>
    <w:p>
      <w:pPr>
        <w:spacing w:after="0" w:line="7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Additionally, we entered into a license agreement with MPEGLA in May 2020 to obtain the rights for future use of licensed intellectual property in exchange for periodic royalty payments. In connection with the license agreement, we made a royalty payment of $9.8 million to use the technology until December 31, 2020, which is amortized in cost of revenue on a straight-line basis in our condensed consolidated statements of operations. During the nine months ended October 31, 2020, we recorded $7.0 million of such costs. In addition, we also made a one-time payment of $9.8 million for past use, which was recorded in general and administrative expenses in our condensed consolidated statements of operations for the nine months ended October 31, 2020.</w:t>
      </w:r>
    </w:p>
    <w:p>
      <w:pPr>
        <w:spacing w:after="0" w:line="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There have been no other material changes to our contractual obligations and commitments from those disclosed in our Management’s Discussion and Analysis of Financial Condition and Results of Operations, included in our Annual Report on Form 10-K for the year ended January 31, 2020, filed with the SEC on March 20, 2020.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do not have any off balance sheet arrangements as defined in Item 303(a)(4)(ii) of Regulation S-K promulgated by the SEC under the Securities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Critical accounting policies and estimates are those accounting policies and estimates that are both the most important to the portrayal of our net assets and results of operations and require the most difficult, subjective, or complex judgments, often as a result of the need to make estimates about the effect of matters that are inherently uncertain. These estimates are developed based on historical experience and various other assumptions that we believe to be reasonable under the circumstances. Critical accounting estimates are accounting estimates where the nature of the estimates is material due to the levels of subjectivity and judgment necessary to account for highly uncertain matters or the susceptibility of such matters to change, and the impact of the estimates on financial condition or operating performance is material.</w:t>
      </w:r>
    </w:p>
    <w:p>
      <w:pPr>
        <w:spacing w:after="0" w:line="7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and estimates as compared to the critical accounting policies and estimates described in our Management’s Discussion and Analysis of Financial Condition and Results of Operations, included in our Annual Report on Form 10-K for the year ended January 31, 2020, filed with the SEC on March 20, 2020, except for the allowance for credit losses policy and the investment policy related to the adoption of ASU No. 2016-13, and the business combinations, goodwill, and acquired intangible assets policies, as described in Note 1 to the condensed consolidated financial statements.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See “Summary of Business and Significant Accounting Policies” in Note 1 of the notes to our condensed consolidated financial statements included in Part I, Item 1 of this Form 10-Q.</w:t>
      </w:r>
    </w:p>
    <w:p>
      <w:pPr>
        <w:spacing w:after="0" w:line="11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and Exchange Risk</w:t>
      </w:r>
    </w:p>
    <w:p>
      <w:pPr>
        <w:spacing w:after="0" w:line="12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vast majority of our cash generated from revenue is denominated in U.S. dollars, with a small amount denominated in foreign currencies. Our expenses are generally denominated in the currencies of the jurisdictions in which we conduct our operations, which are primarily in the United States, China, Europe, and Australia. Our results of current and future operations and cash flows are, therefore, subject to fluctuations due to changes in foreign currency exchange rates. The effect of a hypothetical 10% change in foreign currency exchange rates applicable to our business would not have had a material impact on our historical condensed consolidated financial statements for the three and nine months ended October 31, 2020 and 2019. As the impact of foreign currency exchange rates has not been material to our historical operating results, we have not entered into derivative or hedging transactions, but we may do so in the future if our exposure to foreign currency becomes more significant.</w:t>
      </w:r>
    </w:p>
    <w:p>
      <w:pPr>
        <w:spacing w:after="0" w:line="29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 xml:space="preserve">We had cash and cash equivalents of </w:t>
      </w:r>
      <w:r>
        <w:rPr>
          <w:rFonts w:ascii="Times New Roman" w:cs="Times New Roman" w:eastAsia="Times New Roman" w:hAnsi="Times New Roman"/>
          <w:sz w:val="18"/>
          <w:szCs w:val="18"/>
          <w:color w:val="231F20"/>
        </w:rPr>
        <w:t>$730.5 million</w:t>
      </w:r>
      <w:r>
        <w:rPr>
          <w:rFonts w:ascii="Times New Roman" w:cs="Times New Roman" w:eastAsia="Times New Roman" w:hAnsi="Times New Roman"/>
          <w:sz w:val="18"/>
          <w:szCs w:val="18"/>
          <w:color w:val="auto"/>
        </w:rPr>
        <w:t xml:space="preserve"> and marketable securities of </w:t>
      </w:r>
      <w:r>
        <w:rPr>
          <w:rFonts w:ascii="Times New Roman" w:cs="Times New Roman" w:eastAsia="Times New Roman" w:hAnsi="Times New Roman"/>
          <w:sz w:val="18"/>
          <w:szCs w:val="18"/>
          <w:color w:val="231F20"/>
        </w:rPr>
        <w:t>$1,141.4 million</w:t>
      </w:r>
      <w:r>
        <w:rPr>
          <w:rFonts w:ascii="Times New Roman" w:cs="Times New Roman" w:eastAsia="Times New Roman" w:hAnsi="Times New Roman"/>
          <w:sz w:val="18"/>
          <w:szCs w:val="18"/>
          <w:color w:val="auto"/>
        </w:rPr>
        <w:t xml:space="preserve"> as of October 31, 2020. Cash and cash equivalents consist of bank deposits, money market funds, high-grade commercial paper, and agency bonds. Our marketable securities generally consist of high-grade commercial paper, agency bonds, corporate and other debt securities, U.S. government agency securities, and treasury bills. The cash and cash equivalents and marketable securities are held for working capital purposes. Such interest-earning instruments carry a degree of interest rate risk. The primary objective of our investment activities is to preserve principal while maximizing income without significantly increasing risk. We do not enter into investments for trading or speculative purposes and have not used any derivative financial instruments to manage our interest rate risk exposure. Due to the short-term nature of our investments, we have not been exposed to, nor do we anticipate being exposed to, material risks due to changes in interest rates. A hypothetical 10% change in interest rates during any of the periods presented would not have had a material impact on our historical condensed consolidated financial statements for the three and nine months ended October 31, 2020 and 2019.</w:t>
      </w:r>
    </w:p>
    <w:p>
      <w:pPr>
        <w:spacing w:after="0" w:line="15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 xml:space="preserve">Our management, with the participation of our principal executive officer and our principal financial officer, has evaluated the effectiveness of our disclosure controls and procedures as of the end of the period covered by this Quarterly Report on Form 10-Q.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such evaluation, our principal executive officer and principal financial officer have concluded that, as of </w:t>
      </w:r>
      <w:r>
        <w:rPr>
          <w:rFonts w:ascii="Times New Roman" w:cs="Times New Roman" w:eastAsia="Times New Roman" w:hAnsi="Times New Roman"/>
          <w:sz w:val="18"/>
          <w:szCs w:val="18"/>
          <w:color w:val="231F20"/>
        </w:rPr>
        <w:t>October 31, 2020</w:t>
      </w:r>
      <w:r>
        <w:rPr>
          <w:rFonts w:ascii="Times New Roman" w:cs="Times New Roman" w:eastAsia="Times New Roman" w:hAnsi="Times New Roman"/>
          <w:sz w:val="18"/>
          <w:szCs w:val="18"/>
          <w:color w:val="auto"/>
        </w:rPr>
        <w:t>, our disclosure controls and procedures were effective at the reasonable assurance level.</w:t>
      </w:r>
    </w:p>
    <w:p>
      <w:pPr>
        <w:spacing w:after="0" w:line="29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identified in connection with the evaluation required by Rules 13a-15(d) and 15d-15(d) of the Exchange Act that occurred during the period covered by this Quarterly Report on Form 10-Q that has materially affected, or is reasonably likely to materially affect, our internal control over financial reporting.</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33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1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Beginning on March 30, 2020, multiple putative class actions have been filed against us in various U.S. federal district courts and state courts relating to our alleged privacy and security practices, including alleged data sharing with third parties (the “U.S. Privacy Class Actions”). We have also been sued under the DC private attorney general statute on behalf of members of the general public. The plaintiffs claim violations of a variety of state consumer protection and privacy laws, and also assert state constitutional and common law claims such as negligence and unjust enrichment. The U.S. Privacy Class Actions seek to certify both nationwide and state-specific classes of individuals using our services in certain time periods. The plaintiffs seek various forms of injunctive and monetary relief, including restitution, statutory and actual damages, punitive damages, and attorneys’ fees. The federal cases have been transferred to and consolidated in the Northern District of California with our consent; lead plaintiffs’ counsel have been appointed; and plaintiffs filed their first amended consolidated class action complaint on October 28, 2020, with our response due on December 2, 2020.</w:t>
      </w:r>
    </w:p>
    <w:p>
      <w:pPr>
        <w:spacing w:after="0" w:line="8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On April 7, 2020, and April 8, 2020, securities class action complaints were filed against us and two of our officers in the United States District Court for the Northern District of California. The plaintiffs are purported stockholders of the Company. The complaints allege, among other things, that we violated Sections 10(b) and 20(a) of the Securities Exchange Act of 1934, and Rule 10b-5 by making false and misleading statements and omissions of material fact about our data privacy and security measures. The complaints seek unspecified damages, interest, fees, and costs. On May 18, 2020, the actions were consolidated. On November 4, 2020, the court appointed a lead plaintiff.</w:t>
      </w:r>
    </w:p>
    <w:p>
      <w:pPr>
        <w:spacing w:after="0" w:line="7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On June 11, 2020 and July 30, 2020, purported shareholder derivative complaints were filed in the United States District Court for the District of Delaware. The first complaint names as defendants nine of our officers and directors and the second complaint names eight of our officers and directors. The lawsuits assert state and federal claims and are based on the same alleged misstatements as the shareholder class action complaint. The lawsuits accuse our board of directors of failing to exercise reasonable and prudent supervision over our management, policies, practices, and internal controls. The plaintiffs seek unspecified monetary damages on behalf of us as well as governance reforms. On September 25, 2020, the derivative cases were consolidated. The consolidated case is stayed pending resolution of a forthcoming motion to dismiss the securities class action.</w:t>
      </w:r>
    </w:p>
    <w:p>
      <w:pPr>
        <w:spacing w:after="0" w:line="7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believe these lawsuits are without merit, and we are vigorously defending ourselves against them. Given the uncertainty of litigation, the preliminary stage of the cases, and the legal standards that must be met for, among other things, class certification and success on the merits, we cannot estimate the reasonably possible loss or range of loss that may result from these actions.</w:t>
      </w:r>
    </w:p>
    <w:p>
      <w:pPr>
        <w:spacing w:after="0" w:line="68"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In September 2019, the Federal Trade Commission (“FTC”) issued a Civil Investigative Demand (“CID”) to us requiring us to produce certain documents and materials and to answer certain interrogatories relating to our privacy and security representations and practices. Since then, we have fully cooperated with the investigation. In October 2020, we reached a proposed settlement agreement with the FTC staff, which would resolve the FTC’s allegations that certain of our statements and practices about our security constituted deceptive and unfair acts or practices in violation of the FTC Act. On November 10, 2020, the FTC Commissioners voted to approve the settlement and, on November 13, 2020, the FTC published the settlement in the Federal Register for a 30-day public comment period, which will end on December 13, 2020. The proposed settlement remains subject to a final vote by the FTC. Under the terms of the proposed settlement, we neither admit nor deny the FTC’s allegations, and the FTC does not impose any fine or penalty upon us. We would be required to implement certain injunctive provisions, including, among other things, refraining from making any misrepresentations regarding the privacy and security of our services or how we collect, maintain, use, delete, disclose, allow access to, and protect user information. It also requires us to implement a detailed information security program and obtain third-party security assessments periodically.</w:t>
      </w:r>
    </w:p>
    <w:p>
      <w:pPr>
        <w:spacing w:after="0" w:line="8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do not expect the proposed settlement, once final, to have a material impact on our financial results. We will cooperate with the FTC’s requirements and work to ensure compliance. Any failure to comply with the settlement once final may increase the possibility of additional adverse consequences, including litigation, additional regulatory actions, injunctions, or monetary penalties, or require further changes to our business practices, significant management time, or the diversion of significant operational resources, all of which could result in a material loss or otherwise harm our business.</w:t>
      </w:r>
    </w:p>
    <w:p>
      <w:pPr>
        <w:spacing w:after="0" w:line="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addition, from time to time, we are involved in various other legal proceedings arising from the normal course of business activities. We are not presently a party to any other such litigation the outcome of which, we believe, if determined adversely to us, would individually, or taken together, have a material adverse effect on our business, operating results, cash flows, or financial condition. Defending such proceedings is costly and can impose a significant burden on management and employees. We may receive unfavorable preliminary or interim rulings in the course of litigation, and there can be no assurances that favorable final outcomes will be obtained.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1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i w:val="1"/>
          <w:iCs w:val="1"/>
          <w:color w:val="auto"/>
        </w:rPr>
        <w:t>Investing in our securities involves a high degree of risk. You should carefully consider the risks and uncertainties described below, together with all of the other information in this Quarterly Report on Form 10-Q, including the section titled “Management’s Discussion and Analysis of Financial Condition and Results of Operations” and our condensed consolidated financial statements and related notes, before making a decision to invest in our securities. The risks and uncertainties described below may not be the only ones we face. If any of the risks actually occur, our business could be materially and adversely affected. In that event, the market price of our Class A common stock could decline, and you could lose part or all of your investment.</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Our Industry</w:t>
      </w:r>
    </w:p>
    <w:p>
      <w:pPr>
        <w:spacing w:after="0" w:line="225"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our ability to attract new customers and hosts, retain and upsell additional products to existing customers, and upgrade free hosts to our paid offerings. Any decline in new customers and hosts, renewals, or upgrades would harm our business.</w:t>
      </w:r>
    </w:p>
    <w:p>
      <w:pPr>
        <w:spacing w:after="0" w:line="5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business depends upon our ability to attract new customers and hosts, and maintain and expand our relationships with our customers and hosts, including upselling additional products to our existing customers and upgrading hosts to a paid Zoom Meeting plan. A host is any user of our video-first communications platform who initiates a Zoom Meeting and invites one or more participants to join that meeting. We refer to hosts who subscribe to a paid Zoom Meeting plan as “paid hosts.”</w:t>
      </w:r>
    </w:p>
    <w:p>
      <w:pPr>
        <w:spacing w:after="0" w:line="72"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Our business is subscription based, and customers are not obligated to, and may choose not to, renew their subscriptions after their existing subscriptions expire. As a result, we cannot provide assurance that customers will renew their subscriptions utilizing the same tier of their Zoom Meeting plan, upgrade to a higher-priced tier, or purchase additional products, if they renew at all. Renewals of subscriptions to our platform may decline or fluctuate because of several factors, such as dissatisfaction with our products and support, a customer or host no longer having a need for our products, including any new customers or hosts that have subscribed to our services during the COVID-19 pandemic that may subsequently reduce or discontinue their use after the impact of the pandemic has tapered, or the perception that competitive products provide better, more secure, or less expensive options. In addition, some customers downgrade their Zoom Meeting plan or do not renew their subscriptions. Furthermore, as a result of the increased usage of our platform during the COVID-19 pandemic, our customer base has shifted from largely businesses and enterprises to a mix of businesses, enterprises, and consumers. This shift in mix could result in higher non-renewal rates than we have experienced in the past. We must continually add new customers and hosts to grow our business beyond our current user base and to replace customers and hosts who choose not to continue to use our platform. Finally, any decrease in user satisfaction with our products or support would harm our brand, word-of-mouth referrals, and ability to grow.</w:t>
      </w:r>
    </w:p>
    <w:p>
      <w:pPr>
        <w:spacing w:after="0" w:line="84"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encourage customers to purchase additional products and encourage hosts to upgrade to our paid offerings by recommending additional features and through in-product prompts and notifications. Additionally, we seek to expand within organizations by adding new hosts, having workplaces purchase additional products, or expanding the use of Zoom into other teams and departments within an organization. At the same time, we strive to demonstrate the value of our platform and various product offerings to those hosts that subscribe to our free Zoom Meeting plan, thereby encouraging them to upgrade to a paid Zoom Meeting plan. However, a majority of these hosts, including those that recently subscribed to our free plan during the COVID-19 pandemic as a result of shelter-in-place and work-from-home mandates, may never upgrade to a paid Zoom Meeting plan. If we fail to upsell our customers or upgrade hosts of our free Zoom Meeting plan to paid subscriptions or expand the number of paid hosts within organizations, our business would be harmed.</w:t>
      </w:r>
    </w:p>
    <w:p>
      <w:pPr>
        <w:spacing w:after="0" w:line="8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addition, our user growth rate may slow or decline in the future as our market penetration rates increase and we turn our focus to upgrading our free hosts to a paid Zoom Meeting plan rather than growing the total number of users. If we are not able to continue to expand our user base, our revenue may grow more slowly than expected or decline. Similar to the uncertainty of customers renewing their subscriptions or hosts upgrading to a paid Zoom Meeting plan, we expect our user growth rate to slow or decline once the impact of the COVID-19 pandemic tapers, particularly as a vaccine becomes widely available, and users return to work or school or are otherwise no longer subject to shelter-in-place mandates.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which makes it difficult to evaluate our prospects and future results of operations.</w:t>
      </w:r>
    </w:p>
    <w:p>
      <w:pPr>
        <w:spacing w:after="0" w:line="12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were incorporated in 2011. As a result of our limited operating history, our ability to forecast our future results of operations is limited and subject to a number of uncertainties, including our ability to plan for and model future growth and expenses. Our historical revenue growth should not be considered indicative of our future performance. Further, in future periods, our revenue growth could slow or our revenue could decline for a number of reasons, including any reduction in demand for our platform; increased competition; contraction of our overall market; our inability to accurately forecast demand for our platform and plan for capacity constraints; or our failure, for any reason, to capitalize on growth opportunities. The COVID-19 pandemic has also made it difficult to forecast revenue, costs, and expenses, as our platform has recently faced unprecedented usage from free users and new and existing customers, requiring us to devote significant resources to bolster our capacity and infrastructure. We have encountered and will encounter risks and uncertainties frequently experienced by growing companies in rapidly changing industries, such as the risks and uncertainties described herein. If our assumptions regarding these risks and uncertainties, which we use to plan our business, are incorrect or change, or if we do not address these risks successfully, our business would be harmed.</w:t>
      </w:r>
    </w:p>
    <w:p>
      <w:pPr>
        <w:spacing w:after="0" w:line="190"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Interruptions, delays, or outages in service from our co-located data centers and a variety of other factors, including increased usage stemming from the COVID-19 pandemic, would impair the delivery of our services, require us to issue credits or pay penalties, and harm our business.</w:t>
      </w:r>
    </w:p>
    <w:p>
      <w:pPr>
        <w:spacing w:after="0" w:line="51"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We currently serve our users from various co-located data centers located throughout the world. We also utilize Amazon Web Services and Oracle Cloud for the hosting of certain critical aspects of our business, as well as Microsoft Azure for limited customer-specified managed services. As part of our distributed meeting architecture, we establish private links between data centers that automatically transfer data between various data centers in order to optimize performance on our platform. Damage to, or failure of, these data centers has in the past resulted in and could in the future result in interruptions or delays in our services. In addition, we have experienced, and may in the future experience, other interruptions and delays in our services caused by a variety of other factors, including, but not limited to, infrastructure changes, vendor issues, human or software errors, viruses, security attacks, ransomware or cyber extortion, fraud, general internet availability issues, spikes in usage, and denial of service issues. In some instances, we may not be able to identify the cause or causes of these performance problems within an acceptable period of time. For example, we have experienced partial outages in our services that impacted a subset of our users for a limited number of hours. Additionally, in connection with the addition of new data centers or expansion or consolidation of our existing data center facilities or other reasons, we may move or transfer our data and our users’ metadata to other data centers, not including our China data center. Despite precautions that we take during this process, any unsuccessful data transfers may impair or cause disruptions in the delivery of our service, and we may incur significant costs in connection with any such move or transfer. Interruptions, delays, or outages in our services would reduce our revenue; may require us to issue credits or pay penalties; may subject us to claims and litigation; and may cause customers and hosts to terminate their subscriptions and adversely affect our ability to attract new customers and hosts. Our ability to attract and retain customers and hosts depends on our ability to provide customers and hosts with a highly reliable platform and even minor interruptions or delays in our services could harm our business.</w:t>
      </w:r>
    </w:p>
    <w:p>
      <w:pPr>
        <w:spacing w:after="0" w:line="87"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Additionally, if our data centers are unable to keep up with our increasing needs for capacity, including increased usage stemming from the COVID-19 pandemic, customers may experience delays or interruptions in service as we seek to obtain additional capacity, which could result in the loss of customers who use our video-first communications platform because of its reliability and performance. We plan to continue our practice of opening new data centers to meet increased demand, but we may be unable to bring additional data centers online in a timely manner, including as a result of current shortages for certain parts, such as servers. In addition, to meet short-term capacity needs, we may need to rely increasingly on public cloud providers, including Amazon Web Services and Oracle Cloud, which may result in higher variable costs and harm our business, financial condition, and operating results.</w:t>
      </w:r>
    </w:p>
    <w:p>
      <w:pPr>
        <w:spacing w:after="0" w:line="8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do not control, or in some cases have limited control over, the operation of the co-located data center facilities we use, and they are vulnerable to damage or interruption from human error; intentional bad acts; earthquakes; floods; fires; hurricanes; war; terrorist attacks; power losses; hardware failures; systems failures; telecommunications failures; disease, such as the COVID-19 pandemic; and similar events, any of which could disrupt our service. In the event of significant physical damage to one of these data centers, it may take a significant period of time to achieve full resumption of our services and our disaster recovery planning may not account for all eventualities. Despite precautions taken at these facilities, the occurrence of a natural disaster, an act of terrorism, or other act of malfeasance, a decision to close the facilities without adequate notice or other unanticipated problems at the facilities would harm our business.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We operate in competitive markets, and we must continue to compete effectively.</w:t>
      </w:r>
    </w:p>
    <w:p>
      <w:pPr>
        <w:spacing w:after="0" w:line="121"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market for communication and collaboration technologies platforms is competitive and rapidly changing. Certain features of our current platform compete in the communication and collaboration technologies market with products offered by:</w:t>
      </w:r>
    </w:p>
    <w:p>
      <w:pPr>
        <w:spacing w:after="0" w:line="54" w:lineRule="exact"/>
        <w:rPr>
          <w:sz w:val="20"/>
          <w:szCs w:val="20"/>
          <w:color w:val="auto"/>
        </w:rPr>
      </w:pPr>
    </w:p>
    <w:p>
      <w:pPr>
        <w:ind w:left="1140" w:hanging="565"/>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web-based meeting providers, including Cisco Webex and LogMeIn GoToMeeting;</w:t>
      </w:r>
    </w:p>
    <w:p>
      <w:pPr>
        <w:spacing w:after="0" w:line="117"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bundled productivity solutions providers with video functionality, including Microsoft Teams and Google G Suite and Meet products;</w:t>
      </w:r>
    </w:p>
    <w:p>
      <w:pPr>
        <w:spacing w:after="0" w:line="117"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UCaaS and legacy PBX providers, including Avaya, RingCentral, and 8x8; and</w:t>
      </w:r>
    </w:p>
    <w:p>
      <w:pPr>
        <w:spacing w:after="0" w:line="117"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consumer-facing platforms that can support small- or medium-sized businesses, including Amazon, Apple and Facebook.</w:t>
      </w:r>
    </w:p>
    <w:p>
      <w:pPr>
        <w:spacing w:after="0" w:line="117"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Other large established companies may also make investments in video communications tools. In addition, as we introduce new products and services, and with the introduction of new technologies and market entrants, we expect competition to intensify in the future. For example, we recently introduced Zoom Phone, a cloud phone system that allows customers to replace their existing PBX solution, which will result in increased competition against companies that offer similar services and new competitors that may enter that market in the future. Also, in connection with the travel restrictions and stay-in-place policies resulting from the COVID-19 pandemic, we have seen a significant increase in usage and subscriptions from smaller customers, many of whom are consumers or small and medium sized businesses. With respect to these smaller customers, we face competition from more consumer-oriented platforms, most of which have more experience with the consumer market than we do. Further, many of our actual and potential competitors benefit from competitive advantages over us, such as greater name recognition; longer operating histories; more varied products and services; larger marketing budgets; more established marketing relationships; third-party integration; greater accessibility across devices or applications; access to larger user bases; major distribution agreements with hardware manufacturers and resellers; and greater financial, technical, and other resources. Some of our competitors may make acquisitions or enter into strategic relationships to offer a broader range of products and services than we do. These combinations may make it more difficult for us to compete effectively. We expect these trends to continue as competitors attempt to strengthen or maintain their market positions.</w:t>
      </w:r>
    </w:p>
    <w:p>
      <w:pPr>
        <w:spacing w:after="0" w:line="7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Demand for our platform is also price sensitive. Many factors, including our marketing, user acquisition, and technology costs, and our current and future competitors’ pricing and marketing strategies, can significantly affect our pricing strategies. Certain competitors offer, or may in the future offer, lower-priced or free products, or services that compete with our platform, or may bundle and offer a broader range of products and services than we do. Similarly, certain competitors may use marketing strategies that enable them to acquire customers at a lower cost than we can. Furthermore, third parties could build products similar to ours that rely on open source software. Even if such products do not include all the features and functionality that our platform provides, we could face pricing pressure from these third parties to the extent that users find such alternative products to be sufficient to meet their video communications needs. There can be no assurance that we will not be forced to engage in price-cutting initiatives or other discounts or to increase our marketing and other expenses to attract and retain customers in response to competitive pressures, either of which would harm our business. We, on occasion, offer new customers a free period of time at the beginning of the subscription term that can result in deferred billings or long-term accounts receivable and increase the risk of loss on uncollected accounts receivable.</w:t>
      </w:r>
    </w:p>
    <w:p>
      <w:pPr>
        <w:spacing w:after="0" w:line="19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sustain our revenue growth rate in the future.</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have experienced significant revenue growth in prior periods. You should not rely on the revenue growth of any prior quarterly or annual period as an indication of our future performance. We expect our revenue growth rate to generally decline in future periods. Many factors may contribute to declines in our growth rate, including higher market penetration, increased competition, slowing demand for our platform, especially once the impact of the COVID-19 pandemic tapers, particularly as a vaccine becomes widely available, and users return to work or school or are otherwise no longer subject to shelter-in-place mandates, a failure by us to continue capitalizing on growth opportunities, and the maturation of our business, among others. If our growth rate declines, investors’ perceptions of our business and the trading price of our Class A common stock could be adversely affected.</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Our quarterly results may fluctuate significantly and may not fully reflect the underlying performance of our business.</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quarterly results of operations may vary significantly in the future, and period-to-period comparisons of our results of operations may not be meaningful. Accordingly, the results of any one quarter should not be relied upon as an indication of future performance. Our quarterly results of operations may fluctuate as a result of a variety of factors, many of which are outside of our control, and as a result, may not fully reflect the underlying performance of our business. For example, beginning in the fiscal quarter ended April 30, 2020, we faced unprecedented usage of our video-first communications platform largely</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due to the COVID-19 pandemic, a significant portion of which is attributable to free Basic accounts, which do not generate any revenue. To meet this increased demand, we have incurred and expect to continue to incur significant costs associated with upgrading our infrastructure and expanding our capacity, including higher variable costs to the extent we have had to rely on public cloud providers rather than our own data centers. Fluctuation in quarterly results may negatively impact the value of our securities. Factors that may cause fluctuations in our quarterly results of operations include, without limitation, those listed below:</w:t>
      </w:r>
    </w:p>
    <w:p>
      <w:pPr>
        <w:spacing w:after="0" w:line="75" w:lineRule="exact"/>
        <w:rPr>
          <w:sz w:val="20"/>
          <w:szCs w:val="20"/>
          <w:color w:val="auto"/>
        </w:rPr>
      </w:pPr>
    </w:p>
    <w:p>
      <w:pPr>
        <w:ind w:left="1140" w:hanging="565"/>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and upgrade customers to higher-priced tiers of Zoom Meeting plans;</w:t>
      </w:r>
    </w:p>
    <w:p>
      <w:pPr>
        <w:spacing w:after="0" w:line="117"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hosts and upgrade hosts that subscribe to our free Zoom Meeting plan to one of our paid Zoom Meeting plans;</w:t>
      </w:r>
    </w:p>
    <w:p>
      <w:pPr>
        <w:spacing w:after="0" w:line="117"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employees, in particular those responsible for the selling or marketing of our platform;</w:t>
      </w:r>
    </w:p>
    <w:p>
      <w:pPr>
        <w:spacing w:after="0" w:line="117" w:lineRule="exact"/>
        <w:rPr>
          <w:rFonts w:ascii="Times New Roman" w:cs="Times New Roman" w:eastAsia="Times New Roman" w:hAnsi="Times New Roman"/>
          <w:sz w:val="18"/>
          <w:szCs w:val="18"/>
          <w:color w:val="auto"/>
        </w:rPr>
      </w:pPr>
    </w:p>
    <w:p>
      <w:pPr>
        <w:ind w:left="1140" w:hanging="565"/>
        <w:spacing w:after="0" w:line="282" w:lineRule="auto"/>
        <w:tabs>
          <w:tab w:leader="none" w:pos="11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develop, and retain talented sales personnel who are able to achieve desired productivity levels in a reasonable period of time and provide sales leadership in areas in which we are expanding our sales and marketing efforts;</w:t>
      </w:r>
    </w:p>
    <w:p>
      <w:pPr>
        <w:spacing w:after="0" w:line="53"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way we organize and compensate our sales teams;</w:t>
      </w:r>
    </w:p>
    <w:p>
      <w:pPr>
        <w:spacing w:after="0" w:line="117"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expenses and recognition of revenue;</w:t>
      </w:r>
    </w:p>
    <w:p>
      <w:pPr>
        <w:spacing w:after="0" w:line="117"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sales to large organizations;</w:t>
      </w:r>
    </w:p>
    <w:p>
      <w:pPr>
        <w:spacing w:after="0" w:line="117" w:lineRule="exact"/>
        <w:rPr>
          <w:rFonts w:ascii="Times New Roman" w:cs="Times New Roman" w:eastAsia="Times New Roman" w:hAnsi="Times New Roman"/>
          <w:sz w:val="18"/>
          <w:szCs w:val="18"/>
          <w:color w:val="auto"/>
        </w:rPr>
      </w:pPr>
    </w:p>
    <w:p>
      <w:pPr>
        <w:ind w:left="1140" w:hanging="565"/>
        <w:spacing w:after="0" w:line="282" w:lineRule="auto"/>
        <w:tabs>
          <w:tab w:leader="none" w:pos="11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our sales cycles, especially with respect to sales to large enterprises and highly-regulated industries, including financial services and U.S. federal and state and foreign governmental agencies;</w:t>
      </w:r>
    </w:p>
    <w:p>
      <w:pPr>
        <w:spacing w:after="0" w:line="53" w:lineRule="exact"/>
        <w:rPr>
          <w:rFonts w:ascii="Times New Roman" w:cs="Times New Roman" w:eastAsia="Times New Roman" w:hAnsi="Times New Roman"/>
          <w:sz w:val="18"/>
          <w:szCs w:val="18"/>
          <w:color w:val="auto"/>
        </w:rPr>
      </w:pPr>
    </w:p>
    <w:p>
      <w:pPr>
        <w:jc w:val="both"/>
        <w:ind w:left="1140" w:hanging="565"/>
        <w:spacing w:after="0" w:line="266" w:lineRule="auto"/>
        <w:tabs>
          <w:tab w:leader="none" w:pos="11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operating expenses related to the maintenance and expansion of our business, operations, and infrastructure, as well as international expansion and entry into operating leases; and the hiring and retention of personnel who can build, manage, and maintain our expanded business operations and infrastructure;</w:t>
      </w:r>
    </w:p>
    <w:p>
      <w:pPr>
        <w:spacing w:after="0" w:line="67"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and effectiveness of new sales and marketing initiatives;</w:t>
      </w:r>
    </w:p>
    <w:p>
      <w:pPr>
        <w:spacing w:after="0" w:line="117"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pricing policies or those of our competitors;</w:t>
      </w:r>
    </w:p>
    <w:p>
      <w:pPr>
        <w:spacing w:after="0" w:line="117" w:lineRule="exact"/>
        <w:rPr>
          <w:rFonts w:ascii="Times New Roman" w:cs="Times New Roman" w:eastAsia="Times New Roman" w:hAnsi="Times New Roman"/>
          <w:sz w:val="18"/>
          <w:szCs w:val="18"/>
          <w:color w:val="auto"/>
        </w:rPr>
      </w:pPr>
    </w:p>
    <w:p>
      <w:pPr>
        <w:ind w:left="1140" w:hanging="565"/>
        <w:spacing w:after="0" w:line="282" w:lineRule="auto"/>
        <w:tabs>
          <w:tab w:leader="none" w:pos="11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experienced research and development personnel to design new products, features, and functionality that meet our privacy and security standards;</w:t>
      </w:r>
    </w:p>
    <w:p>
      <w:pPr>
        <w:spacing w:after="0" w:line="53"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new products, features, and functionality by us or our competitors;</w:t>
      </w:r>
    </w:p>
    <w:p>
      <w:pPr>
        <w:spacing w:after="0" w:line="117" w:lineRule="exact"/>
        <w:rPr>
          <w:rFonts w:ascii="Times New Roman" w:cs="Times New Roman" w:eastAsia="Times New Roman" w:hAnsi="Times New Roman"/>
          <w:sz w:val="18"/>
          <w:szCs w:val="18"/>
          <w:color w:val="auto"/>
        </w:rPr>
      </w:pPr>
    </w:p>
    <w:p>
      <w:pPr>
        <w:ind w:left="1140" w:hanging="565"/>
        <w:spacing w:after="0" w:line="282" w:lineRule="auto"/>
        <w:tabs>
          <w:tab w:leader="none" w:pos="11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or delays in our service; network outages; or actual, alleged, or perceived privacy violations or issues or security vulnerabilities, incidents, or breaches;</w:t>
      </w:r>
    </w:p>
    <w:p>
      <w:pPr>
        <w:spacing w:after="0" w:line="53" w:lineRule="exact"/>
        <w:rPr>
          <w:rFonts w:ascii="Times New Roman" w:cs="Times New Roman" w:eastAsia="Times New Roman" w:hAnsi="Times New Roman"/>
          <w:sz w:val="18"/>
          <w:szCs w:val="18"/>
          <w:color w:val="auto"/>
        </w:rPr>
      </w:pPr>
    </w:p>
    <w:p>
      <w:pPr>
        <w:ind w:left="1140" w:hanging="565"/>
        <w:spacing w:after="0" w:line="282" w:lineRule="auto"/>
        <w:tabs>
          <w:tab w:leader="none" w:pos="11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lawsuits; regulatory actions or investigations; legislator scrutiny; or negative publicity arising from actual, alleged, or perceived privacy violations or issues or security vulnerabilities, incidents, or breaches;</w:t>
      </w:r>
    </w:p>
    <w:p>
      <w:pPr>
        <w:spacing w:after="0" w:line="53"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competitive dynamics of our industry, including consolidation among competitors;</w:t>
      </w:r>
    </w:p>
    <w:p>
      <w:pPr>
        <w:spacing w:after="0" w:line="117"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that impact our business;</w:t>
      </w:r>
    </w:p>
    <w:p>
      <w:pPr>
        <w:spacing w:after="0" w:line="117"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large indemnification payments to our users or other third parties;</w:t>
      </w:r>
    </w:p>
    <w:p>
      <w:pPr>
        <w:spacing w:after="0" w:line="117"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expenses related to any future acquisitions; and</w:t>
      </w:r>
    </w:p>
    <w:p>
      <w:pPr>
        <w:spacing w:after="0" w:line="117"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market conditions.</w:t>
      </w:r>
    </w:p>
    <w:p>
      <w:pPr>
        <w:spacing w:after="0" w:line="221"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Failures in internet infrastructure or interference with broadband access could cause current or potential users to believe that our systems are unreliable, possibly leading our customers and hosts to switch to our competitors, or to cancel their subscriptions to our platform.</w:t>
      </w:r>
    </w:p>
    <w:p>
      <w:pPr>
        <w:spacing w:after="0" w:line="5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Unlike traditional communications and collaborations technologies, our services depend on our users’ high-speed broadband access to the internet, usually provided through a cable or digital subscriber line connection. Increasing numbers of users and increasing bandwidth requirements may degrade the performance of our platform due to capacity constraints and other internet infrastructure limitations. As our number of users grow and their usage of communications capacity increases, including increased usage stemming from the COVID-19 pandemic, we will be required to make additional investments in network capacity to maintain adequate data transmission speeds, the availability of which may be limited, or the cost of which may be on terms unacceptable to us. If adequate capacity is not available to us as our user base grows, our network may be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unable to achieve or maintain sufficiently high data transmission capacity, reliability, or performance. In addition, if internet service providers and other third parties providing internet services have outages or deteriorations in their quality of service, our users will not have access to our platform or may experience a decrease in the quality of our platform. Furthermore, as the rate of adoption of new technologies increases, the networks our platform relies on may not be able to sufficiently adapt to the increased demand for these services, including ours. Frequent or persistent interruptions could cause current or potential users to believe that our systems or platform are unreliable, leading them to switch to our competitors or to avoid our platform, which could permanently harm our business.</w:t>
      </w:r>
    </w:p>
    <w:p>
      <w:pPr>
        <w:spacing w:after="0" w:line="7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 addition, users who access our platform through mobile devices, such as smartphones and tablets, must have a high-speed connection, such as 3G, 4G, 5G, LTE, satellite, or Wi-Fi, to use our services and applications. Currently, this access is provided by companies that have significant and increasing market power in the broadband and internet access marketplace, including incumbent phone companies, cable companies, satellite companies, and wireless companies. Some of these providers offer products and subscriptions that directly compete with our own offerings, which can potentially give them a competitive advantage. Also, these providers could take measures that degrade, disrupt, or increase the cost of user access to third-party services, including our platform, by restricting or prohibiting the use of their infrastructure to support or facilitate third-party services or by charging increased fees to third parties or the users of third-party services, any of which would make our platform less attractive to users and reduce our revenue.</w:t>
      </w:r>
    </w:p>
    <w:p>
      <w:pPr>
        <w:spacing w:after="0" w:line="81"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On January 4, 2018, the Federal Communications Commission (“FCC”) released an order reclassifying broadband internet access as an information service, subject to certain provisions of Title I of the Communications Act. The order requires broadband providers to publicly disclose accurate information regarding network management practices, performance characteristics, and commercial terms of their broadband internet access services sufficient to enable consumers to make informed choices regarding the purchase and use of such services, and entrepreneurs and other small businesses to develop, market, and maintain internet offerings. The new rules went into effect on June 11, 2018. Numerous parties filed judicial challenges to the order, and on October 1, 2019, the United States Court of Appeals for the District of Columbia Circuit released a decision that rejected nearly all of the challenges to the new rules, but reversed the FCC's decision to prohibit all state and local regulation targeted at broadband internet service, requiring case-by-case determinations as to whether state and local regulation conflicts with the FCC's rules. The court also required the FCC to reexamine three issues from the order but allowed the order to remain in effect, while the FCC conducts that review. On February 6, 2020, the court denied requests for rehearing of the original decision, and the deadline for petitions requesting the Supreme Court to review the decision has passed without the filing of any such petitions. On February 19, 2020, the FCC released a public notice asking for comment on the three issues the court required it to reexamine. On October 26, 2020, the FCC adopted an order concluding that the three issues remanded by the court did not provide a basis to alter its conclusions in the 2018 order. This order could be subject to petitions for reconsideration or court appeals. In addition, a number of states are adopting or considering legislation or executive actions that would regulate the conduct of broadband providers. As a result, we cannot predict whether the FCC order or state initiatives will be modified, overturned, or vacated by legal action of the court, federal legislation, or the FCC. Under the new rules, broadband internet access providers may be able to charge web-based services such as ours for priority access or favor services offered by our competitors or by the internet access providers themselves, which could result in increased costs and a loss of existing customers and hosts, impair our ability to attract new customers and hosts, and harm our business.</w:t>
      </w:r>
    </w:p>
    <w:p>
      <w:pPr>
        <w:spacing w:after="0" w:line="8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If there are changes to the regulatory structures in the United States or elsewhere that reduce investment in infrastructure by internet service providers, including a return of the network neutrality regulations that were repealed, any impacts of reduced investment that reduce network capacity or speed could have a negative effect on our business, operating results, and financial condition.</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As we increase sales to large organizations, our sales cycles could lengthen, and we could experience greater deployment challenges.</w:t>
      </w:r>
    </w:p>
    <w:p>
      <w:pPr>
        <w:spacing w:after="0" w:line="1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As we continue to grow, we have begun investing more resources into sales to large organizations. Large organizations typically undertake a significant evaluation and negotiation process due to their leverage, size, organizational structure, and approval requirements, all of which can lengthen our sales cycle. We may also face unexpected deployment challenges with large organizations or more complicated deployment of our platform. Large organizations may demand additional features, support services and pricing concessions, or require additional security management or control features. We may spend substantial time, effort, and money on sales efforts to large organizations without any assurance that our efforts will produce any sales or that these customers will deploy our platform widely enough across their organization to justify our substantial up-front investment. As a result, we anticipate increased sales to large organizations will lead to higher up-front sales costs and greater unpredictability in our business, results of operations, and financial condition.</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generate revenue from sales of subscriptions to our platform, and any decline in demand for our platform or for communications and collaboration technologies in general would harm our business.</w:t>
      </w:r>
    </w:p>
    <w:p>
      <w:pPr>
        <w:spacing w:after="0" w:line="5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generate, and expect to continue to generate, revenue from the sale of subscriptions to our platform. As a result, widespread acceptance and use of communications and collaboration technologies in general, and our platform in particular, is critical to our future growth and success. If the communications and collaboration technologies market fails to grow, or grows more slowly than we currently anticipate, or if any new customers or hosts that have subscribed to our services during the COVID-19 pandemic subsequently reduce or discontinue their use after the impact of the pandemic has tapered, demand for our platform could be negatively affected.</w:t>
      </w:r>
    </w:p>
    <w:p>
      <w:pPr>
        <w:spacing w:after="0" w:line="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Changes in user preferences for communications and collaboration technologies may have a disproportionately greater impact on us than if we offered multiple platforms or disparate products. Demand for communications and collaboration technologies in general, and our platform in particular, is affected by a number of factors, many of which are beyond our control. Some of these potential factors include:</w:t>
      </w:r>
    </w:p>
    <w:p>
      <w:pPr>
        <w:spacing w:after="0" w:line="68" w:lineRule="exact"/>
        <w:rPr>
          <w:sz w:val="20"/>
          <w:szCs w:val="20"/>
          <w:color w:val="auto"/>
        </w:rPr>
      </w:pPr>
    </w:p>
    <w:p>
      <w:pPr>
        <w:ind w:left="1140" w:hanging="646"/>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awareness of the communications and collaboration technologies category;</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products and services that compete with ours;</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and privacy;</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modes of communications and collaboration that may be developed in the future;</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adoption and use;</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features and platform experience;</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reliability of our platform, including frequency of outages;</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user support; and</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w:t>
      </w:r>
    </w:p>
    <w:p>
      <w:pPr>
        <w:spacing w:after="0" w:line="11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communications and collaboration technologies market is subject to rapidly changing user demand and trends in preferences. If we fail to successfully predict and address these changes and trends, meet user demands, or achieve more widespread market acceptance of our platform, our business would be harmed.</w:t>
      </w:r>
    </w:p>
    <w:p>
      <w:pPr>
        <w:spacing w:after="0" w:line="172" w:lineRule="exact"/>
        <w:rPr>
          <w:sz w:val="20"/>
          <w:szCs w:val="20"/>
          <w:color w:val="auto"/>
        </w:rPr>
      </w:pPr>
    </w:p>
    <w:p>
      <w:pPr>
        <w:jc w:val="both"/>
        <w:ind w:right="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experienced net losses in the past, and we expect to increase our expenses in the future, which could prevent us from maintaining profitability.</w:t>
      </w:r>
    </w:p>
    <w:p>
      <w:pPr>
        <w:spacing w:after="0" w:line="51"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Although we generated net income of $198.6 million and $411.7 million for the three and nine months ended October 31, 2020, respectively, we have incurred net losses in the past and could incur net losses in the future. We intend to continue to expend significant funds to expand our direct sales force and marketing efforts to attract new customers and hosts and to develop and enhance our products and for general corporate purposes, including operations, hiring additional personnel, including through acquisitions of other businesses, upgrading our infrastructure, and addressing security and privacy issues, including those stemming from the unprecedented numbers of first-time users during the COVID-19 pandemic who may not have full IT support or established protocols like our enterprise customers, and expanding into new geographical markets. To the extent we are successful in increasing our user base, we may also incur increased losses because, other than sales commissions, the costs associated with acquiring customers and hosts are generally incurred up front, while the subscription revenue is generally recognized ratably over the subscription term, which can be monthly, annual, or on a multiyear basis. Our efforts to grow our business may be costlier than we expect, and we may not be able to increase our revenue enough to offset our higher operating expenses. We may incur significant losses in the future for a number of reasons, including as a result of the other risks described herein, and unforeseen expenses, difficulties, complications, delays, and other unknown events. For example, we have faced unprecedented usage during the COVID-19 pandemic and, to meet this increased demand, have incurred and expect to continue to incur significant costs associated with upgrading our infrastructure and expanding our capacity, including higher variable costs to the extent we have to rely on public cloud providers rather than our own data centers. Despite these significant investments, a majority of these new hosts using our platform on a free Basic account may never upgrade to a paid Zoom Meeting plan. If we are unable to sustain profitability, the value of our business and Class A common stock may significantly decrease. Furthermore, it is difficult to predict the size and growth rate of our market, customer demand for our platform, user adoption and renewal of our platform, the entry of competitive products and services, or the success of existing competitive products and services. As a result, we may not maintain profitability in future periods. If we fail to grow our revenue sufficiently to keep pace with our investments and other expenses, our business would be harmed.</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experience of our users depends upon the interoperability of our platform across devices, operating systems, and third-party applications that we do not control, and if we are not able to maintain and expand our relationships with third parties to integrate our platform with their solutions, our business may be harmed.</w:t>
      </w:r>
    </w:p>
    <w:p>
      <w:pPr>
        <w:spacing w:after="0" w:line="6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One of the most important features of our platform is its broad interoperability with a range of diverse devices, operating systems, and third-party applications. Our platform is accessible from the web and from devices running Windows, Mac OS, iOS, Android, and Linux. We also have integrations with Atlassian, Dropbox, Google, Microsoft, Salesforce, Slack, and a variety of other productivity, collaboration, data management, and security vendors. We are dependent on the accessibility of our platform across these and other third-party operating systems and applications that we do not control. For example, given the broad adoption of Microsoft Office and other productivity software, it is important that we are able to integrate with this software. Several of our competitors own, develop, operate, or distribute operating systems, app stores, co-located data center services, and other software, and also have material business relationships with companies that own, develop, operate, or distribute operating systems, applications markets, co-located data center services, and other software that our platform requires in order to operate. Moreover, some of these competitors have inherent advantages developing products and services that more tightly integrate with their software and hardware platforms or those of their business partners.</w:t>
      </w:r>
    </w:p>
    <w:p>
      <w:pPr>
        <w:spacing w:after="0" w:line="80"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Third-party services and products are constantly evolving, and we may not be able to modify our platform to assure its compatibility with that of other third parties following development changes. In addition, some of our competitors may be able to disrupt the operations or compatibility of our platform with their products or services, or exert strong business influence on our ability to, and terms on which we, operate and distribute our platform. For example, we currently offer products that directly compete with several large technology companies that we rely on to ensure the interoperability of our platform with their products or services. As our respective products evolve, we expect this level of competition to increase. Should any of our competitors modify their products or standards in a manner that degrades the functionality of our platform or gives preferential treatment to competitive products or services, whether to enhance their competitive position or for any other reason, the interoperability of our platform with these products could decrease and our business could be harmed.</w:t>
      </w:r>
    </w:p>
    <w:p>
      <w:pPr>
        <w:spacing w:after="0" w:line="8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addition, we provide, develop, and create applications for our platform partners that integrate our platform with our partners’ various offerings. For example, our Zoom Meetings product integrates with tools offered by companies, such as Atlassian and Dropbox, to help teams get more done together. If we are not able to continue and expand on existing and new relationships to integrate our platform with our partners’ solutions, or there are quality issues with our products or service interruptions of our products that integrate with our partners’ solutions, our business will be harmed.</w:t>
      </w:r>
    </w:p>
    <w:p>
      <w:pPr>
        <w:spacing w:after="0" w:line="7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are subject to requirements imposed by app stores such as those operated by Apple and Google, who may change their technical requirements or policies in a manner that adversely impacts the way in which we or our partners collect, use and share data from users. If we do not comply with these requirements, we could lose access to the app store and users, and our business would be harmed.</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respond to rapid technological changes, extend our platform, or develop new features.</w:t>
      </w:r>
    </w:p>
    <w:p>
      <w:pPr>
        <w:spacing w:after="0" w:line="12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communications and collaboration technologies market is characterized by rapid technological change and frequent new product and service introductions. Our ability to grow our user base and increase revenue from customers will depend heavily on our ability to enhance and improve our platform; introduce new features and products; and interoperate across an increasing range of devices, operating systems, and third-party applications. Our customers may require features and capabilities that our current platform does not have. We invest significantly in research and development, and our goal is to focus our spending on measures that improve quality and ease of adoption, enhance privacy and security, and create organic user demand for our platform. For example, in October 2020 we introduced two new additions to our Zoom platform, OnZoom and Zoom Apps. There is no assurance that these new additions or other future enhancements to our platform or new product experiences, features, or capabilities will be compelling to our users or gain market acceptance, or that they will perform as expected. If our research and development investments do not accurately anticipate user demand or if we fail to develop our platform in a manner that satisfies user preferences and requirements in a timely and cost-effective manner, we may fail to retain our existing users or increase demand for our platform.</w:t>
      </w:r>
    </w:p>
    <w:p>
      <w:pPr>
        <w:spacing w:after="0" w:line="86"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introduction of new products and services by competitors or the development of entirely new technologies to replace existing offerings could make our platform obsolete or adversely affect our business, results of operations, and financial condition. We may experience difficulties with software development, design, or marketing that could delay or prevent our development, introduction, or implementation of new product experiences, features, or capabilities. We have in the past experienced delays in our internally planned release dates of new features and capabilities and there can be no assurance that new product experiences, features, or capabilities will be released according to schedule. Any delays could result in adverse publicity, loss of revenue or market acceptance, or claims by users brought against us, all of which could harm our business. Moreover, new productivity features to our platform may require substantial investment, and we have no assurance that such investments will be successful. If customers and hosts do not widely adopt our new product experiences, features, and capabilities, or they do not perform as expected, we may not be able to realize a return on our investment. If we are unable to</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develop, license, or acquire new features and capabilities to our platform on a timely and cost-effective basis, or if such enhancements do not achieve market acceptance, our business would be harmed.</w:t>
      </w:r>
    </w:p>
    <w:p>
      <w:pPr>
        <w:spacing w:after="0" w:line="158"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failure to effectively develop and expand our marketing and sales capabilities could harm our ability to increase our customer base and achieve broader market acceptance of our platform.</w:t>
      </w:r>
    </w:p>
    <w:p>
      <w:pPr>
        <w:spacing w:after="0" w:line="5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ability to increase our customer and host base and achieve broader market acceptance of our products and services will depend to a significant extent on our ability to expand our marketing and sales operations. We plan to continue expanding our sales force and strategic partners, both domestically and internationally. If we are unable to hire a sufficient number of qualified sales personnel in the near term, our future revenue growth and business could be adversely impacted.</w:t>
      </w:r>
    </w:p>
    <w:p>
      <w:pPr>
        <w:spacing w:after="0" w:line="72"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Identifying and recruiting qualified sales representatives and training them is time consuming and resource intensive, and they may not be fully trained and productive for a significant amount of time. We also plan to dedicate significant resources to sales and marketing programs, including internet and other online advertising. All of these efforts will require us to invest significant financial and other resources. In addition, the cost to acquire customers and hosts is high due to these marketing and sales efforts. Our business will be harmed if our efforts do not generate a correspondingly significant increase in revenue. We will not achieve anticipated revenue growth from expanding our sales force if we are unable to hire, develop, and retain talented sales personnel, our new sales personnel are unable to achieve desired productivity levels in a reasonable period of time, or if our sales and marketing programs are not effective.</w:t>
      </w:r>
    </w:p>
    <w:p>
      <w:pPr>
        <w:spacing w:after="0" w:line="185" w:lineRule="exact"/>
        <w:rPr>
          <w:sz w:val="20"/>
          <w:szCs w:val="20"/>
          <w:color w:val="auto"/>
        </w:rPr>
      </w:pPr>
    </w:p>
    <w:p>
      <w:pPr>
        <w:jc w:val="both"/>
        <w:ind w:firstLine="48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security measures have been compromised in the past and may be compromised in the future. If our security measures are compromised in the future or if our information technology fails, this could harm our reputation, expose us to significant fines and liability, impair our sales, and harm our business. In addition, our products and services may be perceived as not being secure. This perception may result in customers and hosts curtailing or ceasing their use of our products, our incurring significant liabilities, and our business being harmed.</w:t>
      </w:r>
    </w:p>
    <w:p>
      <w:pPr>
        <w:spacing w:after="0" w:line="72" w:lineRule="exact"/>
        <w:rPr>
          <w:sz w:val="20"/>
          <w:szCs w:val="20"/>
          <w:color w:val="auto"/>
        </w:rPr>
      </w:pPr>
    </w:p>
    <w:p>
      <w:pPr>
        <w:jc w:val="both"/>
        <w:ind w:firstLine="486"/>
        <w:spacing w:after="0" w:line="251" w:lineRule="auto"/>
        <w:rPr>
          <w:sz w:val="20"/>
          <w:szCs w:val="20"/>
          <w:color w:val="auto"/>
        </w:rPr>
      </w:pPr>
      <w:r>
        <w:rPr>
          <w:rFonts w:ascii="Times New Roman" w:cs="Times New Roman" w:eastAsia="Times New Roman" w:hAnsi="Times New Roman"/>
          <w:sz w:val="18"/>
          <w:szCs w:val="18"/>
          <w:color w:val="auto"/>
        </w:rPr>
        <w:t>Our operations involve the storage and transmission of customer and user data or information, and security incidents have occurred in the past, and may occur in the future, resulting in unauthorized access to, loss or unauthorized disclosure of, or inadvertent disclosure of, this information, regulatory investigations or enforcement actions, litigation, indemnity obligations, and other possible liabilities, as well as negative publicity, which could damage our reputation, impair our sales, and harm our business. Cyberattacks and other malicious internet-based activity continue to increase, and cloud-based platform providers of products and services have been and are expected to continue to be targeted. In addition to traditional computer “hackers,” we face security risks from malicious code (such as viruses and worms), employee theft, misuse of information or systems, sophisticated nation-state and nation-state supported actors, and advanced persistent threat intrusions. Moreover, security incidents can result in interruptions, delays, or outages in our operations and services, including due to ransomware or denial-of-service attacks. Despite significant efforts to create security barriers to such threats, it is impossible for us to entirely mitigate these risks. If our security measures are compromised as a result of third-party action, employee, customer, host or user error, malfeasance, stolen or fraudulently obtained log-in credentials, or otherwise, our reputation could be damaged; our data, information or intellectual property, or that of our customers, may be destroyed, stolen, or otherwise compromised; our business may be harmed; and we could incur significant liability. We have not always been able in the past and may be unable in the future to anticipate or prevent threats or techniques used to detect or exploit vulnerabilities in our services or software or third-party software, or obtain unauthorized access to or compromise our systems, because such threats and techniques change frequently and are generally not detected until after an incident has occurred. In addition, security researchers and other individuals have in the past and will continue in the future to actively search for and exploit actual and potential vulnerabilities in our software or services. This activity may increase because of increased demand for our services and increased media scrutiny of our video-first communications platform, and can lead to additional adverse publicity, reputational harm, extortion threats, business and operational interruptions, security incidents, additional expenses, litigation, regulatory investigations and actions, and substantial harm to our business, some of which we have experienced during the COVID-19 pandemic. For example, in July 2019, a security researcher published a blog highlighting concerns with the Zoom Meeting platform, including certain video-on features. We were able to release updates to the software addressing these vulnerabilities, and we are not aware of any customers being affected or meetings compromised by these vulnerabilities. In most cases customers are responsible for installing this update to the software, and their software is subject to these vulnerabilities until they do so. Additionally, in March 2020, a security researcher reported certain vulnerabilities related to our macOS version that could have allowed an unauthorized person to gain root access to a user’s system. We cannot be certain that we will be able to address any vulnerabilities in our software that we may become aware of in the future, or there may be delays in developing patches that can be effectively deployed to address vulnerabilities. We expect similar issues to arise in the future as our products and services are more widely adopted, and as we continue to expand the features and functionality of existing products and introduce new products. We expect to expend significant resources in an effort to protect against security incidents and to mitigate, detect, and remediate actual and potential vulnerabilities. Security incidents and vulnerabilities, and concerns regarding privacy, data protection, and information security may cause some of our customers and hosts to stop using our solutions and fail to upgrade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or renew their subscriptions. This discontinuance in use or failure to upgrade or renew could substantially harm our business. Further, as we rely on third-party and public-cloud infrastructure, we depend in part on third-party security measures to protect against unauthorized access, cyberattacks, and the mishandling of data and information. In addition, failures to meet customers’ and hosts’ expectations with respect to security and confidentiality of their data and information could damage our reputation and affect our ability to retain customers and hosts, attract new customers and hosts, and grow our business. In addition, cybersecurity events or security vulnerabilities could result in breaches of our agreements with customers, lawsuits against us (including class action litigation), regulatory investigations or actions, and significant increases in costs, including costs for remediating the effects of such an event or vulnerability, lost revenue due to network downtime, and a decrease in customer, host, and user trust, increases in insurance premiums due to cybersecurity incidents, increased costs to address cybersecurity issues, and attempts to prevent future incidents, fines, penalties, judgments and settlements, and attorney fees, and harm to our business and our reputation because of any such incident.</w:t>
      </w:r>
    </w:p>
    <w:p>
      <w:pPr>
        <w:spacing w:after="0" w:line="80"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Many governments have enacted laws requiring companies to provide notice of data security incidents involving certain types of personal data. Such laws are inconsistent, and compliance in the event of a widespread data breach is costly. In addition, some of our customers require us to notify them of data security breaches. Security compromises experienced by our competitors, our customers, or us may lead to public disclosures, which may lead to widespread negative publicity. In addition, while more than half of our employees are based in the United States, like many similarly situated technology companies, we have a sizable number of research and development personnel in China, which has exposed and could continue to expose us to governmental and regulatory as well as market and media scrutiny regarding the actual or perceived integrity of our platform or data security and privacy features. Any security compromise in our industry, whether actual or perceived, could harm our reputation, erode confidence in the effectiveness of our security measures; negatively affect our ability to attract new customers and hosts; cause existing customers to elect not to renew their subscriptions; or subject us to third-party lawsuits, regulatory investigations, proceedings, and fines, or other action or liability, which could harm our business and reputation. Increased usage of our services, novel uses of our services, and additional awareness of Zoom and our brand could lead to greater public scrutiny of, press related to, or a negative perception of our information security and potential vulnerabilities associated with, our platform. For example, in connection with the COVID-19 pandemic, we opened our platform to unprecedented numbers of first-time users, leading to challenges for users who did not have full IT support or established protocols for security and privacy like our enterprise customers. As a result, we have experienced negative publicity related to meeting disruptions and security and privacy issues. Such unfavorable publicity and scrutiny could result in material reputational harm, a loss of customer and user confidence, increased regulatory or litigation exposure, additional expenses, and other harm to our business.</w:t>
      </w:r>
    </w:p>
    <w:p>
      <w:pPr>
        <w:spacing w:after="0" w:line="88"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There can be no assurance that any limitations of liability provisions in our subscription agreements, terms of use or other agreements would be enforceable or adequate or would otherwise protect us from any such liabilities or damages with respect to any particular claim. We also cannot be sure that our existing general liability insurance coverage and coverage for cyber liability or errors or omissions will continue to be available on acceptable terms or will be available in sufficient amounts to cover one or more large claims or that the insurer will not deny coverage as to any future claim. The successful assertion of one or more large claims against us that are not covered or exceed available insurance coverage, or the occurrence of changes in our insurance policies, including premium increases or the imposition of large deductible or co-insurance requirements, could harm our business.</w:t>
      </w:r>
    </w:p>
    <w:p>
      <w:pPr>
        <w:spacing w:after="0" w:line="183"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a strong brand, and if we are not able to maintain and enhance our brand, our ability to expand our base of users will be impaired and our business will be harmed.</w:t>
      </w:r>
    </w:p>
    <w:p>
      <w:pPr>
        <w:spacing w:after="0" w:line="5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believe that our brand identity and awareness have contributed to our success and have helped fuel our efficient go-to-market strategy. We connect people through frictionless and secure video, voice, chat, and content sharing. We also believe that maintaining and enhancing the Zoom brand is critical to expanding our base of customers, hosts, and users and, in particular, conveying to users and the public that the Zoom brand consists of a broad communications platform, rather than just one distinct product. For example, if users incorrectly view the Zoom brand primarily as a video conferencing point solution or utility rather than as a platform with multiple communications solutions, or have a negative perception of our privacy and security, then our market position may be detrimentally impacted at such time as a competitor introduces a new or better product. We anticipate that, as our market becomes increasingly competitive, maintaining and enhancing our brand may become increasingly difficult and expensive. Any unfavorable publicity or perception of our platform, including any delays or interruptions in service due to capacity constraints stemming from increased usage due to the COVID-19 pandemic, or of our privacy or security features, or of the providers of communication and collaboration technologies generally, could adversely affect our reputation and our ability to attract and retain hosts. Similarly, any unfavorable perception of our company, including due to any actual or perceived violation by our employees of our policies, such as our Code of Business Conduct and Ethics, could cause us reputational harm and customer loss, impact our financial performance, expose us to litigation, and harm our</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business, among other things. If we fail to promote and maintain the Zoom brand, including consumer and public perception of our platform or our company, or if we incur excessive expenses in this effort, our business will be harmed.</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We may not successfully manage our growth or plan for future growth.</w:t>
      </w:r>
    </w:p>
    <w:p>
      <w:pPr>
        <w:spacing w:after="0" w:line="1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Since our founding in 2011, we have experienced rapid growth. For example, our headcount has grown from 2,409 full-time employees as of October 31, 2019, to 3,871 full-time employees as of October 31, 2020, with employees located both in the United States and internationally. The growth and expansion of our business places a continuous, significant strain on our management, operational, and financial resources. Further growth of our operations to support our user base, our expanding third-party relationships, our information technology systems, and our internal controls and procedures may not be adequate to support our operations. In addition, as we continue to grow, we face challenges integrating, developing, and motivating a rapidly growing employee base in various countries around the world. For example, a significant number of our employees were hired in recent months and have never been to one of our office locations. Certain members of our management have not previously worked together for an extended period of time, and some do not have prior experience managing a public company, which may affect how they manage our growth. Managing our growth will also require significant expenditures and allocation of valuable management resources.</w:t>
      </w:r>
    </w:p>
    <w:p>
      <w:pPr>
        <w:spacing w:after="0" w:line="8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addition, our rapid growth may make it difficult to evaluate our future prospects. Our ability to forecast our future results of operations is subject to a number of uncertainties, including our ability to effectively plan for and model future growth. We have encountered in the past, and may encounter in the future, risks and uncertainties frequently experienced by growing companies in rapidly changing industries. If we fail to achieve the necessary level of efficiency in our organization as it grows, or if we are not able to accurately forecast future growth, our business would be harmed.</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be significantly affected by a change in the economy, including any resulting effect on consumer or business spending.</w:t>
      </w:r>
    </w:p>
    <w:p>
      <w:pPr>
        <w:spacing w:after="0" w:line="12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Our business may be affected by changes in the economy generally, including as a result of the COVID-19 pandemic and any resulting effect on spending by our customers. While some of our customers may consider our platform to be a cost-saving purchase, decreasing the need for business travel, others may view a subscription to our platform as a discretionary purchase, and our customers may reduce their discretionary spending on our platform during an economic downturn. Given current economic conditions, we could experience a reduction in demand and loss of customers, especially if the effects of the current economic environment have a prolonged impact on various industries that our video-first communications platform addresses. We would lose customers as a result of customers ceasing to do business, and we could experience a material increase in longer payment cycles and greater difficulty in collecting accounts receivable from certain customers. While we have seen increased usage stemming from the COVID-19 pandemic, a significant portion of the increase in usage of our platform is attributable to free Basic accounts, which do not generate any revenue. Moreover, there is no assurance that we will experience an increase in paid hosts once the pandemic tapers, particularly in light of the economic downturn. Similarly, given the shift in our customer base from largely businesses and enterprises to a mix of businesses, enterprises, and consumers due to the COVID-19 pandemic, we expect that we will see higher rates of non-renewals than we have experienced historically.</w:t>
      </w:r>
    </w:p>
    <w:p>
      <w:pPr>
        <w:spacing w:after="0" w:line="1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sell subscriptions to our platform could be harmed by real or perceived material defects or errors in our platform.</w:t>
      </w:r>
    </w:p>
    <w:p>
      <w:pPr>
        <w:spacing w:after="0" w:line="12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software technology underlying our platform is inherently complex and may contain material defects or errors, particularly when new products are first introduced or when new features or capabilities are released. We have from time to time found defects or errors in our platform, and new defects or errors in our existing platform or new products may be detected in the future by us or our users. There can be no assurance that our existing platform and new products will not contain defects. Any real or perceived errors, failures, vulnerabilities, or bugs in our platform have in the past resulted and could in the future result in negative publicity or lead to data security, access, retention, or other performance issues, all of which could harm our business. The costs incurred in correcting such defects or errors may be substantial and could harm our business. Moreover, the harm to our reputation and legal liability related to such defects or errors may be substantial and would harm our business.</w:t>
      </w:r>
    </w:p>
    <w:p>
      <w:pPr>
        <w:spacing w:after="0" w:line="8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also utilize hardware purchased or leased and software and services licensed from third parties to offer our platform. Any defects in, or unavailability of, our or third-party hardware, software, or services that cause interruptions to the availability of our services, loss of data, or performance issues could, among other things:</w:t>
      </w:r>
    </w:p>
    <w:p>
      <w:pPr>
        <w:spacing w:after="0" w:line="68" w:lineRule="exact"/>
        <w:rPr>
          <w:sz w:val="20"/>
          <w:szCs w:val="20"/>
          <w:color w:val="auto"/>
        </w:rPr>
      </w:pPr>
    </w:p>
    <w:p>
      <w:pPr>
        <w:ind w:left="1140" w:hanging="646"/>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a reduction in revenue or delay in market acceptance of our platform;</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issue refunds to our customers or expose us to claims for damages;</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us to lose existing hosts and make it more difficult to attract new customers and hosts;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140" w:hanging="646"/>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divert our development resources or require us to make extensive changes to our platform, which would increase our expenses;</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technical support costs; and</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 our reputation and brand.</w:t>
      </w:r>
    </w:p>
    <w:p>
      <w:pPr>
        <w:spacing w:after="0" w:line="221" w:lineRule="exact"/>
        <w:rPr>
          <w:sz w:val="20"/>
          <w:szCs w:val="20"/>
          <w:color w:val="auto"/>
        </w:rPr>
      </w:pPr>
    </w:p>
    <w:p>
      <w:pPr>
        <w:jc w:val="both"/>
        <w:ind w:right="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were to lose the services of our Chief Executive Officer or other members of our senior management team, we may not be able to execute our business strategy.</w:t>
      </w:r>
    </w:p>
    <w:p>
      <w:pPr>
        <w:spacing w:after="0" w:line="5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success depends in a large part upon the continued service of key members of our senior management team. In particular, our founder, President and Chief Executive Officer, Eric S. Yuan, is critical to our overall management, as well as the continued development of our products, services, the Zoom platform, our culture, our strategic direction, engineering, and our global operations, including regions such as the United States, EMEA and APAC. All of our executive officers are at-will employees, and we do not maintain any key person life insurance policies. Any changes in our senior management team in particular, even in the ordinary course of business, may be disruptive to our business. While we seek to prepare for such transitions, including by establishing strong processes and procedures and succession planning, such changes may result in a loss of institutional knowledge and cause disruptions to our business. If our senior management team fails to work together effectively or execute our plans and strategies on a timely basis as a result of management turnover or otherwise, our business could be harmed.</w:t>
      </w:r>
    </w:p>
    <w:p>
      <w:pPr>
        <w:spacing w:after="0" w:line="188"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failure to attract and retain additional qualified personnel or to maintain our happiness-centric company culture could harm our business and culture and prevent us from executing our business strategy.</w:t>
      </w:r>
    </w:p>
    <w:p>
      <w:pPr>
        <w:spacing w:after="0" w:line="5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To execute our business strategy, we must attract and retain highly qualified personnel. Competition for executives, software developers, sales personnel, and other key employees in our industry is intense. In particular, we compete with many other companies for software developers with high levels of experience in designing, developing, and managing software for communication and collaboration technologies, as well as for skilled sales and operations professionals. At times, we have experienced, and we may continue to experience, difficulty in hiring and retaining employees with appropriate qualifications, and we may not be able to fill positions in a timely manner or at all. We completed our initial public offering in April 2019 and potential candidates may not perceive our compensation package, including our equity awards, as favorably as employees hired prior to our initial public offering. In addition, our recruiting personnel, methodology, and approach may need to be altered to address a changing candidate pool and profile. We may not be able to identify or implement such changes in a timely manner. If we fail to attract new personnel or fail to retain and motivate our current personnel, our business could be harmed.</w:t>
      </w:r>
    </w:p>
    <w:p>
      <w:pPr>
        <w:spacing w:after="0" w:line="80"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Many of the companies with which we compete for experienced personnel have greater resources than we have, and some of these companies may offer more attractive compensation packages. Particularly in the San Francisco Bay Area, job candidates and existing employees carefully consider the value of the equity awards they receive in connection with their employment. If the perceived value of our equity awards declines, or if the mix of equity and cash compensation that we offer is unattractive, it may adversely affect our ability to recruit and retain highly skilled employees. Job candidates may also be threatened with legal action under agreements with their existing employers if we attempt to hire them, which could impact hiring and result in a diversion of our time and resources. Additionally, laws and regulations, such as restrictive immigration laws, may limit our ability to recruit internationally. We must also continue to retain and motivate existing employees through our compensation practices, company culture, and career development opportunities. If we fail to attract new personnel or to retain our current personnel, our business would be harmed.</w:t>
      </w:r>
    </w:p>
    <w:p>
      <w:pPr>
        <w:spacing w:after="0" w:line="8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believe that a critical component to our success and our ability to retain our best people is our culture. As we continue to grow and develop a public company infrastructure, we may find it difficult to maintain our happiness-centric company culture. Transparency is also an important part of our culture, and one that we practice every day. As we continue to grow, maintaining this culture of transparency will present its own challenges that we will need to address, including the type of information and level of detail that we share with our employees.</w:t>
      </w:r>
    </w:p>
    <w:p>
      <w:pPr>
        <w:spacing w:after="0" w:line="7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addition, following our initial public offering, many of our employees are now able to receive significant proceeds from sales of our equity in the public markets, which may reduce their motivation to continue to work for us. Moreover, this liquidity could create disparities in wealth among our employees, which may harm our culture and relations among employees and our business.</w:t>
      </w:r>
    </w:p>
    <w:p>
      <w:pPr>
        <w:spacing w:after="0" w:line="172"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continuing to expand our operations outside the United States, where we may be subject to increased business and economic risks that could harm our business.</w:t>
      </w:r>
    </w:p>
    <w:p>
      <w:pPr>
        <w:spacing w:after="0" w:line="5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platform addresses the communications needs of users worldwide, and we see international expansion as a major opportunity. Our revenue from APAC and EMEA collectively represented 31% and 19% of our total revenue for the three months ended October 31, 2020 and 2019, respectively, and 30% and 19% of our revenue for the nine months ended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October 31, 2020 and 2019, respectively. We plan to add local sales support in further select international markets over time. Our customers include multinational corporations with global users, and we expect to continue to expand our international operations, which may include opening offices in new jurisdictions and providing our platform in additional languages to support the needs of these multinational corporations. Any new markets or countries into which we attempt to allow users to access our services or sell subscriptions to our platform may not be receptive. For example, if we are not able to satisfy certain government- and industry-specific requirements, we may experience service outages or other adverse consequences which would impair our ability to expand further into certain markets. In addition, our ability to manage our business and conduct our operations internationally in the future may require considerable management attention and resources and is subject to the particular challenges of supporting a rapidly growing business in an environment of multiple languages, cultures, customs, legal and regulatory systems, alternative dispute systems, and commercial markets. Future international expansion will require investment of significant funds and other resources. We also face risks related to recruiting and retaining talented and capable employees outside the United States, including complying with complex employment- and compensation-related laws, regulations and practices in these international jurisdictions, and maintaining our company culture across all of our offices. We may also be unable to grant equity compensation to employees in certain countries outside of the United States due to the complexities of local laws and regulations. This may require us to offer equally compelling alternatives to supplement our compensation, such as long-term cash compensation plans or increased short-term cash compensation, in order to continue to attract and retain employees in these jurisdictions.</w:t>
      </w:r>
    </w:p>
    <w:p>
      <w:pPr>
        <w:spacing w:after="0" w:line="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Operating internationally subjects us to new risks and may increase risks that we currently face, including risks associated with:</w:t>
      </w:r>
    </w:p>
    <w:p>
      <w:pPr>
        <w:spacing w:after="0" w:line="117" w:lineRule="exact"/>
        <w:rPr>
          <w:sz w:val="20"/>
          <w:szCs w:val="20"/>
          <w:color w:val="auto"/>
        </w:rPr>
      </w:pPr>
    </w:p>
    <w:p>
      <w:pPr>
        <w:jc w:val="both"/>
        <w:ind w:left="1140" w:hanging="646"/>
        <w:spacing w:after="0" w:line="266" w:lineRule="auto"/>
        <w:tabs>
          <w:tab w:leader="none" w:pos="11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our platform and operating our business across a significant distance, in different languages and among different cultures, including the potential need to modify our platform and features to ensure that they are culturally appropriate and relevant in different countries;</w:t>
      </w:r>
    </w:p>
    <w:p>
      <w:pPr>
        <w:spacing w:after="0" w:line="67" w:lineRule="exact"/>
        <w:rPr>
          <w:rFonts w:ascii="Times New Roman" w:cs="Times New Roman" w:eastAsia="Times New Roman" w:hAnsi="Times New Roman"/>
          <w:sz w:val="18"/>
          <w:szCs w:val="18"/>
          <w:color w:val="auto"/>
        </w:rPr>
      </w:pPr>
    </w:p>
    <w:p>
      <w:pPr>
        <w:jc w:val="both"/>
        <w:ind w:left="1140" w:hanging="646"/>
        <w:spacing w:after="0" w:line="266" w:lineRule="auto"/>
        <w:tabs>
          <w:tab w:leader="none" w:pos="11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applicable international laws and regulations, including laws and regulations with respect to privacy, information security, telecommunications requirements, data protection, consumer protection and unsolicited email, and the risk of penalties to us and individual members of management or employees if our practices are deemed to be out of compliance;</w:t>
      </w:r>
    </w:p>
    <w:p>
      <w:pPr>
        <w:spacing w:after="0" w:line="67" w:lineRule="exact"/>
        <w:rPr>
          <w:rFonts w:ascii="Times New Roman" w:cs="Times New Roman" w:eastAsia="Times New Roman" w:hAnsi="Times New Roman"/>
          <w:sz w:val="18"/>
          <w:szCs w:val="18"/>
          <w:color w:val="auto"/>
        </w:rPr>
      </w:pPr>
    </w:p>
    <w:p>
      <w:pPr>
        <w:ind w:left="1140" w:hanging="646"/>
        <w:spacing w:after="0" w:line="282" w:lineRule="auto"/>
        <w:tabs>
          <w:tab w:leader="none" w:pos="11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of an employee base in jurisdictions that may not give us the same employment and retention flexibility as does the United States;</w:t>
      </w:r>
    </w:p>
    <w:p>
      <w:pPr>
        <w:spacing w:after="0" w:line="53" w:lineRule="exact"/>
        <w:rPr>
          <w:rFonts w:ascii="Times New Roman" w:cs="Times New Roman" w:eastAsia="Times New Roman" w:hAnsi="Times New Roman"/>
          <w:sz w:val="18"/>
          <w:szCs w:val="18"/>
          <w:color w:val="auto"/>
        </w:rPr>
      </w:pPr>
    </w:p>
    <w:p>
      <w:pPr>
        <w:ind w:left="1140" w:right="20" w:hanging="646"/>
        <w:spacing w:after="0" w:line="282" w:lineRule="auto"/>
        <w:tabs>
          <w:tab w:leader="none" w:pos="11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 jurisdictions that do not protect intellectual property rights to the same extent as does the United States and the practical enforcement of such intellectual property rights outside of the United States;</w:t>
      </w:r>
    </w:p>
    <w:p>
      <w:pPr>
        <w:spacing w:after="0" w:line="53" w:lineRule="exact"/>
        <w:rPr>
          <w:rFonts w:ascii="Times New Roman" w:cs="Times New Roman" w:eastAsia="Times New Roman" w:hAnsi="Times New Roman"/>
          <w:sz w:val="18"/>
          <w:szCs w:val="18"/>
          <w:color w:val="auto"/>
        </w:rPr>
      </w:pPr>
    </w:p>
    <w:p>
      <w:pPr>
        <w:ind w:left="1140" w:hanging="646"/>
        <w:spacing w:after="0" w:line="282" w:lineRule="auto"/>
        <w:tabs>
          <w:tab w:leader="none" w:pos="11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government interference with our non-core intellectual property that resides outside of the United States, such as the risk of changes in foreign laws that could restrict our ability to use our intellectual property outside of the foreign jurisdiction in which we developed it;</w:t>
      </w:r>
    </w:p>
    <w:p>
      <w:pPr>
        <w:spacing w:after="0" w:line="53"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with partners outside of the United States;</w:t>
      </w:r>
    </w:p>
    <w:p>
      <w:pPr>
        <w:spacing w:after="0" w:line="117" w:lineRule="exact"/>
        <w:rPr>
          <w:rFonts w:ascii="Times New Roman" w:cs="Times New Roman" w:eastAsia="Times New Roman" w:hAnsi="Times New Roman"/>
          <w:sz w:val="18"/>
          <w:szCs w:val="18"/>
          <w:color w:val="auto"/>
        </w:rPr>
      </w:pPr>
    </w:p>
    <w:p>
      <w:pPr>
        <w:ind w:left="1140" w:hanging="646"/>
        <w:spacing w:after="0" w:line="282" w:lineRule="auto"/>
        <w:tabs>
          <w:tab w:leader="none" w:pos="11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by us and our business partners with anti-corruption laws, import and export control laws, tariffs, trade barriers, economic sanctions, and other regulatory limitations on our ability to provide our platform in certain international markets;</w:t>
      </w:r>
    </w:p>
    <w:p>
      <w:pPr>
        <w:spacing w:after="0" w:line="53" w:lineRule="exact"/>
        <w:rPr>
          <w:rFonts w:ascii="Times New Roman" w:cs="Times New Roman" w:eastAsia="Times New Roman" w:hAnsi="Times New Roman"/>
          <w:sz w:val="18"/>
          <w:szCs w:val="18"/>
          <w:color w:val="auto"/>
        </w:rPr>
      </w:pPr>
    </w:p>
    <w:p>
      <w:pPr>
        <w:ind w:left="1140" w:right="20" w:hanging="646"/>
        <w:spacing w:after="0" w:line="282" w:lineRule="auto"/>
        <w:tabs>
          <w:tab w:leader="none" w:pos="11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exchange controls that might require significant lead time in setting up operations in certain geographic territories and might prevent us from repatriating cash earned outside the United States;</w:t>
      </w:r>
    </w:p>
    <w:p>
      <w:pPr>
        <w:spacing w:after="0" w:line="53" w:lineRule="exact"/>
        <w:rPr>
          <w:rFonts w:ascii="Times New Roman" w:cs="Times New Roman" w:eastAsia="Times New Roman" w:hAnsi="Times New Roman"/>
          <w:sz w:val="18"/>
          <w:szCs w:val="18"/>
          <w:color w:val="auto"/>
        </w:rPr>
      </w:pPr>
    </w:p>
    <w:p>
      <w:pPr>
        <w:ind w:left="1140" w:hanging="646"/>
        <w:spacing w:after="0" w:line="282" w:lineRule="auto"/>
        <w:tabs>
          <w:tab w:leader="none" w:pos="11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instability, including as a result of the United Kingdom's (“U.K.") withdrawal from the European Union (“EU”), and other political tensions between countries in which we do business;</w:t>
      </w:r>
    </w:p>
    <w:p>
      <w:pPr>
        <w:spacing w:after="0" w:line="53" w:lineRule="exact"/>
        <w:rPr>
          <w:rFonts w:ascii="Times New Roman" w:cs="Times New Roman" w:eastAsia="Times New Roman" w:hAnsi="Times New Roman"/>
          <w:sz w:val="18"/>
          <w:szCs w:val="18"/>
          <w:color w:val="auto"/>
        </w:rPr>
      </w:pPr>
    </w:p>
    <w:p>
      <w:pPr>
        <w:ind w:left="1140" w:hanging="646"/>
        <w:spacing w:after="0" w:line="282" w:lineRule="auto"/>
        <w:tabs>
          <w:tab w:leader="none" w:pos="11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diplomatic and trade relationships, including the imposition of new trade restrictions, trade protection measures, import or export requirements, trade embargoes, and other trade barriers;</w:t>
      </w:r>
    </w:p>
    <w:p>
      <w:pPr>
        <w:spacing w:after="0" w:line="53" w:lineRule="exact"/>
        <w:rPr>
          <w:rFonts w:ascii="Times New Roman" w:cs="Times New Roman" w:eastAsia="Times New Roman" w:hAnsi="Times New Roman"/>
          <w:sz w:val="18"/>
          <w:szCs w:val="18"/>
          <w:color w:val="auto"/>
        </w:rPr>
      </w:pPr>
    </w:p>
    <w:p>
      <w:pPr>
        <w:ind w:left="1140" w:hanging="646"/>
        <w:spacing w:after="0" w:line="282" w:lineRule="auto"/>
        <w:tabs>
          <w:tab w:leader="none" w:pos="11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longer payment cycles and greater difficulty in collecting accounts receivable, a risk that may increase as a result of the impact of the COVID-19 pandemic on our customers' ability to pay for our service on a timely basis;</w:t>
      </w:r>
    </w:p>
    <w:p>
      <w:pPr>
        <w:spacing w:after="0" w:line="53" w:lineRule="exact"/>
        <w:rPr>
          <w:rFonts w:ascii="Times New Roman" w:cs="Times New Roman" w:eastAsia="Times New Roman" w:hAnsi="Times New Roman"/>
          <w:sz w:val="18"/>
          <w:szCs w:val="18"/>
          <w:color w:val="auto"/>
        </w:rPr>
      </w:pPr>
    </w:p>
    <w:p>
      <w:pPr>
        <w:ind w:left="1140" w:hanging="646"/>
        <w:spacing w:after="0" w:line="282" w:lineRule="auto"/>
        <w:tabs>
          <w:tab w:leader="none" w:pos="11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double taxation of our international earnings and potentially adverse tax consequences due to changes in the income and other tax laws of the United States or the international jurisdictions in which we operate, including the imposition of digital services taxes; and</w:t>
      </w:r>
    </w:p>
    <w:p>
      <w:pPr>
        <w:spacing w:after="0" w:line="53"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costs of doing business internationally, including increased accounting, travel, infrastructure, and legal compliance costs.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Compliance with laws and regulations applicable to our global operations substantially increases our cost of doing business in international jurisdictions. We may be unable to keep current with changes in laws and regulations as they occur. Although we have implemented policies and procedures designed to support compliance with these laws and regulations, there can be no assurance that we will always maintain compliance or that all of our employees, contractors, partners, and agents will comply. Any violations could result in enforcement actions, fines, civil and criminal penalties, damages, injunctions, or reputational harm. If we are unable to comply with these laws and regulations or manage the complexity of our global operations successfully, we may need to relocate or cease operations in certain foreign jurisdictions. Additionally, while our engineering team is headquartered in the United States, we employ a product development team that has a relatively significant footprint in China today, where personnel costs are less expensive than in many other geographies. This product development team carries out the design and architecture decisions made by our U.S. engineering team. In May 2020, we announced the opening of two new research and development centers in Phoenix, Arizona and Pittsburgh, Pennsylvania. As a result of this expansion, we could experience, among other things, higher operating expenses, which would adversely impact our operating margins and harm our business.</w:t>
      </w:r>
    </w:p>
    <w:p>
      <w:pPr>
        <w:spacing w:after="0" w:line="188"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recognize revenue from subscriptions to our platform over the terms of these subscriptions. Consequently, increases or decreases in new sales may not be immediately reflected in our results of operations and may be difficult to discern.</w:t>
      </w:r>
    </w:p>
    <w:p>
      <w:pPr>
        <w:spacing w:after="0" w:line="5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recognize revenue from subscriptions to our platform over the terms of these subscriptions. As a result, a portion of the revenue we report in each quarter is derived from the recognition of deferred revenue relating to subscriptions entered into during previous quarters. Consequently, a decline in new or renewed subscriptions in any single quarter may have an immaterial impact on the revenue that we recognize for that quarter. However, such a decline will negatively affect our revenue in future quarters. Accordingly, the effect of significant downturns in sales and potential changes in our pricing policies or rate of customer expansion or retention may not be fully reflected in our results of operations until future periods. In addition, a significant portion of our costs is expensed as incurred, while revenue is recognized over the term of the subscription. As a result, growth in the number of new customers and hosts could continue to result in our recognition of higher costs and lower revenue in the earlier periods of our subscriptions. Finally, our subscription-based revenue model also makes it difficult for us to rapidly increase our revenue through additional sales in any period, as revenue from new customers or from existing customers that increase their use of our platform or upgrade to a higher-priced tier of Zoom Meeting plan must be recognized over the applicable subscription term.</w:t>
      </w:r>
    </w:p>
    <w:p>
      <w:pPr>
        <w:spacing w:after="0" w:line="190"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to offer high-quality support for our customers and hosts may harm our relationships with our customers and hosts and, consequently, our business.</w:t>
      </w:r>
    </w:p>
    <w:p>
      <w:pPr>
        <w:spacing w:after="0" w:line="5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have designed our platform to be easy to adopt and use with minimal to no support necessary. However, if we experience increased user demand for support, we may face increased costs that may harm our results of operations. Surging demand during the COVID-19 pandemic has required us to allocate additional resources to support our expanded user base, including many hosts and customers who are using our platform for the first time. In addition, as we continue to grow our operations and support our global user base, we need to be able to continue to provide efficient support that meets our customers and hosts’ needs globally at scale. Customers and hosts receive additional support features, and the number of our hosts has grown significantly, which will put additional pressure on our support organization. If we are unable to provide efficient user support globally at scale or if we need to hire additional support personnel, including as a result of increased demand during the COVID-19 pandemic, our business may be harmed. Our new customer and host signups are highly dependent on our business reputation and on positive recommendations from our existing customers and hosts. Any failure to maintain high-quality support, or a market perception that we do not maintain high-quality support for our customers and hosts, would harm our business.</w:t>
      </w:r>
    </w:p>
    <w:p>
      <w:pPr>
        <w:spacing w:after="0" w:line="184"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utilize our network of resellers to sell our products and services, and our failure to effectively develop, manage, and maintain our indirect sales channels would harm our business.</w:t>
      </w:r>
    </w:p>
    <w:p>
      <w:pPr>
        <w:spacing w:after="0" w:line="5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future success depends on our continued ability to establish and maintain a network of channel relationships, and we expect that we will need to maintain and expand our network as we expand into international markets. A small portion of our revenue is derived from our network of sales agents and resellers, which we refer to collectively as resellers, many of which sell or may in the future decide to sell their own products and services or services from other communications solutions providers. Loss of or reduction in sales through these third parties could reduce our revenue. Our competitors may in some cases be effective in causing our reseller or potential reseller to favor their products and services or prevent or reduce sales of our products and services. Recruiting and retaining qualified resellers in our network and training them in our technology and product offerings requires significant time and resources. If we decide to further develop and expand our indirect sales channels, we must continue to scale and improve our processes and procedures to support these channels, including investment in systems and training. Many resellers may not be willing to invest the time and resources required to train their staff to</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effectively sell our platform. If we fail to maintain relationships with our resellers, fail to develop relationships with new resellers in new markets, or expand the number of resellers in existing markets or fail to manage, train, or provide appropriate incentives to our existing resellers, our ability to increase the number of new customers and hosts and increase sales to existing customers could be adversely impacted, which would harm our business.</w:t>
      </w:r>
    </w:p>
    <w:p>
      <w:pPr>
        <w:spacing w:after="0" w:line="172"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results of operations, which are reported in U.S. dollars, could be adversely affected if currency exchange rates fluctuate substantially in the future.</w:t>
      </w:r>
    </w:p>
    <w:p>
      <w:pPr>
        <w:spacing w:after="0" w:line="5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sell to customers globally and have international operations primarily in Australia, China, and the U.K. As we continue to expand our international operations, we will become more exposed to the effects of fluctuations in currency exchange rates. Although the majority of our cash generated from revenue is denominated in U.S. dollars, a small amount is denominated in foreign currencies, and our expenses are generally denominated in the currencies of the jurisdictions in which we conduct our operations. For the nine months ended October 31, 2020 and 2019, 19.3% and 9.1% of our revenue, respectively, and 12.0% and 15.9% of our expenses, respectively, were denominated in currencies other than U.S. dollars. Because we conduct business in currencies other than U.S. dollars but report our results of operations in U.S. dollars, we also face remeasurement exposure to fluctuations in currency exchange rates, which could hinder our ability to predict our future results and earnings and could materially impact our results of operations. We do not currently maintain a program to hedge exposures to non-U.S. dollar currencies.</w:t>
      </w:r>
    </w:p>
    <w:p>
      <w:pPr>
        <w:spacing w:after="0" w:line="1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Our sales to government entities are subject to a number of additional challenges and risks.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expect to increase our sales to U.S. federal and state and foreign governmental agency customers. For example, we announced in May 2019 that we received authorization under the U.S. Federal Risk and Authorization Management Program (“FedRAMP”) that allows U.S. federal government agencies and contractors to securely use our Zoom for Government offering. The additional risks and challenges associated with doing business with governmental entities include, but are not limited to, the following:</w:t>
      </w:r>
    </w:p>
    <w:p>
      <w:pPr>
        <w:spacing w:after="0" w:line="72" w:lineRule="exact"/>
        <w:rPr>
          <w:sz w:val="20"/>
          <w:szCs w:val="20"/>
          <w:color w:val="auto"/>
        </w:rPr>
      </w:pPr>
    </w:p>
    <w:p>
      <w:pPr>
        <w:ind w:left="1140" w:right="20" w:hanging="646"/>
        <w:spacing w:after="0" w:line="282" w:lineRule="auto"/>
        <w:tabs>
          <w:tab w:leader="none" w:pos="11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to governmental entities can be more competitive, expensive, and time-consuming than selling to private entities, often requiring significant up-front time and expense without any assurance that these efforts will generate a sale;</w:t>
      </w:r>
    </w:p>
    <w:p>
      <w:pPr>
        <w:spacing w:after="0" w:line="53" w:lineRule="exact"/>
        <w:rPr>
          <w:rFonts w:ascii="Times New Roman" w:cs="Times New Roman" w:eastAsia="Times New Roman" w:hAnsi="Times New Roman"/>
          <w:sz w:val="18"/>
          <w:szCs w:val="18"/>
          <w:color w:val="auto"/>
        </w:rPr>
      </w:pPr>
    </w:p>
    <w:p>
      <w:pPr>
        <w:ind w:left="1140" w:hanging="646"/>
        <w:spacing w:after="0" w:line="282" w:lineRule="auto"/>
        <w:tabs>
          <w:tab w:leader="none" w:pos="11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certification requirements may change, or we may be unable to achieve or sustain one or more government certifications, including FedRAMP, and in doing so restrict our ability to sell into the government sector until we have attained such certificates;</w:t>
      </w:r>
    </w:p>
    <w:p>
      <w:pPr>
        <w:spacing w:after="0" w:line="53" w:lineRule="exact"/>
        <w:rPr>
          <w:rFonts w:ascii="Times New Roman" w:cs="Times New Roman" w:eastAsia="Times New Roman" w:hAnsi="Times New Roman"/>
          <w:sz w:val="18"/>
          <w:szCs w:val="18"/>
          <w:color w:val="auto"/>
        </w:rPr>
      </w:pPr>
    </w:p>
    <w:p>
      <w:pPr>
        <w:ind w:left="1140" w:hanging="646"/>
        <w:spacing w:after="0" w:line="282" w:lineRule="auto"/>
        <w:tabs>
          <w:tab w:leader="none" w:pos="11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entities may have significant leverage in negotiations, thereby enabling such entities to demand contract terms that differ from what we generally agree to in our standard agreements, including, for example, most-favored-nation clauses; and</w:t>
      </w:r>
    </w:p>
    <w:p>
      <w:pPr>
        <w:spacing w:after="0" w:line="53" w:lineRule="exact"/>
        <w:rPr>
          <w:rFonts w:ascii="Times New Roman" w:cs="Times New Roman" w:eastAsia="Times New Roman" w:hAnsi="Times New Roman"/>
          <w:sz w:val="18"/>
          <w:szCs w:val="18"/>
          <w:color w:val="auto"/>
        </w:rPr>
      </w:pPr>
    </w:p>
    <w:p>
      <w:pPr>
        <w:ind w:left="1140" w:hanging="646"/>
        <w:spacing w:after="0" w:line="282" w:lineRule="auto"/>
        <w:tabs>
          <w:tab w:leader="none" w:pos="11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demand and payment for our products may be influenced by public sector budgetary cycles and funding authorizations, with funding reductions or delays having an adverse impact on public sector demand for our products.</w:t>
      </w:r>
    </w:p>
    <w:p>
      <w:pPr>
        <w:spacing w:after="0" w:line="5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To the extent that we become more reliant on contracts with government entities in the future, our exposure to such risks and challenges could increase, which in turn could adversely impact our business.</w:t>
      </w:r>
    </w:p>
    <w:p>
      <w:pPr>
        <w:spacing w:after="0" w:line="158"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current products, as well as products, features, and functionality that we may introduce in the future, may not be widely accepted by our customers and hosts or may receive negative attention or may require us to compensate or reimburse third parties, any of which may lower our margins and harm our business.</w:t>
      </w:r>
    </w:p>
    <w:p>
      <w:pPr>
        <w:spacing w:after="0" w:line="67"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Our ability to engage, retain, and increase our base of customers and hosts and to increase our revenue will depend on our ability to successfully create new products, features, and functionality, both independently and together with third parties. We may introduce significant changes to our existing products or develop and introduce new and unproven products, including technologies with which we have little or no prior development or operating experience. These new products and updates may not perform as expected, may fail to engage, retain, and increase our base of customers and hosts or may create lag in adoption of such new products. New products may initially suffer from performance and quality issues that may negatively impact our ability to market and sell such products to new and existing customers and hosts. The short- and long-term impact of any major change to our products, or the introduction of new products, is particularly difficult to predict. If new or enhanced products fail to engage, retain, and increase our base of customers and hosts, or do not perform as expected, we may fail to generate sufficient revenue, operating margin, or other value to justify our investments in such products, any of which may harm our business in the short term, long term, or both. In addition, our current products, as well as products, features, and functionality that we may introduce in the future, may require us to compensate or reimburse third parties. For example, our cloud phone system, Zoom Phone, is a PBX phone solution that requires us to compensate carriers that operate the PSTN. As a result, a</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portion of the payments that we will receive from customers that will use our Zoom Phone product will be allocated towards compensating these telephone carriers, which lowers our margins for Zoom Phone as compared to our other products. In addition, new products that we introduce in the future may similarly require us to compensate or reimburse third parties, all of which would lower our profit margins for any such new products. If this trend continues with our new and existing products, including Zoom Phone, it could harm our business.</w:t>
      </w:r>
    </w:p>
    <w:p>
      <w:pPr>
        <w:spacing w:after="0" w:line="176" w:lineRule="exact"/>
        <w:rPr>
          <w:sz w:val="20"/>
          <w:szCs w:val="20"/>
          <w:color w:val="auto"/>
        </w:rPr>
      </w:pPr>
    </w:p>
    <w:p>
      <w:pPr>
        <w:jc w:val="both"/>
        <w:ind w:right="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excessive fraudulent activity or cannot meet evolving credit card association merchant standards, we could incur substantial costs and lose the right to accept credit cards for payment, which could cause our customer and paid host base to decline significantly.</w:t>
      </w:r>
    </w:p>
    <w:p>
      <w:pPr>
        <w:spacing w:after="0" w:line="51"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A large portion of our customers authorize us to bill their credit card accounts directly for our products. If customers pay for their subscriptions with stolen credit cards, we could incur substantial third-party vendor costs for which we may not be reimbursed. Further, our customers provide us with credit card billing information online or over the phone, and we do not review the physical credit cards used in these transactions, which increases our risk of exposure to fraudulent activity. We also incur charges, which we refer to as chargebacks, from the credit card companies for claims that the customer did not authorize the credit card transaction for our products, something that we have experienced in the past. If the number of claims of unauthorized credit card transactions becomes excessive, we could be assessed substantial fines for excess chargebacks, and we could lose the right to accept credit cards for payment. In addition, credit card issuers may change merchant standards, including data protection and documentation standards, required to utilize their services from time to time. If we fail to maintain compliance with current merchant standards or fail to meet new standards, the credit card associations could fine us or terminate their agreements with us, and we would be unable to accept credit cards as payment for our products. Our products may also be subject to fraudulent usage and schemes, including third parties accessing customer accounts or viewing and recording data from our communications solutions. These fraudulent activities can result in unauthorized access to customer accounts and data, unauthorized use of our products, and charges and expenses to customers for fraudulent usage. We may be required to pay for these charges and expenses with no reimbursement from the customer, and our reputation may be harmed if our products are subject to fraudulent usage. Although we implement multiple fraud prevention and detection controls, we cannot assure you that these controls will be adequate to protect against fraud. Substantial losses due to fraud or our inability to accept credit card payments would cause our customer base to significantly decrease and would harm our business.</w:t>
      </w:r>
    </w:p>
    <w:p>
      <w:pPr>
        <w:spacing w:after="0" w:line="1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We may have exposure to greater than anticipated tax liabilities, which could harm our business.</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While to date we have not incurred significant income taxes in operating our business, we are subject to income taxes in the United States and various jurisdictions outside of the United States. Our effective tax rate could fluctuate due to changes in the proportion of our earnings and losses in countries with differing statutory tax rates. Our tax expense could also be impacted by changes in non-deductible expenses; changes in excess tax benefits of stock-based compensation expense; changes in the valuation of, or our ability to use, deferred tax assets and liabilities; the applicability of withholding taxes and effects from acquisitions.</w:t>
      </w:r>
    </w:p>
    <w:p>
      <w:pPr>
        <w:spacing w:after="0" w:line="7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provision for taxes on our condensed consolidated financial statements could also be impacted by changes in accounting principles; changes in U.S. federal, state, or international tax laws applicable to corporate multinationals, such as the recent legislation enacted in the United States, other fundamental changes in law currently being considered by many countries; and changes in taxing jurisdictions’ administrative interpretations, decisions, policies, and positions. Further, the Organization for Economic Co-operation and Development (“OECD”) and the Inclusive Framework of G20 and other countries have issued proposals related to the taxation of the digital economy. In addition, several countries have proposed or enacted Digital Services Taxes (“DST”), many of which would apply to revenues derived from digital services. Future developments related to such proposals, in particular any unilateral actions outside of the OECD's Inclusive Framework such as the imposition of DST rules, could have an adverse impact on our effective tax rate and/or harm our business by increasing our future tax obligations.</w:t>
      </w:r>
    </w:p>
    <w:p>
      <w:pPr>
        <w:spacing w:after="0" w:line="84"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are subject to review and audit by U.S. federal, state, local, and foreign tax authorities. Such tax authorities may disagree with tax positions we take, and if any such tax authority were to successfully challenge any such position, our business could be harmed. We may also be subject to additional tax liabilities due to changes in non-income-based taxes resulting from changes in federal, state, or international tax laws; changes in taxing jurisdictions’ administrative interpretations, decisions, policies, and positions; results of tax examinations, settlements, or judicial decisions; changes in accounting principles, changes to our business operations, including acquisitions; as well as the evaluation of new information that results in a change to a tax position taken in a prior period.</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and certain other tax attributes may be limited.</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January 31, 2020, we had $148.0 million of U.S. federal and $88.2 million of state net operating loss carryforwards available to reduce future taxable income, which will begin to expire in 2032 for federal and 2027 for state tax purposes. It is possible that we will not generate taxable income in time to use these net operating loss carryforwards before their expiration or</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at all. Under legislative changes made in December 2017, as modified by the federal tax law changes enacted in March 2020, U.S. federal net operating losses incurred in tax years beginning after December 31, 2017 and in future years may be carried forward indefinitely, but, for tax years beginning after December 31, 2020, the deductibility of such net operating losses is limited. In addition, the federal and state net operating loss carryforwards and certain tax credits may be subject to significant limitations under Section 382 and Section 383 of the Internal Revenue Code of 1986, as amended (the “Code”), respectively, and similar provisions of state law. Under those sections of the Code, if a corporation undergoes an “ownership change,” the corporation’s ability to use its pre-change net operating loss carryforwards and other pre-change attributes, such as research tax credits, to offset its post-change income or tax may be limited. In general, an “ownership change” will occur if there is a cumulative change in our ownership by “5-percent shareholders” that exceeds 50 percentage points over a rolling three-year period. Similar rules may apply under state tax laws. We have completed a Section 382 review and have determined that none of the operating losses will expire solely due to Section 382 limitation(s). However, we may experience ownership changes in the future as a result of future shifts in our stock ownership, some of which may be outside of our control. If an ownership change occurs and our ability to use our net operating loss carryforwards and tax credits is materially limited, it would harm our business by effectively increasing our future tax obligations.</w:t>
      </w:r>
    </w:p>
    <w:p>
      <w:pPr>
        <w:spacing w:after="0" w:line="8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addition, for state income tax purposes, there may be periods during which the use of net operating losses is suspended or otherwise limited, including a recent California franchise tax law change limiting the usability of California state net operating losses to offset California taxable income in taxable years beginning on or after January 1, 2020 and before January 1, 2023, which could accelerate or permanently increase state taxes owed.</w:t>
      </w:r>
    </w:p>
    <w:p>
      <w:pPr>
        <w:spacing w:after="0" w:line="68"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recorded a valuation allowance against all of our DTAs for the U.S. and U.K. as of both October 31, 2020 and January 31, 2020. We intend to continue maintaining a full valuation allowance on our DTAs until there is sufficient evidence to support the reversal of all or some portion of these allowances. However, given our current earnings and anticipated future earnings, we believe that there is a reasonable possibility that in the foreseeable future, sufficient positive evidence may become available to reach a conclusion that a portion of the valuation allowance will no longer be needed. Release of the valuation allowance would result in the recognition of certain DTAs and a decrease to income tax expense for the period the release is recorded. However, the exact timing and amount of the valuation allowance release are subject to change on the basis of the level of profitability that we are able to actually achieve.</w:t>
      </w:r>
    </w:p>
    <w:p>
      <w:pPr>
        <w:spacing w:after="0" w:line="185"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acquired and may continue to acquire other businesses or receive offers to be acquired, which could require significant management attention, disrupt our business, or dilute stockholder value.</w:t>
      </w:r>
    </w:p>
    <w:p>
      <w:pPr>
        <w:spacing w:after="0" w:line="5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have made and may continue in the future to make acquisitions of other companies, products, and technologies. For example, we announced our acquisition of Keybase Inc in May 2020. We have limited experience in acquisitions. We may not be able to find suitable acquisition candidates and we may not be able to complete acquisitions on favorable terms, if at all. If we do complete acquisitions, we may not ultimately strengthen our competitive position or achieve our goals, and any acquisitions we complete could be viewed negatively by users, developers, or investors. In addition, we may not be able to integrate acquired businesses successfully or effectively manage the combined company following an acquisition. If we fail to successfully integrate our acquisitions, or the people or technologies associated with those acquisitions, into our company, the results of operations of the combined company could be adversely affected. Any integration process will require significant time and resources, require significant attention from management and disrupt the ordinary functioning of our business, and we may not be able to manage the process successfully, which could harm our business. In addition, we may not successfully evaluate or utilize the acquired technology and accurately forecast the financial impact of an acquisition transaction, including accounting charges.</w:t>
      </w:r>
    </w:p>
    <w:p>
      <w:pPr>
        <w:spacing w:after="0" w:line="8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may have to pay cash, incur debt, or issue equity securities to pay for any such acquisition, each of which could affect our financial condition or the value of our capital stock. The sale of equity to finance any such acquisitions could result in dilution to our stockholders. If we incur more debt, it would result in increased fixed obligations and could also subject us to covenants or other restrictions that would impede our ability to flexibly operate our business.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Laws and Regulations</w:t>
      </w:r>
    </w:p>
    <w:p>
      <w:pPr>
        <w:spacing w:after="0" w:line="225"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actual or perceived failure by us, our customers, partners or vendors to comply with stringent and evolving privacy, data protection, and information security laws, regulations, standards, policies, and contractual obligations could harm our reputation and business or subject us to significant fines and liability.</w:t>
      </w:r>
    </w:p>
    <w:p>
      <w:pPr>
        <w:spacing w:after="0" w:line="6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receive, store, process, generate, use, and share personal information and other customer and user content necessary to provide our service and ensure it is delivered effectively, to operate our business, for legal and marketing purposes, and for other business-related purposes. There are numerous federal, state, local, and international laws and regulations regarding privacy, data protection, information security and the collection, storing, sharing, use, processing, transfer, disclosure, and protection of personal information and other content, the scope of which is changing, subject to differing applications and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interpretations and may be inconsistent among countries, or conflict with other rules. We are also subject to the terms of our privacy policies and contractual obligations to third parties related to privacy, data protection, and information security. We strive to comply with applicable laws, certifications, documentation, publications, regulations, standards, policies, and other obligations relating to privacy, data protection, and information security to the extent possible. Although we endeavor to comply with our policies, publications, certifications, and documentation, we may at times fail to do so or may be perceived to have failed to do so. Moreover, despite our efforts, we may not be successful in achieving compliance if our employees or vendors do not comply with our policies, certifications, and documentation. Such failures can subject us to potential international, local, state and federal legal or regulatory action if our policies, certifications, and documentation are found to be inaccurate, incomplete, deceptive, unfair, or misrepresentative of our actual practices. The regulatory framework for privacy and data protection worldwide is, and is likely to remain, uncertain for the foreseeable future, which we expect will increase our compliance costs and exposure to liability, and it is possible that these or other actual or alleged obligations may be interpreted and applied in a manner that is inconsistent from one jurisdiction to another and may conflict with other rules or our practices. Increased usage of our services, novel uses of our services, and additional awareness of Zoom and our brand stemming from the COVID-19 pandemic could make it more difficult for us to comply with our contractual obligations, our policies, our publications, our certifications, our documentation, standards, regulations, and applicable laws related to privacy, data protection, and information security, and has and could result in greater public scrutiny of, press related to, or a negative perception of our privacy, data protection, and information security practices. Any compliance failure, as well as greater public scrutiny of our privacy, data protection, and information security practices, could result in increased governmental and regulatory scrutiny and litigation exposure, as well as material reputational harm, a loss of customer and user confidence and business, additional expenses, and other harm to our business.</w:t>
      </w:r>
    </w:p>
    <w:p>
      <w:pPr>
        <w:spacing w:after="0" w:line="87"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also expect that there will continue to be new or amended laws, regulations, industry standards, guidance and contractual obligations concerning privacy, data protection, and information security proposed and enacted in various jurisdictions. For example, in May 2018, the General Data Protection Regulation (“GDPR”) went into effect in the EU. The GDPR imposes more stringent data protection requirements and requires us and our customers to give more detailed disclosures about how we collect, use and share personal information; contractually commit to data protection measures in our contracts with clients; maintain adequate data security measures; notify regulators and affected individuals of certain data breaches; meet extensive privacy governance and documentation requirements; and honor individuals’ data protection rights, including their rights to access, correct and delete their personal information. The GDPR provides greater penalties for noncompliance than previous data protection laws. Companies that violate the GDPR can face private litigation, restrictions on data processing, and fines of up to the greater of 20 million Euros or 4% of their worldwide annual revenue. Our or our customers’, partners’, or vendors’ failure to comply with the GDPR could lead to significant fines imposed by regulators or restrictions on our ability to process personal information as needed to provide our product and services. We may also be obligated to assist our customers, partners, and vendors with their own compliance obligations under the GDPR, which could require expenditure of significant resources. Assisting our customers, partners, and vendors in complying with the GDPR, or complying with the GDPR ourselves, may cause us to incur substantial operational costs or require us to change our business practices.</w:t>
      </w:r>
    </w:p>
    <w:p>
      <w:pPr>
        <w:spacing w:after="0" w:line="79"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Further, following a referendum in June 2016 in which voters in the U.K. approved an exit from the EU, the U.K. government formally left the EU on January 31, 2020, known as Brexit. Pursuant to the withdrawal arrangements agreed to between the U.K. and the EU, the U.K. is subject to a transition period until December 31, 2020, during which EU rules will continue to apply (the “Brexit Transition Period”). Under the formal withdrawal arrangements between the U.K. and the EU, the parties had until June 30, 2020 to agree to extend the Brexit Transition Period if required. No such extension was agreed prior to such date. No agreement has yet been reached between the U.K. and the EU and it may be the case that no formal customs and trading agreement will be reached prior to the expiry of the Brexit Transition Period on December 31, 2020. Negotiations between the U.K. and the EU are expected to continue in relation to the customs and trading relationship between the U.K. and the EU following the expiry of the Brexit Transition Period. The effects of Brexit have been and are expected to continue to be far-reaching. Brexit and the perceptions as to its impact may adversely affect business activity and economic conditions globally, and could continue to contribute to instability in global financial markets. Brexit could also have the effect of disrupting the free movement of goods, services, and people between the U.K. and the EU. In addition, Brexit could lead to legal uncertainty and potentially divergent national laws and regulations as the U.K. determines which EU laws to replace or replicate. The full effects of Brexit are uncertain and will remain so until after the Brexit Transition Period and the U.K. and EU reach a definitive resolution with regards to outstanding trade and legal matters. Given these possibilities and others we may not anticipate, as well as the lack of comparable precedent, the full extent to which our business, results of operations, and financial condition could be adversely affected by Brexit is uncertain. Brexit has also created uncertainty with regard to the regulation of data protection in the U.K. In particular, although the U.K. enacted a Data Protection Act in May 2018 that is designed to be consistent with the GDPR, uncertainty remains regarding how data transfers to and from the U.K. will be regulated.</w:t>
      </w:r>
    </w:p>
    <w:p>
      <w:pPr>
        <w:spacing w:after="0" w:line="8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European data protection laws, including the GDPR, generally restrict the transfer of personal information from Europe, including the European Economic Area, U.K. and Switzerland, to the United States and most other countries unless the parties to the transfer have implemented specific safeguards to protect the transferred personal information. One of the primary</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safeguards allowing U.S. companies to import personal information from Europe has been certification to the EU-U.S. Privacy Shield and Swiss-U.S. Privacy Shield frameworks administered by the U.S. Department of Commerce. However, in July 2020, the Court of Justice of the European Union issued a decision invalidating the EU-U.S. Privacy Shield framework. The same decision also raised questions about whether one of the primary alternatives to the EU-U.S. Privacy Shield, namely, the European Commission’s Standard Contractual Clauses, can lawfully be used for personal information transfers from Europe to the United States or most other countries. Similarly, on September 8, 2020, the Swiss Federal Data Protection and Information Commissioner announced that the Swiss-U.S. Privacy Shield Framework is inadequate for personal information transfers from Switzerland to the United States, and also raised questions about the viability of the Standard Contractual Clauses. At present, there are few, if any, viable alternatives to the EU-U.S. Privacy Shield, Swiss-U.S. Privacy Shield, and the Standard Contractual Clauses, all of which are mechanisms on which we have relied for personal information transfers from Europe to the United States and other countries. Authorities in the U.K. may similarly invalidate use of the EU-U.S. Privacy Shield and raise questions on the viability of the Standard Contractual Clauses, as mechanisms for lawful personal information transfers to the United States and other countries. In November 2020, EU regulators proposed a new set of Standard Contractual Clauses (“SCCs”). The new SCCs impose additional obligations and requirements with respect to the transfer of EU personal data to other jurisdictions, which may increase the legal risks and liabilities under the GDPR and local EU laws associated with cross-border data transfers, and result in material increased compliance and operational costs. If we are unable to implement a valid solution for personal information transfers from Europe, we will face increased exposure to regulatory actions, substantial fines, and injunctions against processing or transferring personal information from Europe, and we may be required to increase our data processing capabilities in Europe at significant expense. Inability to import personal information from Europe to the United States or other countries may decrease demand for our products and services as our customers that are subject to the GDPR may seek alternatives that do not involve personal information transfers out of Europe. Our inability to import personal information to the United States and other countries may decrease the functionality or effectiveness of our products and services and adversely impact our marketing efforts, plans and activities. We expect EU regulators to aggressively enforce EU laws prohibiting data transfers to the U.S. and other countries without a legally sound transfer mechanism, and it possible that EU regulators could prevent Zoom from transferring any personal data out of the EU to certain countries like the U.S.</w:t>
      </w:r>
    </w:p>
    <w:p>
      <w:pPr>
        <w:spacing w:after="0" w:line="80"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Additionally, other countries outside of Europe have enacted or are considering enacting similar cross-border data transfer restrictions and laws requiring local data residency and restricting cross-border data transfer, which could increase the cost and complexity of delivering our services and operating our business. For example, Brazil recently enacted the General Data Protection Law (Lei Geral de Proteção de Dados Pessoais or LGPD) (Law No. 13,709/2018), which broadly regulates the processing of personal information and imposes compliance obligations and penalties comparable to those of the GDPR.</w:t>
      </w:r>
    </w:p>
    <w:p>
      <w:pPr>
        <w:spacing w:after="0" w:line="75"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States have also begun to introduce more comprehensive privacy legislation. For example, the California Consumer Privacy Act of 2018 (“CCPA”), which went into effect on January 1, 2020, affords consumers expanded privacy protections. The CCPA gives California residents, among other things, expanded rights to access and require deletion of their personal information, opt out of certain personal information sharing, and receive detailed information about how their personal information is used. The CCPA also provides for civil penalties for violations, as well as a private right of action for data breaches that may increase data breach litigation. The CCPA will be expanded substantially on January 1, 2023 when the California Privacy Rights Act of 2020 (the "CPRA"), which was approved by California voters in November 2020, becomes fully operative. The CPRA will, among other things, give consumers the ability to limit use of information deemed to be sensitive, increase the maximum penalties for violations concerning consumers under age 16, establish the California Privacy Protection Agency to implement and enforce the new law, and impose administrative fines. Aspects of the CCPA and CPRA, and their interpretation and enforcement remain uncertain. The potential effects of the CCPA and CPRA are far-reaching and may require us to modify our data processing practices and policies and to incur substantial costs and expenses in an effort to comply.</w:t>
      </w:r>
    </w:p>
    <w:p>
      <w:pPr>
        <w:spacing w:after="0" w:line="8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CCPA could mark the beginning of a trend toward more stringent privacy legislation in the United States, as other states may follow California’s lead and increase protections for their residents. The CCPA has already prompted a number of proposals for new federal and state privacy legislation that, if passed, could increase our potential liability, increase our compliance costs and adversely affect our business. In addition, effective October 1, 2019, Nevada amended its existing Security of Personal Information Law (“SPI Law”) to now require, among other things, that businesses provide an online mechanism or toll-free phone number to intake requests from consumers to opt out of the sale of their personal data.</w:t>
      </w:r>
    </w:p>
    <w:p>
      <w:pPr>
        <w:spacing w:after="0" w:line="7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Children’s Online Privacy Protection Act (“COPPA”) is a U.S. Federal law that applies to operators of commercial websites and online services directed to U.S. children under the age of 13 that collect personal information from children, and to operators of general audience websites with actual knowledge that they are collecting personal information from U.S. children under the age of 13. We provide video communications services to schools, school districts, and school systems to support traditional, virtual, and hybrid classrooms, distance learning, educational office hours, guest lectures, and other services. As part of these services, Zoom may be used by students, including students under the age of 13, and we collect personal information from such students on behalf of our school subscribers. School subscribers must contractually consent to Zoom’s information practices on behalf of students, prior to students using the services. In addition, the GDPR prohibits certain</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processing of the personal information of children under the age of 13-16 (depending on the country) without parental consent. The CCPA requires companies to obtain the consent of children in California under 16 (or parental consent for children under 13) before selling their personal information. COPPA is subject to interpretation by courts and other governmental authorities, including the FTC, and the FTC is authorized to promulgate, and has promulgated, revisions to regulations implementing provisions of COPPA. Although we strive to ensure that our platform and applications are compliant with applicable provisions of COPPA, HIPAA, GDPR, and CCPA, these provisions may be modified, interpreted, or applied in new manners that we may be unable to anticipate or prepare for appropriately, and we may incur substantial costs or expenses in attempting to modify our systems, platform, applications, or other technology to address changes in COPPA, HIPAA, GDPR, and CCPA, or interpretations thereof. If we fail to accurately anticipate the application, interpretation, or legislative expansion of COPPA, HIPAA, GDPR, and CCPA, we could be subject to governmental enforcement actions, data processing restrictions, litigation, fines and penalties, adverse publicity or loss of customers. Moreover, as a result of any such failures, we could be in breach of our K-12 school customer contracts, and our customers could lose trust in us, which could harm our reputation and business.</w:t>
      </w:r>
    </w:p>
    <w:p>
      <w:pPr>
        <w:spacing w:after="0" w:line="86"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With laws and regulations, such as the GDPR in the EU as well as the CCPA, SPI Law, and COPPA in the United States imposing relatively burdensome obligations, and with substantial uncertainty over the interpretation and application of these and other laws and regulations, we have faced and may face additional challenges in addressing their requirements and making necessary changes to our policies and practices, and may incur significant costs and expenses in an effort to do so, any of which could materially adversely affect our business and operating results. Additional uses of our services arising out of increased demand associated with the COVID-19 pandemic may require us to address additional privacy, data protection, and information security laws, regulations, standards, policies, and contractual obligations. Any failure or perceived failure by us to comply with such laws, regulations, standards, policies, and contractual obligations, or our privacy policies, publications, certifications, or documentation could lead to governmental investigations or enforcement actions (including investigations or actions by state attorneys general, federal regulators, and international regulators), litigation (including class action litigation), claims, or public statements against us by consumer advocacy groups or others, and could result in significant liability, fines or penalties, or cause our users to lose trust in us, which could have an adverse effect on our reputation and business. We have in the past and may in the future receive inquiries or be subject to investigations by various government entities regarding, among other things, our privacy, data protection, and information security practices. The result of these proceedings could impact our brand reputation, subject us to monetary remedies and costs, interrupt or require us to change our business practices, divert resources and the attention of management from our business, or subject us to other remedies that adversely affect our business. We also face litigation regarding our privacy and security practices. See Part II, Item 1 “Legal Proceedings” for additional information. We could fail to comply with the terms of any orders or settlements relating to litigation with respect to our privacy and security practices, including the proposed settlement with the FTC. Furthermore, the costs of compliance with, and other burdens imposed by, the laws, regulations, and policies that are applicable to the businesses of our users may limit the adoption and use of, and reduce the overall demand for, our platform and services, which could have an adverse impact on our business.</w:t>
      </w:r>
    </w:p>
    <w:p>
      <w:pPr>
        <w:spacing w:after="0" w:line="84"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Additionally, we rely on the administrators of our customers in the healthcare and education industries to obtain the necessary consents from users of our products and services and to ensure their account settings are configured correctly for their compliance under applicable laws and regulations. Furthermore, if third parties we work with, such as vendors or developers, make misrepresentations, violate applicable laws, regulations, or our policies, such misrepresentations and violations may also put our users’ content at risk and could in turn have an adverse effect on our business. Any significant change to applicable laws, regulations, or industry practices regarding the collection, use, retention, security, or disclosure of our users’ content, or regarding the manner in which the express or implied consent of users for the collection, use, retention, or disclosure of such content is obtained, could increase our costs and require us to modify our services and features, possibly in a material manner, which we may be unable to complete and may limit our ability to store and process user data or provide or develop new services and features.</w:t>
      </w:r>
    </w:p>
    <w:p>
      <w:pPr>
        <w:spacing w:after="0" w:line="84"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Increased usage of our services and additional awareness of Zoom and our brand stemming from the COVID-19 pandemic has led to greater public scrutiny of, press related to, or a negative perception of our collection, use, storage, disclosure, and processing of personal information, and our privacy policies and practices. For example, users and customers, particularly those that are new to Zoom, may not have significant IT or security knowledge or have their own IT controls like those of a larger organization to configure our service in a manner that provides them with control over user settings. This has resulted in reports of users and customers experiencing meeting disruptions by malicious actors. Additional unfavorable publicity and scrutiny has led to increased governmental and regulatory scrutiny and litigation exposure, and could result in material reputational harm, a loss of customer and user confidence, additional expenses and other harm to our business.</w:t>
      </w:r>
    </w:p>
    <w:p>
      <w:pPr>
        <w:spacing w:after="0" w:line="185"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government trade policies, including the imposition of tariffs and export restrictions, could limit our ability to sell our products to certain customers, which may materially adversely affect our sales and results of operations.</w:t>
      </w:r>
    </w:p>
    <w:p>
      <w:pPr>
        <w:spacing w:after="0" w:line="5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U.S. or foreign governments may take administrative, legislative, or regulatory action that could materially interfere with our ability to sell products in certain countries. For example, while we stopped selling our products directly in China during the six months ended July 31, 2020, the current U.S. Administration has threatened tougher trade terms with China and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other countries, leading to the imposition, or announcement of future imposition, of substantially higher U.S. Section 301 tariffs on roughly $500 billion of imports from China. In response, China imposed and proposed new or higher tariffs on U.S. products. The direct and indirect effects of tariffs and other restrictive trade policies are difficult to measure and are only one part of a larger U.S./China economic and trade policy disagreement. The effects of the recently imposed and proposed tariffs are uncertain because of the dynamic nature of governmental action and responses. Sustained uncertainty about, or worsening of, current global economic conditions and further escalation of trade tensions between the United States and its trading partners, especially China, could result in a global economic slowdown and long-term changes to global trade, including retaliatory trade restrictions that restrict our ability to operate in China. We cannot predict what actions may ultimately be taken with respect to tariffs or trade relations between the United States and China or other countries, what products may be subject to such actions, or what actions may be taken by the other countries in retaliation. Any further deterioration in the relations between the United States and China could exacerbate these actions and other governmental intervention. For example, the implementation of China’s national-security law in Hong Kong has created additional U.S.-China tensions and could potentially increase the risks associated with the business and operations of U.S.-based technology companies in China. Any alterations to our business strategy or operations made in order to adapt to or comply with any such changes would be time-consuming and expensive, and certain of our competitors may be better suited to withstand or react to these changes.</w:t>
      </w:r>
    </w:p>
    <w:p>
      <w:pPr>
        <w:spacing w:after="0" w:line="7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Further, in May 2019, President Trump issued an executive order that invoked national emergency economic powers to implement a framework to regulate the acquisition or transfer of information communications technology in transactions that imposed undue national security risks. The executive order is subject to implementation by the Secretary of Commerce and applies to contracts entered into prior to the effective date of the order. In addition, the U.S. Commerce Department has implemented additional restrictions and may implement further restrictions that would affect conducting business with certain Chinese companies. Due to the uncertainty regarding the timing, content, and extent of any such changes in policy, we cannot assure you that we will successfully mitigate any negative impact. Depending upon their duration and implementation, these tariffs, the executive order and its implementation, and other regulatory actions could materially affect our business, including in the form of increased cost of revenue, decreased margins, increased pricing for customers, and reduced sales.</w:t>
      </w:r>
    </w:p>
    <w:p>
      <w:pPr>
        <w:spacing w:after="0" w:line="188"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results of operations may be harmed if we are required to collect sales or other related taxes for our subscription services in jurisdictions where we have not historically done so.</w:t>
      </w:r>
    </w:p>
    <w:p>
      <w:pPr>
        <w:spacing w:after="0" w:line="5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collect sales tax in a number of jurisdictions. One or more states or countries may seek to impose incremental or new sales, use, or other tax collection obligations on us. A successful assertion by a state, country, or other jurisdiction that we should have been or should be collecting additional sales, use, or other taxes could, among other things, result in substantial tax payments, create significant administrative burdens for us, discourage potential customers from subscribing to our platform due to the incremental cost of any such sales or other related taxes, or otherwise harm our business.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liabilities on past sales for taxes, surcharges, and fees.</w:t>
      </w:r>
    </w:p>
    <w:p>
      <w:pPr>
        <w:spacing w:after="0" w:line="12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currently collect and remit applicable sales tax in jurisdictions where we, through our employees, have a presence and where we have determined, based on legal precedents in the jurisdiction, that sales of our platform are classified as taxable. We do not currently collect and remit other state and local excise, utility user and ad valorem taxes, fees, or surcharges that may apply to our customers and hosts. We believe that we are not otherwise subject to, or required to collect, any additional taxes, fees, or surcharges imposed by state and local jurisdictions because we do not have a sufficient physical presence or “nexus” in the relevant taxing jurisdiction or such taxes, fees, or surcharges do not apply to sales of our platform in the relevant taxing jurisdiction. However, there is uncertainty as to what constitutes sufficient physical presence or nexus for a state or local jurisdiction to levy taxes, fees, and surcharges for sales made over the internet, and there is also uncertainty as to whether our characterization of our platform as not taxable in certain jurisdictions will be accepted by state and local taxing authorities. Additionally, we have not historically collected value-added tax (“VAT”) or goods and services tax (“GST”) on sales of our platform because we make all of our sales through our office in the United States, and we believe, based on information provided to us by our customers, that most of our sales are made to business customers.</w:t>
      </w:r>
    </w:p>
    <w:p>
      <w:pPr>
        <w:spacing w:after="0" w:line="8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Taxing authorities may challenge our position that we do not have sufficient nexus in a taxing jurisdiction or that our platform is not taxable in the jurisdiction and may decide to audit our business and operations with respect to sales, use, telecommunications, VAT, GST, and other taxes, which could result in increased tax liabilities for us or our customers and hosts, which could harm our business.</w:t>
      </w:r>
    </w:p>
    <w:p>
      <w:pPr>
        <w:spacing w:after="0" w:line="6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 xml:space="preserve">The application of indirect taxes (such as sales and use tax, VAT, GST, business tax, and gross receipts tax) to businesses that transact online, such as ours, is a complex and evolving area. Following the recent U.S. Supreme Court decision in </w:t>
      </w:r>
      <w:r>
        <w:rPr>
          <w:rFonts w:ascii="Times New Roman" w:cs="Times New Roman" w:eastAsia="Times New Roman" w:hAnsi="Times New Roman"/>
          <w:sz w:val="18"/>
          <w:szCs w:val="18"/>
          <w:i w:val="1"/>
          <w:iCs w:val="1"/>
          <w:color w:val="auto"/>
        </w:rPr>
        <w:t>South Dakota v. Wayfair, Inc.</w:t>
      </w:r>
      <w:r>
        <w:rPr>
          <w:rFonts w:ascii="Times New Roman" w:cs="Times New Roman" w:eastAsia="Times New Roman" w:hAnsi="Times New Roman"/>
          <w:sz w:val="18"/>
          <w:szCs w:val="18"/>
          <w:color w:val="auto"/>
        </w:rPr>
        <w:t>, states are now free to levy taxes on sales of goods and services based on an “economic nexus,” regardless of whether the seller has a physical presence in the state. As a result, it may be necessary to reevaluate whether our activities give rise to sales, use, and other indirect taxes as a result of any nexus in those states in which we are not currently registered to collect and remit taxes. Additionally, we may need to assess our potential tax collection and remittance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liabilities based on existing economic nexus laws’ dollar and transaction thresholds. We continue to analyze our exposure for such taxes and liabilities and have accrued $53.8 million and $34.0 million as of October 31, 2020, and January 31, 2020, respectively, for loss contingencies resulting from these potential taxes and liabilities. The application of existing, new, or future laws, whether in the United States or internationally, could harm our business. There have been, and will continue to be, substantial ongoing costs associated with complying with the various indirect tax requirements in the numerous markets in which we conduct or will conduct business.</w:t>
      </w:r>
    </w:p>
    <w:p>
      <w:pPr>
        <w:spacing w:after="0" w:line="179"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governmental export and import controls that could impair our ability to compete in international markets due to licensing requirements and subject us to liability if we are not in compliance with applicable laws.</w:t>
      </w:r>
    </w:p>
    <w:p>
      <w:pPr>
        <w:spacing w:after="0" w:line="5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Our platform and associated products are subject to various restrictions under U.S. export control and sanctions laws and regulations, including the U.S. Department of Commerce’s Export Administration Regulations ("EAR") and various economic and trade sanctions regulations administered by the U.S. Department of the Treasury’s Office of Foreign Assets Control (“OFAC”). The U.S. export control laws and U.S. economic sanctions laws include restrictions or prohibitions on the sale or supply of certain products and services to U.S.-embargoed or U.S.-sanctioned countries, governments, persons, and entities, and also require authorization for the export of certain encryption items. In addition, various countries regulate the import of certain encryption technology, including through import permitting and licensing requirements and have enacted or could enact laws that could limit our ability to distribute our platform or could limit our hosts’ ability to implement our platform in those countries.</w:t>
      </w:r>
    </w:p>
    <w:p>
      <w:pPr>
        <w:spacing w:after="0" w:line="8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Although we have taken precautions to prevent our platform and associated products from being accessed or used in violation of such laws, we have inadvertently allowed our platform and associated products to be accessed or used by some customers in apparent violation of U.S. economic sanction laws. In addition, we may have inadvertently made our software products available to some customers, including users in embargoed or sanctioned countries, in apparent violation of the EAR. As a result, we submitted initial and final voluntary self-disclosures concerning potential violations of U.S. sanctions and export control laws and regulations to OFAC and the U.S. Department of Commerce’s Bureau of Industry and Security (“BIS”).</w:t>
      </w:r>
    </w:p>
    <w:p>
      <w:pPr>
        <w:spacing w:after="0" w:line="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June 2019, OFAC and BIS issued us warning letters as their final enforcement responses to these potential violations, but no fines or penalties were assessed. If we are found to be in violation of U.S. economic sanctions or export control laws in the future, it could result in fines and penalties. We may also be adversely affected through other penalties, reputational harm, loss of access to certain markets, or otherwise. While we are working to implement additional controls designed to prevent similar activity from occurring in the future, these controls may not be fully effective.</w:t>
      </w:r>
    </w:p>
    <w:p>
      <w:pPr>
        <w:spacing w:after="0" w:line="72"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Changes in our platform, or changes in export, sanctions, and import laws, may delay the introduction and sale of subscriptions to our platform in international markets; prevent our customers with international operations from using our platform; or, in some cases, prevent the access or use of our platform to and from certain countries, governments, persons, or entities altogether. Further, any change in export or import regulations, economic sanctions or related laws, shift in the enforcement or scope of existing regulations or change in the countries, governments, persons, or technologies targeted by such regulations could result in decreased use of our platform or in our decreased ability to export or sell our platform to existing or potential customers with international operations. Any decreased use of our platform or limitation on our ability to export or sell our platform would likely harm our business.</w:t>
      </w:r>
    </w:p>
    <w:p>
      <w:pPr>
        <w:spacing w:after="0" w:line="185"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or assist law enforcement with enforcement of, a variety of U.S. and international laws that could result in claims, increase the cost of operations or otherwise harm our business due to changes in the laws, changes in the interpretations of the laws, greater enforcement of the laws, or investigations into compliance with the laws.</w:t>
      </w:r>
    </w:p>
    <w:p>
      <w:pPr>
        <w:spacing w:after="0" w:line="67"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may be subject to, or assist law enforcement with enforcement of, various laws, including those covering copyright, indecent content, child protection, consumer protection, telecommunications services, taxation, and similar matters. It may be difficult, expensive and disruptive for us to address law enforcement requests, subpoenas and other legal process, and laws in various jurisdictions may conflict and hamper our ability to satisfy or comply with such requests, subpoenas and other legal process. There have been instances where improper or illegal content has been shared on our platform without our knowledge. As a service provider and as a matter of policy, we do not monitor user meetings. However, to ensure user safety and prevent conduct that is illegal, violent or harmful to others, we enforce our terms of service through use of a mix of tools that suggest when such activity may be occurring on our platform. We also recently created an in-product security feature that allows the host or co-host of a meeting to easily select a meeting participant that may be engaging in illegal or harmful behavior and send a report about that behavior to our trust and safety team for evaluation. Our trust and safety team may take further action as appropriate, including suspension or termination of the participant's account or referral to law enforcement. While to date we have not been subject to material legal or administrative actions as a result of improper or illegal content, the laws in this area are currently in a state of flux and vary widely between jurisdictions. Accordingly, it may be possible that in the future we and our competitors may be subject to legal actions along with the users who shared such content. In addition, regardless of any</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legal liability we may face, our reputation could be harmed should there be an incident generating extensive negative publicity about the content shared on our platform. Such publicity would harm our business.</w:t>
      </w:r>
    </w:p>
    <w:p>
      <w:pPr>
        <w:spacing w:after="0" w:line="54"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are also subject to consumer protection laws that may affect our sales and marketing efforts, including laws related to subscriptions, billing, and auto-renewal. These laws, as well as any changes in these laws, could adversely affect our self-serve model and make it more difficult for us to retain and upgrade customers and attract new customers and hosts. Additionally, we have in the past, are currently, and may from time to time in the future become the subject of inquiries and other actions by regulatory authorities as a result of our business practices, including our subscription, billing, and auto-renewal policies. Consumer protection laws may be interpreted or applied by regulatory authorities in a manner that could require us to make changes to our operations or incur fines, penalties, or settlement expenses, which may result in harm to our business.</w:t>
      </w:r>
    </w:p>
    <w:p>
      <w:pPr>
        <w:spacing w:after="0" w:line="7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platform depends on the ability of our customers, hosts, and users to access the internet, and our platform has been blocked or restricted in some countries for various reasons. If we fail to anticipate developments in the law, or fail for any reason to comply with relevant law, our platform could be further blocked or restricted, and we could be exposed to significant liability that could harm our business.</w:t>
      </w:r>
    </w:p>
    <w:p>
      <w:pPr>
        <w:spacing w:after="0" w:line="6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are also subject to various U.S. and international anti-corruption laws, such as the U.S. Foreign Corrupt Practices Act of 1977, amended, and the U.K. Bribery Act 2010, as well as other similar anti-bribery and anti-kickback laws and regulations. These laws and regulations generally prohibit companies and their employees and intermediaries from authorizing, offering, or providing improper payments or benefits to government officials and other recipients for improper purposes. Although we take precautions to prevent violations of these laws, our exposure for violating these laws increases as we continue to expand our international presence, and any failure to comply with such laws could harm our business.</w:t>
      </w:r>
    </w:p>
    <w:p>
      <w:pPr>
        <w:spacing w:after="0" w:line="179"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Zoom Phone is subject to U.S. federal and international regulation, and other products we may introduce in the future may also be subject to U.S. federal, state, or international laws, rules, and regulations. Any failure to comply with such laws, rules, and regulations could harm our business and expose us to liability.</w:t>
      </w:r>
    </w:p>
    <w:p>
      <w:pPr>
        <w:spacing w:after="0" w:line="17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Federal Regulation</w:t>
      </w:r>
    </w:p>
    <w:p>
      <w:pPr>
        <w:spacing w:after="0" w:line="11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Zoom Phone is provided through our wholly owned subsidiary, Zoom Voice Communications, Inc., which is regulated by the FCC as an interconnected voice over internet protocol (“VoIP”) service provider. As a result, Zoom Phone is subject to existing or potential FCC regulations, including, but not limited to, regulations relating to privacy, disability access, porting of numbers, federal Universal Service Fund (“USF”), contributions and other regulatory assessments, emergency calling/Enhanced 911 (“E-911”), access charges for long distance services, and law enforcement access. Congress or the FCC may expand the scope of Zoom Phone’s regulatory obligations at any time. In addition, FCC classification of Zoom Phone as a common carrier or telecommunications service could result in additional federal and state regulatory obligations. If we do not comply with any current or future state regulations that apply to our business, we could be subject to substantial fines and penalties, we may have to restructure our product offerings, exit certain markets, or raise the price of our products, any of which could ultimately harm our business and results of operations. Any enforcement action by the FCC, which may be a public process, would hurt our reputation in the industry, possibly impair our ability to sell Zoom Phone to our customers and harm our business.</w:t>
      </w:r>
    </w:p>
    <w:p>
      <w:pPr>
        <w:spacing w:after="0" w:line="86"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Changes in FCC regulation of the internet and internet-based services also could impose new regulatory obligations on our other services. On October 26, 2020, the FCC adopted an order concluding that three issues remanded by the U.S. Court of Appeals following the appeal of its 2018 decision to eliminate its network neutrality rules did not provide a basis to alter its conclusions in that order. This new order could be subject to petitions for reconsideration or court appeals. A reversal of the FCC’s 2018 decision could result in extension of common carrier regulation to internet-based communications services like the ones we offer. The imposition of common carrier regulation would increase our costs, and we could be required to modify our service offerings to comply with regulatory requirements. The failure to comply with such regulation could result in substantial fines and penalties and other sanctions.</w:t>
      </w:r>
    </w:p>
    <w:p>
      <w:pPr>
        <w:spacing w:after="0" w:line="8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FCC is considering a petition, filed by the Trump Administration, to adopt rules interpreting Section 230 of the federal Communications Act, which limits the liability of internet platforms for third-party content that is transmitted via those platforms and for good-faith moderation of offensive content. FCC Chairman Ajit Pai has announced his intent to open a rulemaking in response to that petition, but no date has been set for a vote on that proposal and the FCC has not released any document describing the rules that would be proposed. If the FCC adopts rules, the scope of the protection offered by Section 230 could be narrowed considerably. This would increase the risks faced by internet-based businesses, like Zoom, that rely on third-party content. There is no schedule for action by the FCC on the petition.</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State Regulation</w:t>
      </w:r>
    </w:p>
    <w:p>
      <w:pPr>
        <w:spacing w:after="0" w:line="11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State telecommunications regulation of Zoom Phone is generally preempted by the FCC. However, states are allowed to assess state USF contributions, E-911 fees, and other surcharges. A number of states require us to contribute to state USF and pay E-911 and other assessments and surcharges, while others are actively considering extending their programs to include the products we offer. We generally pass USF, E-911 fees, and other surcharges through to our customers where we are permitted to do so, which may result in our products becoming more expensive. We expect that state public utility commissions will continue their attempts to apply state telecommunications regulations to services like Zoom Phone. If we do not comply with any current or future state regulations that apply to our business, we could be subject to substantial fines and penalties, we may have to restructure our product offerings, exit certain markets, or raise the price of our products, any of which could harm our business.</w:t>
      </w:r>
    </w:p>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International Regulation</w:t>
      </w:r>
    </w:p>
    <w:p>
      <w:pPr>
        <w:spacing w:after="0" w:line="11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we expand internationally, we may be subject to telecommunications, consumer protection, privacy, data protection, and other laws and regulations in the foreign countries where we offer our products. If we do not comply with any current or future international regulations that apply to our business, we could be subject to substantial fines and penalties, we may have to restructure our product offerings, exit certain markets, or raise the price of our products, any of which could harm our business.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currently, and may be in the future, party to intellectual property rights claims and other litigation matters, which, if resolved adversely, could harm our business.</w:t>
      </w:r>
    </w:p>
    <w:p>
      <w:pPr>
        <w:spacing w:after="0" w:line="51"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We protect our intellectual property through patents, copyrights, trademarks, domain names, and trade secrets and, from time to time, are subject to litigation based on allegations of infringement, misappropriation, or other violations of intellectual property or other rights. Some companies, including some of our competitors, own large numbers of patents, copyrights, and trademarks, which they may use to assert claims against us. As we face increasing competition and gain an increasingly high profile, the possibility of intellectual property rights claims, commercial claims, and other assertions against us grows. We have in the past been, are currently, and may from time to time in the future become, a party to litigation and disputes related to our intellectual property, our business practices, and our platform. While we intend to defend these lawsuits vigorously and believe that we have valid defenses to these claims, litigation can be costly and time consuming, divert the attention of our management and key personnel from our business operations and dissuade potential customers from subscribing to our services, which would harm our business. Furthermore, with respect to these lawsuits, there can be no assurances that favorable outcomes will be obtained. We may need to settle litigation and disputes on terms that are unfavorable to us, or we may be subject to an unfavorable judgment that may not be reversible upon appeal. The terms of any settlement or judgment may require us to cease some or all of our operations or pay substantial amounts to the other party. In addition, our agreements with certain larger customers include certain provisions for indemnifying them against liabilities if our services infringe a third party’s intellectual property rights, which could require us to make payments to our customers. During the course of any litigation or dispute, we may make announcements regarding the results of hearings and motions and other interim developments. If securities analysts and investors regard these announcements as negative, the market price of our Class A common stock may decline. With respect to any intellectual property rights claim, we may have to seek a license to continue practices found to be in violation of third-party rights, which may not be available on reasonable terms and may significantly increase our operating expenses. A license to continue such practices may not be available to us at all, and we may be required to develop alternative non-infringing technology or practices or discontinue the practices. The development of alternative, non-infringing technology or practices could require significant effort and expense. Our business could be harmed as a result.</w:t>
      </w:r>
    </w:p>
    <w:p>
      <w:pPr>
        <w:spacing w:after="0" w:line="1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Our failure to protect our intellectual property rights and proprietary information could diminish our brand and other intangible assets.</w:t>
      </w:r>
    </w:p>
    <w:p>
      <w:pPr>
        <w:spacing w:after="0" w:line="1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primarily rely and expect to continue to rely on a combination of patent, patent licenses, trade secret and domain name protection, trademark and copyright laws, as well as confidentiality and license agreements with our employees, consultants, and third parties, to protect our intellectual property and proprietary rights. We make business decisions about when to seek patent protection for a particular technology and when to rely upon copyright or trade secret protection, and the approach we select may ultimately prove to be inadequate. Even in cases where we seek patent protection, there is no assurance that the resulting patents will effectively protect every significant feature of our products. In addition, we believe that the protection of our trademark rights is an important factor in product recognition, protecting our brand and maintaining goodwill. If we do not adequately protect our rights in our trademarks from infringement and unauthorized use, any goodwill that we have developed in those trademarks could be lost or impaired, which could harm our brand and our business. Third parties may knowingly or unknowingly infringe our proprietary rights; third parties may challenge our proprietary right; pending and future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patent, trademark, and copyright applications may not be approved; and we may not be able to prevent infringement without incurring substantial expense. We have also devoted substantial resources to the development of our proprietary technologies and related processes. In order to protect our proprietary technologies and processes, we rely in part on trade secret laws and confidentiality agreements with our employees, consultants, and third parties. These agreements may not effectively prevent disclosure of confidential information and may not provide an adequate remedy in the event of unauthorized disclosure of confidential information. In addition, others may independently discover our trade secrets, in which case we would not be able to assert trade secret rights, or develop similar technologies and processes. Further, the laws of certain foreign countries do not provide the same level of protection of corporate proprietary information and assets such as intellectual property, trademarks, trade secrets, know-how, and records, as the laws of the United States. For instance, the legal systems of certain countries, particularly certain developing countries, do not favor the enforcement of patents and other intellectual property protection. As a result, we may encounter significant problems in protecting and defending our intellectual property or proprietary rights abroad. Additionally, we may also be exposed to material risks of theft or unauthorized reverse engineering of our proprietary information and other intellectual property, including technical data, manufacturing processes, data sets, or other sensitive information. Our efforts to enforce our intellectual property rights in such foreign countries may be inadequate to obtain a significant commercial advantage from the intellectual property that we develop, which could have a material adverse effect on our business, financial condition, and results of operations. Costly and time-consuming litigation could be necessary to enforce and determine the scope of our proprietary rights. If the protection of our proprietary rights is inadequate to prevent use or appropriation by third parties, the value of our platform, brand, and other intangible assets may be diminished, and competitors may be able to more effectively replicate our platform and its features. Any of these events would harm our business.</w:t>
      </w:r>
    </w:p>
    <w:p>
      <w:pPr>
        <w:spacing w:after="0" w:line="191" w:lineRule="exact"/>
        <w:rPr>
          <w:sz w:val="20"/>
          <w:szCs w:val="20"/>
          <w:color w:val="auto"/>
        </w:rPr>
      </w:pPr>
    </w:p>
    <w:p>
      <w:pPr>
        <w:jc w:val="both"/>
        <w:ind w:right="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use of third-party open source software could negatively affect our ability to offer and sell subscriptions to our platform and subject us to possible litigation.</w:t>
      </w:r>
    </w:p>
    <w:p>
      <w:pPr>
        <w:spacing w:after="0" w:line="51"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We have incorporated, and may in the future incorporate, third-party open source software in our technologies. Open source software is generally licensed by its authors or other third parties under open source licenses. From time to time, companies that use third-party open source software have faced claims challenging the use of such open source software and requesting compliance with the open source software license terms. Accordingly, we may be subject to suits by parties claiming ownership of what we believe to be open source software or claiming non-compliance with the applicable open source licensing terms. Some open source software licenses require end-users who use, distribute or make available across a network software and services that include open source software to offer aspects of the technology that incorporates the open source software for no cost. We may also be required to make publicly available source code (which in some circumstances could include valuable proprietary code) for modifications or derivative works we create based upon incorporating or using the open source software and/or to license such modifications or derivative works under the terms of the particular open source license. Additionally, if a third-party software provider has incorporated open source software into software that we license from such provider, we could be required to disclose any of our source code that incorporates or is a modification of our licensed software. While we use tools designed to help us monitor and comply with the licenses of third-party open source software and protect our valuable proprietary source code, we may inadvertently use third-party open source software in a manner that exposes us to claims of non-compliance with the terms of their licenses, including claims of intellectual property rights infringement or for breach of contract. Furthermore, there exists today an increasing number of types of open source software licenses, almost none of which have been tested in courts of law to provide guidance of their proper legal interpretations. If we were to receive a claim of non-compliance with the terms of any of these open source licenses, we may be required to publicly release certain portions of our proprietary source code. We could also be required to expend substantial time and resources to re-engineer some of our software. Any of the foregoing could disrupt and harm our business.</w:t>
      </w:r>
    </w:p>
    <w:p>
      <w:pPr>
        <w:spacing w:after="0" w:line="8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addition, the use of third-party open source software typically exposes us to greater risks than the use of third-party commercial software because open source licensors generally do not provide warranties or controls on the functionality or origin of the software. Use of open source software may also present additional security risks because the public availability of such software may make it easier for hackers and other third parties to determine how to compromise our platform. Any of the foregoing could harm our business and could help our competitors develop products and services that are similar to or better than ours.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Class A Common Stock</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our Class A common stock may be volatile, and you could lose all or part of your investment.</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trading price of our Class A common stock has been and will likely continue to be volatile and could be subject to fluctuations in response to various factors, some of which are beyond our control. For example, in connection with the COVID-19 pandemic, we have experienced an increase in the usage of our video-first communications platform, and as a result, the trading price of our Class A common stock has significantly increased, while at the same time, the broader market has experienced significant declines and volatility. There are no assurances that the trading price of our Class A common stock</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will continue at this level for any period of time. Moreover, the trading price of our Class A common stock could experience a significant decrease once the scope and impact of the COVID-19 pandemic is better understood. These fluctuations could cause you to lose all or part of your investment in our Class A common stock. Factors that could cause fluctuations in the trading price of our Class A common stock include the following:</w:t>
      </w:r>
    </w:p>
    <w:p>
      <w:pPr>
        <w:spacing w:after="0" w:line="68" w:lineRule="exact"/>
        <w:rPr>
          <w:sz w:val="20"/>
          <w:szCs w:val="20"/>
          <w:color w:val="auto"/>
        </w:rPr>
      </w:pPr>
    </w:p>
    <w:p>
      <w:pPr>
        <w:ind w:left="1140" w:hanging="646"/>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overall stock market from time to time;</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trading prices and trading volumes of technology stocks;</w:t>
      </w:r>
    </w:p>
    <w:p>
      <w:pPr>
        <w:spacing w:after="0" w:line="117" w:lineRule="exact"/>
        <w:rPr>
          <w:rFonts w:ascii="Times New Roman" w:cs="Times New Roman" w:eastAsia="Times New Roman" w:hAnsi="Times New Roman"/>
          <w:sz w:val="18"/>
          <w:szCs w:val="18"/>
          <w:color w:val="auto"/>
        </w:rPr>
      </w:pPr>
    </w:p>
    <w:p>
      <w:pPr>
        <w:ind w:left="1140" w:hanging="646"/>
        <w:spacing w:after="0" w:line="282" w:lineRule="auto"/>
        <w:tabs>
          <w:tab w:leader="none" w:pos="11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performance and stock market valuations of other technology companies generally, or those in our industry in particular;</w:t>
      </w:r>
    </w:p>
    <w:p>
      <w:pPr>
        <w:spacing w:after="0" w:line="53"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shares of our Class A common stock by us or our stockholders;</w:t>
      </w:r>
    </w:p>
    <w:p>
      <w:pPr>
        <w:spacing w:after="0" w:line="117" w:lineRule="exact"/>
        <w:rPr>
          <w:rFonts w:ascii="Times New Roman" w:cs="Times New Roman" w:eastAsia="Times New Roman" w:hAnsi="Times New Roman"/>
          <w:sz w:val="18"/>
          <w:szCs w:val="18"/>
          <w:color w:val="auto"/>
        </w:rPr>
      </w:pPr>
    </w:p>
    <w:p>
      <w:pPr>
        <w:ind w:left="1140" w:hanging="646"/>
        <w:spacing w:after="0" w:line="282" w:lineRule="auto"/>
        <w:tabs>
          <w:tab w:leader="none" w:pos="11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securities analysts to maintain coverage of us, changes in financial estimates by securities analysts who follow our company, or our failure to meet these estimates or the expectations of investors;</w:t>
      </w:r>
    </w:p>
    <w:p>
      <w:pPr>
        <w:spacing w:after="0" w:line="53"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projections we may provide to the public, any changes in those projections, or our failure to meet those projections;</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new products, features, or services;</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our press releases, other public announcements, and filings with the SEC;</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rumors and market speculation involving us or other companies in our industry;</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results of operations or fluctuations in our results of operations;</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developments in our business, our competitors’ businesses, or the competitive landscape generally;</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us, our industry, or both, or investigations by regulators into our operations or those of our competitors;</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our intellectual property or other proprietary rights;</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or completed acquisitions of businesses, products, services, or technologies by us or our competitors;</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laws or regulations or new interpretations of existing laws or regulations applicable to our business;</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policies, guidelines, interpretations, or principles;</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significant change in our management; and</w:t>
      </w:r>
    </w:p>
    <w:p>
      <w:pPr>
        <w:spacing w:after="0" w:line="117"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slow or negative growth of our markets.</w:t>
      </w:r>
    </w:p>
    <w:p>
      <w:pPr>
        <w:spacing w:after="0" w:line="117"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 addition, in the past, following periods of volatility in the overall market and in the market price of a particular company’s securities, securities class action litigation has often been instituted against these companies. For example, in April and June 2020, we and certain of our officers and directors were sued in putative class action lawsuits and purported shareholder derivative lawsuits alleging violations of the federal securities laws for allegedly making materially false and misleading statements. We may be the target of additional litigation of this type in the future. Securities litigation against us could result in substantial costs and divert our management’s time and attention from other business concerns, which could harm our business. We may be the target of additional litigation of this type in the future as well. Securities litigation against us could result in substantial costs and a diversion of our management’s attention and resources.</w:t>
      </w:r>
    </w:p>
    <w:p>
      <w:pPr>
        <w:spacing w:after="0" w:line="185"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dual class structure of our common stock as contained in our amended and restated certificate of incorporation has the effect of concentrating voting control with those stockholders who held our stock prior to our initial public offering, including our executive officers, employees, and directors and their affiliates, limiting your ability to influence corporate matters.</w:t>
      </w:r>
    </w:p>
    <w:p>
      <w:pPr>
        <w:spacing w:after="0" w:line="6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Class B common stock has 10 votes per share and our Class A common stock has one vote per share. As of October 31, 2020, the holders of our outstanding Class B common stock held 81.6% of the voting power of our outstanding capital stock, with our directors, executive officers and 5% stockholders and their respective affiliates holding 73.7% of such voting power in the aggregate. As of October 31, 2020, our founder, President and Chief Executive Officer, Eric S. Yuan, together with his affiliates, held approximately 15.1% of our outstanding capital stock but controlled approximately 40.2% of the voting power of our outstanding capital stock. Therefore, these holders have significant influence over our management and affairs and over all matters requiring stockholder approval, including election of directors and significant corporate transactions, such as a merger or other sale of Zoom or our assets, for the foreseeable future. Each share of Class B common stock will be automatically converted into one share of Class A common stock upon the earliest of (i) the date that is six months following</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death or incapacity of Mr. Yuan, (ii) the date that is six months following the date that Mr. Yuan is no longer providing services to us or his employment is terminated for cause, (iii) the date specified by the holders of a majority of the then outstanding shares of Class B common stock, voting as a separate class, and (iv) the 15-year anniversary of the closing of our initial public offering.</w:t>
      </w:r>
    </w:p>
    <w:p>
      <w:pPr>
        <w:spacing w:after="0" w:line="6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addition, the holders of Class B common stock collectively will continue to be able to control all matters submitted to our stockholders for approval even if their stock holdings represent less than a majority of the outstanding shares of our common stock. This concentrated control will limit your ability to influence corporate matters for the foreseeable future, and, as a result, the market price of our Class A common stock could be adversely affected.</w:t>
      </w:r>
    </w:p>
    <w:p>
      <w:pPr>
        <w:spacing w:after="0" w:line="68"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Future transfers by holders of Class B common stock will generally result in those shares converting to Class A common stock, which will have the effect, over time, of increasing the relative voting power of those holders of Class B common stock who retain their shares in the long term. If, for example, Mr. Yuan retains a significant portion of his holdings of Class B common stock for an extended period of time, he could, in the future, control a majority of the combined voting power of our Class A and Class B common stock. As a board member, Mr. Yuan owes a fiduciary duty to our stockholders and must act in good faith in a manner he reasonably believes to be in the best interests of our stockholders. As a stockholder, even a controlling stockholder, Mr. Yuan is entitled to vote his shares in his own interests, which may not always be in the interests of our stockholders generally.</w:t>
      </w:r>
    </w:p>
    <w:p>
      <w:pPr>
        <w:spacing w:after="0" w:line="7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 addition, in July 2017, FTSE Russell and Standard &amp; Poor’s announced that they would cease to allow most newly public companies utilizing dual- or multi-class capital structures to be included in their indices. Affected indices include the Russell 2000 and the S&amp;P 500, S&amp;P MidCap 400, and S&amp;P SmallCap 600, which together make up the S&amp;P Composite 1500. Under the announced policies, our dual-class capital structure would make us ineligible for inclusion in any of these indices, and as a result, mutual funds, exchange-traded funds, and other investment vehicles that attempt to passively track these indices will not be investing in our stock. These policies are new, and it is as of yet unclear what effect, if any, they will have on the valuations of publicly traded companies excluded from the indices, but it is possible that they may depress these valuations or depress our trading volume compared to those of other similar companies that are included.</w:t>
      </w:r>
    </w:p>
    <w:p>
      <w:pPr>
        <w:spacing w:after="0" w:line="185" w:lineRule="exact"/>
        <w:rPr>
          <w:sz w:val="20"/>
          <w:szCs w:val="20"/>
          <w:color w:val="auto"/>
        </w:rPr>
      </w:pPr>
    </w:p>
    <w:p>
      <w:pPr>
        <w:jc w:val="both"/>
        <w:ind w:right="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and issuances of our capital stock or rights to purchase capital stock could result in additional dilution of the percentage ownership of our stockholders and could cause our stock price to decline.</w:t>
      </w:r>
    </w:p>
    <w:p>
      <w:pPr>
        <w:spacing w:after="0" w:line="5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Future sales and issuances of our capital stock or rights to purchase our capital stock could result in substantial dilution to our existing stockholders. We may sell Class A common stock, convertible securities, and other equity securities in one or more transactions at prices and in a manner as we may determine from time to time. If we sell any such securities in subsequent transactions, investors may be materially diluted. New investors in such subsequent transactions could gain rights, preferences, and privileges senior to those of holders of our Class A common stock.</w:t>
      </w:r>
    </w:p>
    <w:p>
      <w:pPr>
        <w:spacing w:after="0" w:line="176"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Substantial future sales of shares of our Class A common stock and Class B common stock could cause the market price of our Class A common stock to decline.</w:t>
      </w:r>
    </w:p>
    <w:p>
      <w:pPr>
        <w:spacing w:after="0" w:line="5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Sales of a substantial number of shares of our Class A common stock and Class B common stock (after automatically converting to Class A common stock) in the public market, or the perception that these sales might occur, could depress the market price of our Class A common stock.</w:t>
      </w:r>
    </w:p>
    <w:p>
      <w:pPr>
        <w:spacing w:after="0" w:line="5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addition, certain of our stockholders have registration rights that would require us to register shares owned by them for public sale in the United States. We have also filed a registration statement to register shares reserved for future issuance under our equity compensation plans. As a result, subject to the satisfaction of applicable exercise periods and applicable volume and restrictions that apply to affiliates, the shares issued upon exercise of outstanding stock options or upon settlement of outstanding RSU awards are available for immediate resale in the United States in the open market.</w:t>
      </w:r>
    </w:p>
    <w:p>
      <w:pPr>
        <w:spacing w:after="0" w:line="7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Sales of our shares could also impair our ability to raise capital through the sale of additional equity securities in the future and at a price we deem appropriate. These sales could also cause the trading price of our Class A common stock to fall and make it more difficult for you to sell shares of our Class A common stock.</w:t>
      </w:r>
    </w:p>
    <w:p>
      <w:pPr>
        <w:spacing w:after="0" w:line="172"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corporate charter documents and under Delaware law may prevent or frustrate attempts by our stockholders to change our management or hinder efforts to acquire a controlling interest in us, and the market price of our Class A common stock may be lower as a result.</w:t>
      </w:r>
    </w:p>
    <w:p>
      <w:pPr>
        <w:spacing w:after="0" w:line="5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There are provisions in our certificate of incorporation and bylaws that may make it difficult for a third party to acquire, or attempt to acquire, control of Zoom, even if a change in control was considered favorable by our stockholders.</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charter documents also contain other provisions that could have an anti-takeover effect, such as: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140" w:hanging="565"/>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 classified board of directors so that not all members of our board of directors are elected at one time;</w:t>
      </w:r>
    </w:p>
    <w:p>
      <w:pPr>
        <w:spacing w:after="0" w:line="117"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permitting the board of directors to establish the number of directors and fill any vacancies and newly created directorships;</w:t>
      </w:r>
    </w:p>
    <w:p>
      <w:pPr>
        <w:spacing w:after="0" w:line="117"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that directors may only be removed for cause;</w:t>
      </w:r>
    </w:p>
    <w:p>
      <w:pPr>
        <w:spacing w:after="0" w:line="117"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prohibiting cumulative voting for directors;</w:t>
      </w:r>
    </w:p>
    <w:p>
      <w:pPr>
        <w:spacing w:after="0" w:line="117"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super-majority voting to amend some provisions in our certificate of incorporation and bylaws;</w:t>
      </w:r>
    </w:p>
    <w:p>
      <w:pPr>
        <w:spacing w:after="0" w:line="117"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authorizing the issuance of “blank check” preferred stock that our board of directors could use to implement a stockholder rights plan;</w:t>
      </w:r>
    </w:p>
    <w:p>
      <w:pPr>
        <w:spacing w:after="0" w:line="117"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eliminating the ability of stockholders to call special meetings of stockholders;</w:t>
      </w:r>
    </w:p>
    <w:p>
      <w:pPr>
        <w:spacing w:after="0" w:line="117"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prohibiting stockholder action by written consent, which requires all stockholder actions to be taken at a meeting of our stockholders; and</w:t>
      </w:r>
    </w:p>
    <w:p>
      <w:pPr>
        <w:spacing w:after="0" w:line="117"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dual-class common stock structure as described above.</w:t>
      </w:r>
    </w:p>
    <w:p>
      <w:pPr>
        <w:spacing w:after="0" w:line="11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the provisions of Section 203 of the Delaware General Corporation Law, which prohibit a person who owns 15% or more of our outstanding voting stock from merging or combining with us for a period of three years after the date of the transaction in which the person acquired in excess of 15% of our outstanding voting stock, unless the merger or combination is approved in a prescribed manner. Any provision in our certificate of incorporation or our bylaws or Delaware law that has the effect of delaying or deterring a change in control could limit the opportunity for our stockholders to receive a premium for their shares of our Class A common stock and could also affect the price that some investors are willing to pay for our Class A common stock.</w:t>
      </w:r>
    </w:p>
    <w:p>
      <w:pPr>
        <w:spacing w:after="0" w:line="183"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designates the Court of Chancery of the State of Delaware and the federal district courts of the United States of America as the exclusive forums for certain disputes between us and our stockholders, which could limit our stockholders’ ability to choose the judicial forum for disputes with us or our directors, officers, or employees.</w:t>
      </w:r>
    </w:p>
    <w:p>
      <w:pPr>
        <w:spacing w:after="0" w:line="67"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unless we consent in writing to the selection of an alternative forum, the sole and exclusive forum for the following types of actions or proceedings under Delaware statutory or common law: (i) any derivative action or proceeding brought on our behalf; (ii) any action asserting a claim of breach of a fiduciary duty owed by any of our directors, officers, or other employees to us or our stockholders; (iii) any action arising pursuant to any provision of the Delaware General Corporation Law, or the certificate of incorporation or the amended and restated bylaws; or (iv) any other action asserting a claim that is governed by the internal affairs doctrine shall be the Court of Chancery of the State of Delaware (or, if the Court of Chancery does not have jurisdiction, the federal district court for the District of Delaware), in all cases subject to the court having jurisdiction over indispensable parties named as defendants. 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provides that the federal district courts of the United States of America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8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Any person or entity purchasing or otherwise acquiring any interest in any of our securities shall be deemed to have notice of and consented to these provisions. These exclusive-forum provisions may limit a stockholder’s ability to bring a claim in a judicial forum of its choosing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harm our results of operations.</w:t>
      </w:r>
    </w:p>
    <w:p>
      <w:pPr>
        <w:spacing w:after="0" w:line="1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for the foreseeable future.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have never declared nor paid cash dividends on our capital stock. We currently intend to retain any future earnings to finance the operation and expansion of our business, and we do not expect to declare or pay any dividends in the foreseeable future. As a result, stockholders must rely on sales of their Class A common stock after price appreciation as the only way to realize any future gains on their investment.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Estimates of our market opportunity and forecasts of market growth may prove to be inaccurate, and even if the market in which we compete achieves the forecasted growth, our business could fail to grow at similar rates, if at all.</w:t>
      </w:r>
    </w:p>
    <w:p>
      <w:pPr>
        <w:spacing w:after="0" w:line="5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Market opportunity estimates and growth forecasts for the markets in which we compete, including those we have generated ourselves, are subject to significant uncertainty and are based on assumptions and estimates that may not prove to be accurate. Not every organization covered by our market opportunity estimates will necessarily buy video communications platforms, and some or many of those organizations may choose to continue using legacy communication methods or point solutions offered by our competitors. It is impossible to build every product feature that every customer or host wants, and our competitors may develop and offer features that our platform does not provide. The variables that go into the calculation of our market opportunity are subject to change over time, and there is no guarantee that any particular number or percentage of the organizations covered by our market opportunity estimates will purchase our solutions at all or generate any particular level of revenue for us. Even if the markets in which we compete meet the size estimates and growth forecasts, our business could fail to grow for a variety of reasons outside of our control, including competition in our industry. If any of these risks materializes, it could harm our business and prospects.</w:t>
      </w:r>
    </w:p>
    <w:p>
      <w:pPr>
        <w:spacing w:after="0" w:line="1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disrupted by catastrophic events.</w:t>
      </w:r>
    </w:p>
    <w:p>
      <w:pPr>
        <w:spacing w:after="0" w:line="1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Occurrence of any catastrophic event, including earthquake, fire, flood, tsunami or other weather event, power loss, telecommunications failure, software or hardware malfunctions, cyber-attack, war, terrorist attack, disease, or health epidemics, could result in lengthy interruptions in our service. In particular, our U.S. headquarters and some of the data centers we utilize are located in the San Francisco Bay Area, a region known for seismic activity, and our insurance coverage may not compensate us for losses that may occur in the event of an earthquake or other significant natural disaster. In addition, acts of terrorism could cause disruptions to the internet or the economy as a whole. Even with our disaster recovery arrangements, our service could be interrupted. Moreover, if our systems were to fail or be negatively impacted as a result of a natural disaster or other event, our ability to deliver products to our users would be impaired, or we could lose critical data. If we are unable to develop adequate plans to ensure that our business functions continue to operate during and after a disaster and to execute successfully on those plans in the event of a disaster or emergency, our business would be harmed.</w:t>
      </w:r>
    </w:p>
    <w:p>
      <w:pPr>
        <w:spacing w:after="0" w:line="84"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also face risks related to health epidemics, such as the COVID-19 pandemic, which has impacted virtually every country in the world. An outbreak of a contagious disease, and other adverse health developments could have an adverse effect on global economic conditions and on our business. The effects could include business and service disruptions, such as the temporary closure of our facilities, restrictions on our employees' ability to travel to support our facilities and services, and difficulties in hiring new employees. We have removed the 40-minute time limit from our free Basic accounts for customers in K-12 schools in certain countries. While we have seen increased usage of our service globally, a significant portion of such increase is attributable to free Basic accounts, which do not generate any revenue. We cannot make any assurances that we will experience an increase in paid hosts or that new or existing users will continue to utilize our services at the same levels after the COVID-19 pandemic has tapered. Furthermore, such increased usage by free Basic account users during this time has required and will continue to require us to expand our network capacity which will increase our operating costs.</w:t>
      </w:r>
    </w:p>
    <w:p>
      <w:pPr>
        <w:spacing w:after="0" w:line="1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Our reported results of operations may be adversely affected by changes in accounting principles generally accepted in the United States.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Generally accepted accounting principles in the United States are subject to interpretation by the FASB, the SEC, and various bodies formed to promulgate and interpret appropriate accounting principles. A change in these principles or interpretations could have a significant effect on our reported results of operations and may even affect the reporting of transactions completed before the announcement or effectiveness of a change. It is also difficult to predict the impact of future changes to accounting principles or our accounting policies, any of which could harm our business.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We may need additional capital, and we cannot be certain that additional financing will be available on favorable terms, or at all.</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Historically, we have funded our operations and capital expenditures primarily through equity issuances and cash generated from our operations. Although we currently anticipate that our existing cash and cash equivalents and cash flow from operations will be sufficient to meet our cash needs for the foreseeable future, we may require additional financing. We evaluate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financing opportunities from time to time, and our ability to obtain financing will depend, among other things, on our development efforts, business plans, operating performance, and condition of the capital markets at the time we seek financing. We cannot assure you that additional financing will be available to us on favorable terms when required, or at all. If we raise additional funds through the issuance of equity or equity-linked or debt securities, those securities may have rights, preferences, or privileges senior to the rights of our Class A common stock, and our stockholders may experience dilution.</w:t>
      </w:r>
    </w:p>
    <w:p>
      <w:pPr>
        <w:spacing w:after="0" w:line="176"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disclosure controls and internal control over financial reporting, our ability to produce timely and accurate condensed consolidated financial statements or comply with applicable regulations could be impaired.</w:t>
      </w:r>
    </w:p>
    <w:p>
      <w:pPr>
        <w:spacing w:after="0" w:line="5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are subject to the reporting requirements of the Exchange Act, the Sarbanes-Oxley Act of 2002 (the "Sarbanes-Oxley Act") and the rules and regulations of the applicable listing standards of The Nasdaq Stock Market.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72"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w:t>
      </w:r>
    </w:p>
    <w:p>
      <w:pPr>
        <w:spacing w:after="0" w:line="8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current controls and any new controls that we develop may become inadequate because of changes in conditions in our business. In addition, changes in accounting principles or interpretations could also challenge our internal controls and require that we establish new business processes, systems, and controls to accommodate such changes. We have limited experience with implementing the systems and controls that will be necessary to operate as a public company, as well as adopting changes in accounting principles or interpretations mandated by the relevant regulatory bodies. Additionally, if these new systems, controls, or standards and the associated process changes do not give rise to the benefits that we expect or do not operate as intended, it could adversely affect our financial reporting systems and processes, our ability to produce timely and accurate financial reports, or the effectiveness of internal control over financial reporting. Moreover, our business may be harmed if we experience problems with any new systems and controls that result in delays in their implementation or increased costs to correct any post-implementation issues that may arise.</w:t>
      </w:r>
    </w:p>
    <w:p>
      <w:pPr>
        <w:spacing w:after="0" w:line="84"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Further, weaknesses in our disclosure controls and internal control over financial reporting may be discovered in the future. Any failure to develop or maintain effective controls or any difficulties encountered in their implementation or improvement could harm our business or cause us to fail to meet our reporting obligations and may result in a restatement of our condensed consolidated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The Nasdaq Stock Market. We will be required to provide an annual management report on the effectiveness of our internal control over financial reporting commencing with our next Annual Report on Form 10-K.</w:t>
      </w:r>
    </w:p>
    <w:p>
      <w:pPr>
        <w:spacing w:after="0" w:line="86"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Our independent registered public accounting firm is not required to formally attest to the effectiveness of our internal control over financial reporting until our first Annual Report filed with the SEC where we are an accelerated filer or a large accelerated filer. We will be required to provide our public accounting firm’s attestation to the effectiveness of our internal control over financial reporting with our next Annual Report on Form 10-K.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harm our business and could cause a decline in the trading price of our Class A common stock.</w:t>
      </w:r>
    </w:p>
    <w:p>
      <w:pPr>
        <w:spacing w:after="0" w:line="183"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Class A common stock market price and trading volume could decline if securities or industry analysts do not publish research or publish inaccurate or unfavorable research about our business.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trading market for our Class A common stock depends in part on the research and reports that securities or industry analysts publish about us or our business. The analysts’ estimates are based upon their own opinions and are often different from our estimates or expectations. If one or more of the analysts who cover us downgrade our Class A common stock or publish inaccurate or unfavorable research about our business, the price of our securities would likely decline. If one or more securities analysts cease coverage of us or fail to publish reports on us regularly, demand for our securities could decrease, which might cause the price and trading volume of our Class A common stock to decline.</w:t>
      </w:r>
    </w:p>
    <w:p>
      <w:pPr>
        <w:spacing w:after="0" w:line="179"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costs and demands upon management as a result of complying with the laws and regulations affecting public companies in the United States, which may harm our business.</w:t>
      </w:r>
    </w:p>
    <w:p>
      <w:pPr>
        <w:spacing w:after="0" w:line="5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As a public company listed in the United States, we incur significant additional legal, accounting, and other expenses. In addition, changing laws, regulations, and standards relating to corporate governance and public disclosure, including regulations implemented by the SEC and The Nasdaq Stock Market, may increase legal and financial compliance costs and make some activities more time consuming. These laws, regulations, and standards are subject to varying interpretations, and as a result, their application in practice may evolve over time as new guidance is provided by regulatory and governing bodies.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notwithstanding our efforts, we fail to comply with new laws, regulations, and standards, regulatory authorities may initiate legal proceedings against us and our business may be harmed.</w:t>
      </w:r>
    </w:p>
    <w:p>
      <w:pPr>
        <w:spacing w:after="0" w:line="8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Failure to comply with these rules might also make it more difficult for us to obtain certain types of insurance, including director and officer liability insurance, and we might be forced to accept reduced policy limits and coverage or incur substantially higher costs to obtain the same or similar coverage. The impact of these events would also make it more difficult for us to attract and retain qualified persons to serve on our board of directors, on committees of our board of directors, or as members of senior management.</w:t>
      </w:r>
    </w:p>
    <w:p>
      <w:pPr>
        <w:spacing w:after="0" w:line="176" w:lineRule="exact"/>
        <w:rPr>
          <w:sz w:val="20"/>
          <w:szCs w:val="20"/>
          <w:color w:val="auto"/>
        </w:rPr>
      </w:pPr>
    </w:p>
    <w:p>
      <w:pPr>
        <w:jc w:val="both"/>
        <w:ind w:right="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we intend to comply only with reduced disclosure requirements applicable to emerging growth companies. As a result, our Class A common stock could be less attractive to investors.</w:t>
      </w:r>
    </w:p>
    <w:p>
      <w:pPr>
        <w:spacing w:after="0" w:line="5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and for as long as we continue to be an emerging growth company, we may choose to take advantage of exemptions from various reporting requirements applicable to other public companies but not to emerging growth companies, including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We will remain an emerging growth company until the earlier of (i) the last day of the fiscal year (a) following the fifth anniversary of the completion of our IPO; (b) in which we have total annual gross revenue of more than $1.07 billion; or (c) in which we are deemed to be a large accelerated filer, which means the market value of our common stock held by non-affiliates exceeds $700 million as of the prior July 31 and (ii) the date on which we have issued more than $1.0 billion in non-convertible debt during the prior three-year period. We cannot predict if investors will find our Class A common stock less attractive if we choose to rely on these exemptions. If some investors find our Class A common stock less attractive as a result of any choices to reduce future disclosure, there may be a less active trading market for our Class A common stock, and our stock price may be more volatile.</w:t>
      </w:r>
    </w:p>
    <w:p>
      <w:pPr>
        <w:spacing w:after="0" w:line="29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tab/>
        <w:t>UNREGISTERED SALES OF EQUITY SECURITIES AND USE OF PROCEEDS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820" w:type="dxa"/>
            <w:vAlign w:val="bottom"/>
            <w:gridSpan w:val="16"/>
          </w:tcPr>
          <w:p>
            <w:pPr>
              <w:ind w:left="640"/>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0" w:type="dxa"/>
            <w:vAlign w:val="bottom"/>
          </w:tcPr>
          <w:p>
            <w:pPr>
              <w:spacing w:after="0"/>
              <w:rPr>
                <w:sz w:val="1"/>
                <w:szCs w:val="1"/>
                <w:color w:val="auto"/>
              </w:rPr>
            </w:pPr>
          </w:p>
        </w:tc>
      </w:tr>
      <w:tr>
        <w:trPr>
          <w:trHeight w:val="270"/>
        </w:trPr>
        <w:tc>
          <w:tcPr>
            <w:tcW w:w="1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60" w:type="dxa"/>
            <w:vAlign w:val="bottom"/>
            <w:gridSpan w:val="1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184"/>
        </w:trPr>
        <w:tc>
          <w:tcPr>
            <w:tcW w:w="1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60" w:type="dxa"/>
            <w:vAlign w:val="bottom"/>
            <w:gridSpan w:val="1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4660" w:type="dxa"/>
            <w:vAlign w:val="bottom"/>
            <w:gridSpan w:val="15"/>
          </w:tcPr>
          <w:p>
            <w:pPr>
              <w:spacing w:after="0"/>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Amended and Restated Certificate of Incorporation of Zoom</w:t>
              </w:r>
            </w:hyperlink>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2080" w:type="dxa"/>
            <w:vAlign w:val="bottom"/>
            <w:tcBorders>
              <w:top w:val="single" w:sz="8" w:color="0000FF"/>
              <w:bottom w:val="single" w:sz="8" w:color="0000FF"/>
            </w:tcBorders>
            <w:gridSpan w:val="3"/>
          </w:tcPr>
          <w:p>
            <w:pPr>
              <w:spacing w:after="0" w:line="182" w:lineRule="exact"/>
              <w:rPr>
                <w:rFonts w:ascii="Times New Roman" w:cs="Times New Roman" w:eastAsia="Times New Roman" w:hAnsi="Times New Roman"/>
                <w:sz w:val="18"/>
                <w:szCs w:val="18"/>
                <w:color w:val="0000FF"/>
                <w:w w:val="99"/>
              </w:rPr>
            </w:pPr>
            <w:hyperlink r:id="rId95">
              <w:r>
                <w:rPr>
                  <w:rFonts w:ascii="Times New Roman" w:cs="Times New Roman" w:eastAsia="Times New Roman" w:hAnsi="Times New Roman"/>
                  <w:sz w:val="18"/>
                  <w:szCs w:val="18"/>
                  <w:color w:val="0000FF"/>
                  <w:w w:val="99"/>
                </w:rPr>
                <w:t>Video Communications, Inc.</w:t>
              </w:r>
            </w:hyperlink>
          </w:p>
        </w:tc>
        <w:tc>
          <w:tcPr>
            <w:tcW w:w="2280" w:type="dxa"/>
            <w:vAlign w:val="bottom"/>
            <w:tcBorders>
              <w:top w:val="single" w:sz="8" w:color="0000FF"/>
            </w:tcBorders>
            <w:gridSpan w:val="5"/>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4660" w:type="dxa"/>
            <w:vAlign w:val="bottom"/>
            <w:gridSpan w:val="15"/>
          </w:tcPr>
          <w:p>
            <w:pPr>
              <w:spacing w:after="0"/>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Amended and Restated Bylaws of Zoom Video</w:t>
              </w:r>
            </w:hyperlink>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3400" w:type="dxa"/>
            <w:vAlign w:val="bottom"/>
            <w:tcBorders>
              <w:top w:val="single" w:sz="8" w:color="0000FF"/>
            </w:tcBorders>
            <w:gridSpan w:val="4"/>
          </w:tcPr>
          <w:p>
            <w:pPr>
              <w:spacing w:after="0" w:line="182" w:lineRule="exact"/>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Communications, Inc.</w:t>
              </w:r>
            </w:hyperlink>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4660" w:type="dxa"/>
            <w:vAlign w:val="bottom"/>
            <w:gridSpan w:val="15"/>
          </w:tcPr>
          <w:p>
            <w:pPr>
              <w:spacing w:after="0"/>
              <w:rPr>
                <w:rFonts w:ascii="Times New Roman" w:cs="Times New Roman" w:eastAsia="Times New Roman" w:hAnsi="Times New Roman"/>
                <w:sz w:val="18"/>
                <w:szCs w:val="18"/>
                <w:color w:val="0000FF"/>
              </w:rPr>
            </w:pPr>
            <w:hyperlink w:anchor="page73">
              <w:r>
                <w:rPr>
                  <w:rFonts w:ascii="Times New Roman" w:cs="Times New Roman" w:eastAsia="Times New Roman" w:hAnsi="Times New Roman"/>
                  <w:sz w:val="18"/>
                  <w:szCs w:val="18"/>
                  <w:color w:val="0000FF"/>
                </w:rPr>
                <w:t>Zoom Video Communications, Inc. 2019 Equity Incentive Plan</w:t>
              </w:r>
            </w:hyperlink>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4560" w:type="dxa"/>
            <w:vAlign w:val="bottom"/>
            <w:tcBorders>
              <w:top w:val="single" w:sz="8" w:color="0000FF"/>
              <w:bottom w:val="single" w:sz="8" w:color="0000FF"/>
            </w:tcBorders>
            <w:gridSpan w:val="12"/>
          </w:tcPr>
          <w:p>
            <w:pPr>
              <w:spacing w:after="0" w:line="156" w:lineRule="exact"/>
              <w:rPr>
                <w:rFonts w:ascii="Times New Roman" w:cs="Times New Roman" w:eastAsia="Times New Roman" w:hAnsi="Times New Roman"/>
                <w:sz w:val="18"/>
                <w:szCs w:val="18"/>
                <w:color w:val="0000FF"/>
                <w:w w:val="98"/>
              </w:rPr>
            </w:pPr>
            <w:hyperlink w:anchor="page73">
              <w:r>
                <w:rPr>
                  <w:rFonts w:ascii="Times New Roman" w:cs="Times New Roman" w:eastAsia="Times New Roman" w:hAnsi="Times New Roman"/>
                  <w:sz w:val="18"/>
                  <w:szCs w:val="18"/>
                  <w:color w:val="0000FF"/>
                  <w:w w:val="98"/>
                </w:rPr>
                <w:t>Global Restricted Stock Unit Award Grant Notice for Executive</w:t>
              </w:r>
            </w:hyperlink>
          </w:p>
        </w:tc>
        <w:tc>
          <w:tcPr>
            <w:tcW w:w="40" w:type="dxa"/>
            <w:vAlign w:val="bottom"/>
            <w:tcBorders>
              <w:bottom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4600" w:type="dxa"/>
            <w:vAlign w:val="bottom"/>
            <w:gridSpan w:val="13"/>
          </w:tcPr>
          <w:p>
            <w:pPr>
              <w:spacing w:after="0" w:line="156" w:lineRule="exact"/>
              <w:rPr>
                <w:rFonts w:ascii="Times New Roman" w:cs="Times New Roman" w:eastAsia="Times New Roman" w:hAnsi="Times New Roman"/>
                <w:sz w:val="18"/>
                <w:szCs w:val="18"/>
                <w:color w:val="0000FF"/>
              </w:rPr>
            </w:pPr>
            <w:hyperlink w:anchor="page73">
              <w:r>
                <w:rPr>
                  <w:rFonts w:ascii="Times New Roman" w:cs="Times New Roman" w:eastAsia="Times New Roman" w:hAnsi="Times New Roman"/>
                  <w:sz w:val="18"/>
                  <w:szCs w:val="18"/>
                  <w:color w:val="0000FF"/>
                </w:rPr>
                <w:t>Officers, as amended</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4660" w:type="dxa"/>
            <w:vAlign w:val="bottom"/>
            <w:gridSpan w:val="15"/>
          </w:tcPr>
          <w:p>
            <w:pPr>
              <w:spacing w:after="0"/>
              <w:rPr>
                <w:rFonts w:ascii="Times New Roman" w:cs="Times New Roman" w:eastAsia="Times New Roman" w:hAnsi="Times New Roman"/>
                <w:sz w:val="18"/>
                <w:szCs w:val="18"/>
                <w:color w:val="0000FF"/>
              </w:rPr>
            </w:pPr>
            <w:hyperlink w:anchor="page95">
              <w:r>
                <w:rPr>
                  <w:rFonts w:ascii="Times New Roman" w:cs="Times New Roman" w:eastAsia="Times New Roman" w:hAnsi="Times New Roman"/>
                  <w:sz w:val="18"/>
                  <w:szCs w:val="18"/>
                  <w:color w:val="0000FF"/>
                </w:rPr>
                <w:t>Certification of Chief Executive Officer pursuant to Exchange</w:t>
              </w:r>
            </w:hyperlink>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448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w:anchor="page95">
              <w:r>
                <w:rPr>
                  <w:rFonts w:ascii="Times New Roman" w:cs="Times New Roman" w:eastAsia="Times New Roman" w:hAnsi="Times New Roman"/>
                  <w:sz w:val="18"/>
                  <w:szCs w:val="18"/>
                  <w:color w:val="0000FF"/>
                </w:rPr>
                <w:t>Act Rules 13a-14(a) and 15d-14(a), as adopted pursuant to</w:t>
              </w:r>
            </w:hyperlink>
          </w:p>
        </w:tc>
        <w:tc>
          <w:tcPr>
            <w:tcW w:w="1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4220" w:type="dxa"/>
            <w:vAlign w:val="bottom"/>
            <w:tcBorders>
              <w:top w:val="single" w:sz="8" w:color="0000FF"/>
            </w:tcBorders>
            <w:gridSpan w:val="7"/>
          </w:tcPr>
          <w:p>
            <w:pPr>
              <w:spacing w:after="0" w:line="156" w:lineRule="exact"/>
              <w:rPr>
                <w:rFonts w:ascii="Times New Roman" w:cs="Times New Roman" w:eastAsia="Times New Roman" w:hAnsi="Times New Roman"/>
                <w:sz w:val="18"/>
                <w:szCs w:val="18"/>
                <w:color w:val="0000FF"/>
              </w:rPr>
            </w:pPr>
            <w:hyperlink w:anchor="page95">
              <w:r>
                <w:rPr>
                  <w:rFonts w:ascii="Times New Roman" w:cs="Times New Roman" w:eastAsia="Times New Roman" w:hAnsi="Times New Roman"/>
                  <w:sz w:val="18"/>
                  <w:szCs w:val="18"/>
                  <w:color w:val="0000FF"/>
                </w:rPr>
                <w:t>Section 302 of the Sarbanes-Oxley Act of 2002.</w:t>
              </w:r>
            </w:hyperlink>
          </w:p>
        </w:tc>
        <w:tc>
          <w:tcPr>
            <w:tcW w:w="2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460" w:type="dxa"/>
            <w:vAlign w:val="bottom"/>
            <w:gridSpan w:val="5"/>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4660" w:type="dxa"/>
            <w:vAlign w:val="bottom"/>
            <w:gridSpan w:val="15"/>
          </w:tcPr>
          <w:p>
            <w:pPr>
              <w:spacing w:after="0"/>
              <w:rPr>
                <w:rFonts w:ascii="Times New Roman" w:cs="Times New Roman" w:eastAsia="Times New Roman" w:hAnsi="Times New Roman"/>
                <w:sz w:val="18"/>
                <w:szCs w:val="18"/>
                <w:color w:val="0000FF"/>
              </w:rPr>
            </w:pPr>
            <w:hyperlink w:anchor="page96">
              <w:r>
                <w:rPr>
                  <w:rFonts w:ascii="Times New Roman" w:cs="Times New Roman" w:eastAsia="Times New Roman" w:hAnsi="Times New Roman"/>
                  <w:sz w:val="18"/>
                  <w:szCs w:val="18"/>
                  <w:color w:val="0000FF"/>
                </w:rPr>
                <w:t>Certification of Chief Financial Officer pursuant to Exchange</w:t>
              </w:r>
            </w:hyperlink>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4440" w:type="dxa"/>
            <w:vAlign w:val="bottom"/>
            <w:tcBorders>
              <w:top w:val="single" w:sz="8" w:color="0000FF"/>
            </w:tcBorders>
            <w:gridSpan w:val="10"/>
          </w:tcPr>
          <w:p>
            <w:pPr>
              <w:spacing w:after="0" w:line="156" w:lineRule="exact"/>
              <w:rPr>
                <w:rFonts w:ascii="Times New Roman" w:cs="Times New Roman" w:eastAsia="Times New Roman" w:hAnsi="Times New Roman"/>
                <w:sz w:val="18"/>
                <w:szCs w:val="18"/>
                <w:color w:val="0000FF"/>
              </w:rPr>
            </w:pPr>
            <w:hyperlink w:anchor="page96">
              <w:r>
                <w:rPr>
                  <w:rFonts w:ascii="Times New Roman" w:cs="Times New Roman" w:eastAsia="Times New Roman" w:hAnsi="Times New Roman"/>
                  <w:sz w:val="18"/>
                  <w:szCs w:val="18"/>
                  <w:color w:val="0000FF"/>
                </w:rPr>
                <w:t>Act Rules 13a-14(a) and 15d-14(a), as adopted pursuant to</w:t>
              </w:r>
            </w:hyperlink>
          </w:p>
        </w:tc>
        <w:tc>
          <w:tcPr>
            <w:tcW w:w="20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4220" w:type="dxa"/>
            <w:vAlign w:val="bottom"/>
            <w:tcBorders>
              <w:top w:val="single" w:sz="8" w:color="0000FF"/>
            </w:tcBorders>
            <w:gridSpan w:val="7"/>
          </w:tcPr>
          <w:p>
            <w:pPr>
              <w:spacing w:after="0" w:line="156" w:lineRule="exact"/>
              <w:rPr>
                <w:rFonts w:ascii="Times New Roman" w:cs="Times New Roman" w:eastAsia="Times New Roman" w:hAnsi="Times New Roman"/>
                <w:sz w:val="18"/>
                <w:szCs w:val="18"/>
                <w:color w:val="0000FF"/>
              </w:rPr>
            </w:pPr>
            <w:hyperlink w:anchor="page96">
              <w:r>
                <w:rPr>
                  <w:rFonts w:ascii="Times New Roman" w:cs="Times New Roman" w:eastAsia="Times New Roman" w:hAnsi="Times New Roman"/>
                  <w:sz w:val="18"/>
                  <w:szCs w:val="18"/>
                  <w:color w:val="0000FF"/>
                </w:rPr>
                <w:t>Section 302 of the Sarbanes-Oxley Act of 2002.</w:t>
              </w:r>
            </w:hyperlink>
          </w:p>
        </w:tc>
        <w:tc>
          <w:tcPr>
            <w:tcW w:w="200" w:type="dxa"/>
            <w:vAlign w:val="bottom"/>
            <w:gridSpan w:val="2"/>
          </w:tcPr>
          <w:p>
            <w:pPr>
              <w:spacing w:after="0"/>
              <w:rPr>
                <w:sz w:val="13"/>
                <w:szCs w:val="13"/>
                <w:color w:val="auto"/>
              </w:rPr>
            </w:pPr>
          </w:p>
        </w:tc>
        <w:tc>
          <w:tcPr>
            <w:tcW w:w="22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460" w:type="dxa"/>
            <w:vAlign w:val="bottom"/>
            <w:gridSpan w:val="5"/>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442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w w:val="99"/>
              </w:rPr>
            </w:pPr>
            <w:hyperlink w:anchor="page97">
              <w:r>
                <w:rPr>
                  <w:rFonts w:ascii="Times New Roman" w:cs="Times New Roman" w:eastAsia="Times New Roman" w:hAnsi="Times New Roman"/>
                  <w:sz w:val="18"/>
                  <w:szCs w:val="18"/>
                  <w:color w:val="0000FF"/>
                  <w:w w:val="99"/>
                </w:rPr>
                <w:t>Certifications of Chief Executive Officer and Chief Financial</w:t>
              </w:r>
            </w:hyperlink>
          </w:p>
        </w:tc>
        <w:tc>
          <w:tcPr>
            <w:tcW w:w="240" w:type="dxa"/>
            <w:vAlign w:val="bottom"/>
            <w:gridSpan w:val="6"/>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4660" w:type="dxa"/>
            <w:vAlign w:val="bottom"/>
            <w:gridSpan w:val="15"/>
          </w:tcPr>
          <w:p>
            <w:pPr>
              <w:spacing w:after="0" w:line="156" w:lineRule="exact"/>
              <w:rPr>
                <w:rFonts w:ascii="Times New Roman" w:cs="Times New Roman" w:eastAsia="Times New Roman" w:hAnsi="Times New Roman"/>
                <w:sz w:val="18"/>
                <w:szCs w:val="18"/>
                <w:color w:val="0000FF"/>
              </w:rPr>
            </w:pPr>
            <w:hyperlink w:anchor="page97">
              <w:r>
                <w:rPr>
                  <w:rFonts w:ascii="Times New Roman" w:cs="Times New Roman" w:eastAsia="Times New Roman" w:hAnsi="Times New Roman"/>
                  <w:sz w:val="18"/>
                  <w:szCs w:val="18"/>
                  <w:color w:val="0000FF"/>
                </w:rPr>
                <w:t>Officer pursuant to 18 U.S.C. Section 1350, as adopted pursuant</w:t>
              </w:r>
            </w:hyperlink>
          </w:p>
        </w:tc>
        <w:tc>
          <w:tcPr>
            <w:tcW w:w="0" w:type="dxa"/>
            <w:vAlign w:val="bottom"/>
          </w:tcPr>
          <w:p>
            <w:pPr>
              <w:spacing w:after="0"/>
              <w:rPr>
                <w:sz w:val="1"/>
                <w:szCs w:val="1"/>
                <w:color w:val="auto"/>
              </w:rPr>
            </w:pPr>
          </w:p>
        </w:tc>
      </w:tr>
      <w:tr>
        <w:trPr>
          <w:trHeight w:val="156"/>
        </w:trPr>
        <w:tc>
          <w:tcPr>
            <w:tcW w:w="1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101.INS*</w:t>
            </w:r>
          </w:p>
        </w:tc>
        <w:tc>
          <w:tcPr>
            <w:tcW w:w="464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w:anchor="page97">
              <w:r>
                <w:rPr>
                  <w:rFonts w:ascii="Times New Roman" w:cs="Times New Roman" w:eastAsia="Times New Roman" w:hAnsi="Times New Roman"/>
                  <w:sz w:val="18"/>
                  <w:szCs w:val="18"/>
                  <w:color w:val="0000FF"/>
                </w:rPr>
                <w:t>to Section 906 of the Sarbanes-Oxley Act of 2002.</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vMerge w:val="continue"/>
          </w:tcPr>
          <w:p>
            <w:pPr>
              <w:spacing w:after="0" w:line="20" w:lineRule="exact"/>
              <w:rPr>
                <w:sz w:val="1"/>
                <w:szCs w:val="1"/>
                <w:color w:val="auto"/>
              </w:rPr>
            </w:pPr>
          </w:p>
        </w:tc>
        <w:tc>
          <w:tcPr>
            <w:tcW w:w="3640" w:type="dxa"/>
            <w:vAlign w:val="bottom"/>
            <w:gridSpan w:val="6"/>
            <w:shd w:val="clear" w:color="auto" w:fill="0000FF"/>
          </w:tcPr>
          <w:p>
            <w:pPr>
              <w:spacing w:after="0" w:line="20" w:lineRule="exact"/>
              <w:rPr>
                <w:sz w:val="1"/>
                <w:szCs w:val="1"/>
                <w:color w:val="auto"/>
              </w:rPr>
            </w:pPr>
          </w:p>
        </w:tc>
        <w:tc>
          <w:tcPr>
            <w:tcW w:w="102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1160" w:type="dxa"/>
            <w:vAlign w:val="bottom"/>
            <w:vMerge w:val="continue"/>
          </w:tcPr>
          <w:p>
            <w:pPr>
              <w:spacing w:after="0"/>
              <w:rPr>
                <w:sz w:val="20"/>
                <w:szCs w:val="20"/>
                <w:color w:val="auto"/>
              </w:rPr>
            </w:pPr>
          </w:p>
        </w:tc>
        <w:tc>
          <w:tcPr>
            <w:tcW w:w="46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XBRL Instance Document (the instance document does not</w:t>
            </w: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4660" w:type="dxa"/>
            <w:vAlign w:val="bottom"/>
            <w:gridSpan w:val="15"/>
          </w:tcPr>
          <w:p>
            <w:pPr>
              <w:spacing w:after="0" w:line="202" w:lineRule="exact"/>
              <w:rPr>
                <w:sz w:val="20"/>
                <w:szCs w:val="20"/>
                <w:color w:val="auto"/>
              </w:rPr>
            </w:pPr>
            <w:r>
              <w:rPr>
                <w:rFonts w:ascii="Times New Roman" w:cs="Times New Roman" w:eastAsia="Times New Roman" w:hAnsi="Times New Roman"/>
                <w:sz w:val="18"/>
                <w:szCs w:val="18"/>
                <w:color w:val="auto"/>
              </w:rPr>
              <w:t>appear in the Interactive Data File because its XBRL tags are</w:t>
            </w: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46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embedded within the Inline EXBRL document)</w:t>
            </w:r>
          </w:p>
        </w:tc>
        <w:tc>
          <w:tcPr>
            <w:tcW w:w="0" w:type="dxa"/>
            <w:vAlign w:val="bottom"/>
          </w:tcPr>
          <w:p>
            <w:pPr>
              <w:spacing w:after="0"/>
              <w:rPr>
                <w:sz w:val="1"/>
                <w:szCs w:val="1"/>
                <w:color w:val="auto"/>
              </w:rPr>
            </w:pPr>
          </w:p>
        </w:tc>
      </w:tr>
      <w:tr>
        <w:trPr>
          <w:trHeight w:val="238"/>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46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46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29"/>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46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46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46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0" w:type="dxa"/>
            <w:vAlign w:val="bottom"/>
          </w:tcPr>
          <w:p>
            <w:pPr>
              <w:spacing w:after="0"/>
              <w:rPr>
                <w:sz w:val="1"/>
                <w:szCs w:val="1"/>
                <w:color w:val="auto"/>
              </w:rPr>
            </w:pPr>
          </w:p>
        </w:tc>
      </w:tr>
    </w:tbl>
    <w:p>
      <w:pPr>
        <w:ind w:left="1180" w:right="220" w:hanging="1154"/>
        <w:spacing w:after="0" w:line="237" w:lineRule="auto"/>
        <w:tabs>
          <w:tab w:leader="none" w:pos="118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(the cover page from the Registrant’s Quarterly Report on Form 10-Q for the quarter ended October 31, 2020, has been formatted in Inline XBRL)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41910</wp:posOffset>
            </wp:positionV>
            <wp:extent cx="331724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400" w:type="dxa"/>
            <w:vAlign w:val="bottom"/>
          </w:tcPr>
          <w:p>
            <w:pPr>
              <w:ind w:left="64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16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340" w:type="dxa"/>
            <w:vAlign w:val="bottom"/>
          </w:tcPr>
          <w:p>
            <w:pPr>
              <w:ind w:left="640"/>
              <w:spacing w:after="0"/>
              <w:rPr>
                <w:sz w:val="20"/>
                <w:szCs w:val="20"/>
                <w:color w:val="auto"/>
              </w:rPr>
            </w:pPr>
            <w:r>
              <w:rPr>
                <w:rFonts w:ascii="Times New Roman" w:cs="Times New Roman" w:eastAsia="Times New Roman" w:hAnsi="Times New Roman"/>
                <w:sz w:val="14"/>
                <w:szCs w:val="14"/>
                <w:b w:val="1"/>
                <w:bCs w:val="1"/>
                <w:color w:val="auto"/>
              </w:rPr>
              <w:t>Filing Date</w:t>
            </w:r>
          </w:p>
        </w:tc>
      </w:tr>
      <w:tr>
        <w:trPr>
          <w:trHeight w:val="253"/>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001-38865</w:t>
            </w:r>
          </w:p>
        </w:tc>
        <w:tc>
          <w:tcPr>
            <w:tcW w:w="1160" w:type="dxa"/>
            <w:vAlign w:val="bottom"/>
          </w:tcPr>
          <w:p>
            <w:pPr>
              <w:jc w:val="right"/>
              <w:ind w:right="576"/>
              <w:spacing w:after="0"/>
              <w:rPr>
                <w:sz w:val="20"/>
                <w:szCs w:val="20"/>
                <w:color w:val="auto"/>
              </w:rPr>
            </w:pPr>
            <w:r>
              <w:rPr>
                <w:rFonts w:ascii="Times New Roman" w:cs="Times New Roman" w:eastAsia="Times New Roman" w:hAnsi="Times New Roman"/>
                <w:sz w:val="18"/>
                <w:szCs w:val="18"/>
                <w:color w:val="auto"/>
              </w:rPr>
              <w:t>3.1</w:t>
            </w:r>
          </w:p>
        </w:tc>
        <w:tc>
          <w:tcPr>
            <w:tcW w:w="1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April 23, 2019</w:t>
            </w:r>
          </w:p>
        </w:tc>
      </w:tr>
      <w:tr>
        <w:trPr>
          <w:trHeight w:val="459"/>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S-1/A</w:t>
            </w:r>
          </w:p>
        </w:tc>
        <w:tc>
          <w:tcPr>
            <w:tcW w:w="1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333-230444</w:t>
            </w:r>
          </w:p>
        </w:tc>
        <w:tc>
          <w:tcPr>
            <w:tcW w:w="1160" w:type="dxa"/>
            <w:vAlign w:val="bottom"/>
          </w:tcPr>
          <w:p>
            <w:pPr>
              <w:jc w:val="right"/>
              <w:ind w:right="576"/>
              <w:spacing w:after="0"/>
              <w:rPr>
                <w:sz w:val="20"/>
                <w:szCs w:val="20"/>
                <w:color w:val="auto"/>
              </w:rPr>
            </w:pPr>
            <w:r>
              <w:rPr>
                <w:rFonts w:ascii="Times New Roman" w:cs="Times New Roman" w:eastAsia="Times New Roman" w:hAnsi="Times New Roman"/>
                <w:sz w:val="18"/>
                <w:szCs w:val="18"/>
                <w:color w:val="auto"/>
              </w:rPr>
              <w:t>3.4</w:t>
            </w:r>
          </w:p>
        </w:tc>
        <w:tc>
          <w:tcPr>
            <w:tcW w:w="1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April 8, 2019</w:t>
            </w:r>
          </w:p>
        </w:tc>
      </w:tr>
    </w:tbl>
    <w:p>
      <w:pPr>
        <w:spacing w:after="0" w:line="5017" w:lineRule="exact"/>
        <w:rPr>
          <w:sz w:val="20"/>
          <w:szCs w:val="20"/>
          <w:color w:val="auto"/>
        </w:rPr>
      </w:pPr>
    </w:p>
    <w:p>
      <w:pPr>
        <w:sectPr>
          <w:pgSz w:w="11900" w:h="16838" w:orient="portrait"/>
          <w:cols w:equalWidth="0" w:num="2">
            <w:col w:w="5820" w:space="180"/>
            <w:col w:w="5240"/>
          </w:cols>
          <w:pgMar w:left="320" w:top="121" w:right="339" w:bottom="1440" w:gutter="0" w:footer="0" w:header="0"/>
        </w:sect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Filed herewith.</w:t>
      </w:r>
    </w:p>
    <w:p>
      <w:pPr>
        <w:spacing w:after="0" w:line="27" w:lineRule="exact"/>
        <w:rPr>
          <w:sz w:val="20"/>
          <w:szCs w:val="20"/>
          <w:color w:val="auto"/>
        </w:rPr>
      </w:pPr>
    </w:p>
    <w:p>
      <w:pPr>
        <w:ind w:left="660" w:hanging="652"/>
        <w:spacing w:after="0" w:line="255" w:lineRule="auto"/>
        <w:tabs>
          <w:tab w:leader="none" w:pos="33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 32.1 that accompany this Quarterly Report on Form 10-Q are not deemed filed with the SEC and are not to be incorporated by reference into any filing of the Registrant under the Securities Act,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1" w:name="page72"/>
    <w:bookmarkEnd w:id="7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86"/>
        <w:spacing w:after="0" w:line="27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260" w:type="dxa"/>
            <w:vAlign w:val="bottom"/>
          </w:tcPr>
          <w:p>
            <w:pPr>
              <w:spacing w:after="0"/>
              <w:rPr>
                <w:sz w:val="20"/>
                <w:szCs w:val="20"/>
                <w:color w:val="auto"/>
              </w:rPr>
            </w:pPr>
          </w:p>
        </w:tc>
        <w:tc>
          <w:tcPr>
            <w:tcW w:w="6940" w:type="dxa"/>
            <w:vAlign w:val="bottom"/>
            <w:gridSpan w:val="2"/>
          </w:tcPr>
          <w:p>
            <w:pPr>
              <w:ind w:left="2480"/>
              <w:spacing w:after="0"/>
              <w:rPr>
                <w:sz w:val="20"/>
                <w:szCs w:val="20"/>
                <w:color w:val="auto"/>
              </w:rPr>
            </w:pPr>
            <w:r>
              <w:rPr>
                <w:rFonts w:ascii="Times New Roman" w:cs="Times New Roman" w:eastAsia="Times New Roman" w:hAnsi="Times New Roman"/>
                <w:sz w:val="18"/>
                <w:szCs w:val="18"/>
                <w:b w:val="1"/>
                <w:bCs w:val="1"/>
                <w:color w:val="auto"/>
              </w:rPr>
              <w:t>ZOOM VIDEO COMMUNICATIONS, INC.</w:t>
            </w:r>
          </w:p>
        </w:tc>
      </w:tr>
      <w:tr>
        <w:trPr>
          <w:trHeight w:val="48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3, 2020</w:t>
            </w:r>
          </w:p>
        </w:tc>
        <w:tc>
          <w:tcPr>
            <w:tcW w:w="300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By:</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Eric S. Yuan</w:t>
            </w:r>
          </w:p>
        </w:tc>
      </w:tr>
      <w:tr>
        <w:trPr>
          <w:trHeight w:val="218"/>
        </w:trPr>
        <w:tc>
          <w:tcPr>
            <w:tcW w:w="42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Eric S. Yuan</w:t>
            </w:r>
          </w:p>
        </w:tc>
      </w:tr>
      <w:tr>
        <w:trPr>
          <w:trHeight w:val="228"/>
        </w:trPr>
        <w:tc>
          <w:tcPr>
            <w:tcW w:w="426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6"/>
        </w:trPr>
        <w:tc>
          <w:tcPr>
            <w:tcW w:w="426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48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3, 2020</w:t>
            </w:r>
          </w:p>
        </w:tc>
        <w:tc>
          <w:tcPr>
            <w:tcW w:w="300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By:</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Kelly Steckelberg</w:t>
            </w:r>
          </w:p>
        </w:tc>
      </w:tr>
      <w:tr>
        <w:trPr>
          <w:trHeight w:val="218"/>
        </w:trPr>
        <w:tc>
          <w:tcPr>
            <w:tcW w:w="42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Kelly Steckelberg</w:t>
            </w:r>
          </w:p>
        </w:tc>
      </w:tr>
      <w:tr>
        <w:trPr>
          <w:trHeight w:val="228"/>
        </w:trPr>
        <w:tc>
          <w:tcPr>
            <w:tcW w:w="426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426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240"/>
          </w:cols>
          <w:pgMar w:left="320" w:top="121" w:right="3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4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[Executives]</w:t>
      </w:r>
    </w:p>
    <w:p>
      <w:pPr>
        <w:spacing w:after="0" w:line="200" w:lineRule="exact"/>
        <w:rPr>
          <w:sz w:val="20"/>
          <w:szCs w:val="20"/>
          <w:color w:val="auto"/>
        </w:rPr>
      </w:pPr>
    </w:p>
    <w:p>
      <w:pPr>
        <w:spacing w:after="0" w:line="333"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5"/>
          <w:szCs w:val="25"/>
          <w:b w:val="1"/>
          <w:bCs w:val="1"/>
          <w:color w:val="auto"/>
        </w:rPr>
        <w:t>Zoom Video Communications, Inc.</w:t>
      </w:r>
    </w:p>
    <w:p>
      <w:pPr>
        <w:spacing w:after="0" w:line="44"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5"/>
          <w:szCs w:val="25"/>
          <w:b w:val="1"/>
          <w:bCs w:val="1"/>
          <w:color w:val="auto"/>
        </w:rPr>
        <w:t>Global RSU Award Grant Notice</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(2019 Equity Incentive Plan)</w:t>
      </w:r>
    </w:p>
    <w:p>
      <w:pPr>
        <w:spacing w:after="0" w:line="21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21"/>
          <w:szCs w:val="21"/>
          <w:color w:val="auto"/>
        </w:rPr>
        <w:t xml:space="preserve">Zoom Video Communications, Inc. (the </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1"/>
          <w:szCs w:val="21"/>
          <w:color w:val="auto"/>
        </w:rPr>
        <w:t>) has awarded you (“the “</w:t>
      </w:r>
      <w:r>
        <w:rPr>
          <w:rFonts w:ascii="Times New Roman" w:cs="Times New Roman" w:eastAsia="Times New Roman" w:hAnsi="Times New Roman"/>
          <w:sz w:val="21"/>
          <w:szCs w:val="21"/>
          <w:b w:val="1"/>
          <w:bCs w:val="1"/>
          <w:i w:val="1"/>
          <w:iCs w:val="1"/>
          <w:color w:val="auto"/>
        </w:rPr>
        <w:t>Participant</w:t>
      </w:r>
      <w:r>
        <w:rPr>
          <w:rFonts w:ascii="Times New Roman" w:cs="Times New Roman" w:eastAsia="Times New Roman" w:hAnsi="Times New Roman"/>
          <w:sz w:val="21"/>
          <w:szCs w:val="21"/>
          <w:color w:val="auto"/>
        </w:rPr>
        <w:t xml:space="preserve">”) the number of restricted stock units specified and on the terms set forth below in consideration of your services (the </w:t>
      </w:r>
      <w:r>
        <w:rPr>
          <w:rFonts w:ascii="Times New Roman" w:cs="Times New Roman" w:eastAsia="Times New Roman" w:hAnsi="Times New Roman"/>
          <w:sz w:val="21"/>
          <w:szCs w:val="21"/>
          <w:b w:val="1"/>
          <w:bCs w:val="1"/>
          <w:i w:val="1"/>
          <w:iCs w:val="1"/>
          <w:color w:val="auto"/>
        </w:rPr>
        <w:t>“RSU Award”</w:t>
      </w:r>
      <w:r>
        <w:rPr>
          <w:rFonts w:ascii="Times New Roman" w:cs="Times New Roman" w:eastAsia="Times New Roman" w:hAnsi="Times New Roman"/>
          <w:sz w:val="21"/>
          <w:szCs w:val="21"/>
          <w:color w:val="auto"/>
        </w:rPr>
        <w:t xml:space="preserve">). Your RSU Award is subject to all of the terms and conditions as set forth herein and in the Company’s 2019 Equity Incentive Plan (the </w:t>
      </w:r>
      <w:r>
        <w:rPr>
          <w:rFonts w:ascii="Times New Roman" w:cs="Times New Roman" w:eastAsia="Times New Roman" w:hAnsi="Times New Roman"/>
          <w:sz w:val="21"/>
          <w:szCs w:val="21"/>
          <w:b w:val="1"/>
          <w:bCs w:val="1"/>
          <w:i w:val="1"/>
          <w:iCs w:val="1"/>
          <w:color w:val="auto"/>
        </w:rPr>
        <w:t>“Plan”</w:t>
      </w:r>
      <w:r>
        <w:rPr>
          <w:rFonts w:ascii="Times New Roman" w:cs="Times New Roman" w:eastAsia="Times New Roman" w:hAnsi="Times New Roman"/>
          <w:sz w:val="21"/>
          <w:szCs w:val="21"/>
          <w:color w:val="auto"/>
        </w:rPr>
        <w:t>) and the Global RSU Award Agreement, including any additional terms and conditions for your country included in the appendix attached thereto (the “</w:t>
      </w:r>
      <w:r>
        <w:rPr>
          <w:rFonts w:ascii="Times New Roman" w:cs="Times New Roman" w:eastAsia="Times New Roman" w:hAnsi="Times New Roman"/>
          <w:sz w:val="21"/>
          <w:szCs w:val="21"/>
          <w:b w:val="1"/>
          <w:bCs w:val="1"/>
          <w:i w:val="1"/>
          <w:iCs w:val="1"/>
          <w:color w:val="auto"/>
        </w:rPr>
        <w:t>Agreement</w:t>
      </w:r>
      <w:r>
        <w:rPr>
          <w:rFonts w:ascii="Times New Roman" w:cs="Times New Roman" w:eastAsia="Times New Roman" w:hAnsi="Times New Roman"/>
          <w:sz w:val="21"/>
          <w:szCs w:val="21"/>
          <w:color w:val="auto"/>
        </w:rPr>
        <w:t>”), both of which are attached hereto and incorporated herein in their entirety. Capitalized terms not explicitly defined herein but defined in the Plan or the Agreement shall have the meanings set forth in the Plan or the Agreement.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774700</wp:posOffset>
            </wp:positionH>
            <wp:positionV relativeFrom="paragraph">
              <wp:posOffset>-13970</wp:posOffset>
            </wp:positionV>
            <wp:extent cx="13716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934085</wp:posOffset>
            </wp:positionH>
            <wp:positionV relativeFrom="paragraph">
              <wp:posOffset>-29210</wp:posOffset>
            </wp:positionV>
            <wp:extent cx="13716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1818005</wp:posOffset>
            </wp:positionH>
            <wp:positionV relativeFrom="paragraph">
              <wp:posOffset>-29210</wp:posOffset>
            </wp:positionV>
            <wp:extent cx="13716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Number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2047240</wp:posOffset>
            </wp:positionH>
            <wp:positionV relativeFrom="paragraph">
              <wp:posOffset>-29210</wp:posOffset>
            </wp:positionV>
            <wp:extent cx="13716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both"/>
        <w:ind w:left="1880" w:right="20" w:hanging="1862"/>
        <w:spacing w:after="0" w:line="271" w:lineRule="auto"/>
        <w:tabs>
          <w:tab w:leader="none" w:pos="1860" w:val="left"/>
        </w:tabs>
        <w:rPr>
          <w:sz w:val="20"/>
          <w:szCs w:val="20"/>
          <w:color w:val="auto"/>
        </w:rPr>
      </w:pPr>
      <w:r>
        <w:rPr>
          <w:rFonts w:ascii="Times New Roman" w:cs="Times New Roman" w:eastAsia="Times New Roman" w:hAnsi="Times New Roman"/>
          <w:sz w:val="22"/>
          <w:szCs w:val="22"/>
          <w:b w:val="1"/>
          <w:bCs w:val="1"/>
          <w:color w:val="auto"/>
        </w:rPr>
        <w:t>Vesting Schedule</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Subject to the Participant’s Continuous Service through each applicable vesting date, the restricted stock units subject to the RSU Award will vest as follows:</w:t>
      </w:r>
    </w:p>
    <w:p>
      <w:pPr>
        <w:spacing w:after="0" w:line="156" w:lineRule="exact"/>
        <w:rPr>
          <w:sz w:val="20"/>
          <w:szCs w:val="20"/>
          <w:color w:val="auto"/>
        </w:rPr>
      </w:pPr>
    </w:p>
    <w:p>
      <w:pPr>
        <w:jc w:val="both"/>
        <w:ind w:left="1880"/>
        <w:spacing w:after="0" w:line="224" w:lineRule="auto"/>
        <w:rPr>
          <w:sz w:val="20"/>
          <w:szCs w:val="20"/>
          <w:color w:val="auto"/>
        </w:rPr>
      </w:pPr>
      <w:r>
        <w:rPr>
          <w:rFonts w:ascii="Times New Roman" w:cs="Times New Roman" w:eastAsia="Times New Roman" w:hAnsi="Times New Roman"/>
          <w:sz w:val="22"/>
          <w:szCs w:val="22"/>
          <w:color w:val="auto"/>
        </w:rPr>
        <w:t>[New Hire Grants—1/4</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of the restricted stock units shall vest on the first anniversary of the Vesting Commencement Date. Thereafter 1/16</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of the restricted stock units shall vest every three months following the first anniversary of the Vesting Commencement Date on the day of the calendar month that corresponds with the Vesting Commencement Date such that the RSU Award is fully vested on the fourth anniversary of the Vesting Commencement Date.]</w:t>
      </w:r>
    </w:p>
    <w:p>
      <w:pPr>
        <w:spacing w:after="0" w:line="154" w:lineRule="exact"/>
        <w:rPr>
          <w:sz w:val="20"/>
          <w:szCs w:val="20"/>
          <w:color w:val="auto"/>
        </w:rPr>
      </w:pPr>
    </w:p>
    <w:p>
      <w:pPr>
        <w:jc w:val="both"/>
        <w:ind w:left="1880"/>
        <w:spacing w:after="0" w:line="233" w:lineRule="auto"/>
        <w:rPr>
          <w:sz w:val="20"/>
          <w:szCs w:val="20"/>
          <w:color w:val="auto"/>
        </w:rPr>
      </w:pPr>
      <w:r>
        <w:rPr>
          <w:rFonts w:ascii="Times New Roman" w:cs="Times New Roman" w:eastAsia="Times New Roman" w:hAnsi="Times New Roman"/>
          <w:sz w:val="22"/>
          <w:szCs w:val="22"/>
          <w:color w:val="auto"/>
        </w:rPr>
        <w:t>[Refresher Grants--1/16</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of the restricted stock units shall vest every three months following the Vesting Commencement Date on the day of the calendar month that corresponds with the Vesting Commencement Date such that the RSU Award is fully vested on the fourth anniversary of the Vesting Commencement Date.]</w:t>
      </w:r>
    </w:p>
    <w:p>
      <w:pPr>
        <w:spacing w:after="0" w:line="166" w:lineRule="exact"/>
        <w:rPr>
          <w:sz w:val="20"/>
          <w:szCs w:val="20"/>
          <w:color w:val="auto"/>
        </w:rPr>
      </w:pPr>
    </w:p>
    <w:p>
      <w:pPr>
        <w:jc w:val="both"/>
        <w:ind w:left="1880"/>
        <w:spacing w:after="0" w:line="271" w:lineRule="auto"/>
        <w:rPr>
          <w:sz w:val="20"/>
          <w:szCs w:val="20"/>
          <w:color w:val="auto"/>
        </w:rPr>
      </w:pPr>
      <w:r>
        <w:rPr>
          <w:rFonts w:ascii="Times New Roman" w:cs="Times New Roman" w:eastAsia="Times New Roman" w:hAnsi="Times New Roman"/>
          <w:sz w:val="22"/>
          <w:szCs w:val="22"/>
          <w:color w:val="auto"/>
        </w:rPr>
        <w:t>Notwithstanding the foregoing, the RSU Award will fully vest upon Participant’s death or Disability, subject to the Participant’s Continuous Service through such death or Disability.</w:t>
      </w:r>
    </w:p>
    <w:p>
      <w:pPr>
        <w:spacing w:after="0" w:line="113" w:lineRule="exact"/>
        <w:rPr>
          <w:sz w:val="20"/>
          <w:szCs w:val="20"/>
          <w:color w:val="auto"/>
        </w:rPr>
      </w:pPr>
    </w:p>
    <w:p>
      <w:pPr>
        <w:ind w:left="1880" w:hanging="1862"/>
        <w:spacing w:after="0" w:line="271" w:lineRule="auto"/>
        <w:tabs>
          <w:tab w:leader="none" w:pos="1860" w:val="left"/>
        </w:tabs>
        <w:rPr>
          <w:sz w:val="20"/>
          <w:szCs w:val="20"/>
          <w:color w:val="auto"/>
        </w:rPr>
      </w:pPr>
      <w:r>
        <w:rPr>
          <w:rFonts w:ascii="Times New Roman" w:cs="Times New Roman" w:eastAsia="Times New Roman" w:hAnsi="Times New Roman"/>
          <w:sz w:val="22"/>
          <w:szCs w:val="22"/>
          <w:b w:val="1"/>
          <w:bCs w:val="1"/>
          <w:color w:val="auto"/>
        </w:rPr>
        <w:t>Issuance Schedule:</w:t>
      </w:r>
      <w:r>
        <w:rPr>
          <w:sz w:val="20"/>
          <w:szCs w:val="20"/>
          <w:color w:val="auto"/>
        </w:rPr>
        <w:tab/>
      </w:r>
      <w:r>
        <w:rPr>
          <w:rFonts w:ascii="Times New Roman" w:cs="Times New Roman" w:eastAsia="Times New Roman" w:hAnsi="Times New Roman"/>
          <w:sz w:val="22"/>
          <w:szCs w:val="22"/>
          <w:color w:val="auto"/>
        </w:rPr>
        <w:t>One share of Common Stock will be issued for each restricted stock unit which vests at the time set forth in Section 5 of the Agreement.</w:t>
      </w:r>
    </w:p>
    <w:p>
      <w:pPr>
        <w:spacing w:after="0" w:line="158"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Participant Acknowledgements: </w:t>
      </w:r>
      <w:r>
        <w:rPr>
          <w:rFonts w:ascii="Times New Roman" w:cs="Times New Roman" w:eastAsia="Times New Roman" w:hAnsi="Times New Roman"/>
          <w:sz w:val="22"/>
          <w:szCs w:val="22"/>
          <w:color w:val="auto"/>
        </w:rPr>
        <w:t>By your signature below or by electronic acceptance or authentication in a form authorized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you understand and agree that: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22" w:right="3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4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[Executives]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left="660" w:hanging="328"/>
        <w:spacing w:after="0" w:line="254" w:lineRule="auto"/>
        <w:tabs>
          <w:tab w:leader="none" w:pos="655"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RSU Award is governed by this Global RSU Award Grant Notice (the “</w:t>
      </w:r>
      <w:r>
        <w:rPr>
          <w:rFonts w:ascii="Times New Roman" w:cs="Times New Roman" w:eastAsia="Times New Roman" w:hAnsi="Times New Roman"/>
          <w:sz w:val="22"/>
          <w:szCs w:val="22"/>
          <w:b w:val="1"/>
          <w:bCs w:val="1"/>
          <w:i w:val="1"/>
          <w:iCs w:val="1"/>
          <w:color w:val="auto"/>
        </w:rPr>
        <w:t>Grant Notice</w:t>
      </w:r>
      <w:r>
        <w:rPr>
          <w:rFonts w:ascii="Times New Roman" w:cs="Times New Roman" w:eastAsia="Times New Roman" w:hAnsi="Times New Roman"/>
          <w:sz w:val="22"/>
          <w:szCs w:val="22"/>
          <w:color w:val="auto"/>
        </w:rPr>
        <w:t>”), and the provisions of the Plan and the Agreement, all of which are made a part of this document. Unless otherwise provided in the Plan, this Grant Notice and the Agreement (together, the “</w:t>
      </w:r>
      <w:r>
        <w:rPr>
          <w:rFonts w:ascii="Times New Roman" w:cs="Times New Roman" w:eastAsia="Times New Roman" w:hAnsi="Times New Roman"/>
          <w:sz w:val="22"/>
          <w:szCs w:val="22"/>
          <w:b w:val="1"/>
          <w:bCs w:val="1"/>
          <w:i w:val="1"/>
          <w:iCs w:val="1"/>
          <w:color w:val="auto"/>
        </w:rPr>
        <w:t>RSU Award Agreement</w:t>
      </w:r>
      <w:r>
        <w:rPr>
          <w:rFonts w:ascii="Times New Roman" w:cs="Times New Roman" w:eastAsia="Times New Roman" w:hAnsi="Times New Roman"/>
          <w:sz w:val="22"/>
          <w:szCs w:val="22"/>
          <w:color w:val="auto"/>
        </w:rPr>
        <w:t>”) may not be modified, amended or revised except in a writing signed by you and a duly authorized officer of the Company.</w:t>
      </w:r>
    </w:p>
    <w:p>
      <w:pPr>
        <w:spacing w:after="0" w:line="69" w:lineRule="exact"/>
        <w:rPr>
          <w:rFonts w:ascii="Times New Roman" w:cs="Times New Roman" w:eastAsia="Times New Roman" w:hAnsi="Times New Roman"/>
          <w:sz w:val="22"/>
          <w:szCs w:val="22"/>
          <w:color w:val="auto"/>
        </w:rPr>
      </w:pPr>
    </w:p>
    <w:p>
      <w:pPr>
        <w:jc w:val="both"/>
        <w:ind w:left="660" w:hanging="328"/>
        <w:spacing w:after="0" w:line="257" w:lineRule="auto"/>
        <w:tabs>
          <w:tab w:leader="none" w:pos="655"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have read and are familiar with the provisions of the Plan, the RSU Award Agreement and the Prospectus. In the event of any conflict between the provisions in the RSU Award Agreement, or the Prospectus and the terms of the Plan, the terms of the Plan shall control.</w:t>
      </w:r>
    </w:p>
    <w:p>
      <w:pPr>
        <w:spacing w:after="0" w:line="64" w:lineRule="exact"/>
        <w:rPr>
          <w:rFonts w:ascii="Times New Roman" w:cs="Times New Roman" w:eastAsia="Times New Roman" w:hAnsi="Times New Roman"/>
          <w:sz w:val="22"/>
          <w:szCs w:val="22"/>
          <w:color w:val="auto"/>
        </w:rPr>
      </w:pPr>
    </w:p>
    <w:p>
      <w:pPr>
        <w:jc w:val="both"/>
        <w:ind w:left="660" w:hanging="328"/>
        <w:spacing w:after="0" w:line="248" w:lineRule="auto"/>
        <w:tabs>
          <w:tab w:leader="none" w:pos="655"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fullest extent permitted under the Plan and applicable law, withholding taxes applicable to the RSU Award will be satisfied through the sale of a number of the shares issuable in settlement of the RSU Award as determined in accordance with Section 4 of the Agreement and the remittance of the cash proceeds to the Company. Under the Agreement, the Company or, if different, your employer shall make payment from the cash proceeds of this sale directly to the appropriate tax or social security authorities in an amount equal to the taxes required to be remitted. </w:t>
      </w:r>
      <w:r>
        <w:rPr>
          <w:rFonts w:ascii="Times New Roman" w:cs="Times New Roman" w:eastAsia="Times New Roman" w:hAnsi="Times New Roman"/>
          <w:sz w:val="22"/>
          <w:szCs w:val="22"/>
          <w:b w:val="1"/>
          <w:bCs w:val="1"/>
          <w:i w:val="1"/>
          <w:iCs w:val="1"/>
          <w:color w:val="auto"/>
        </w:rPr>
        <w:t>The mandatory sale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of shares to cover withholding taxes is imposed by the Company on you in connection with your receipt of this RSU Award.</w:t>
      </w:r>
    </w:p>
    <w:p>
      <w:pPr>
        <w:spacing w:after="0" w:line="73" w:lineRule="exact"/>
        <w:rPr>
          <w:rFonts w:ascii="Times New Roman" w:cs="Times New Roman" w:eastAsia="Times New Roman" w:hAnsi="Times New Roman"/>
          <w:sz w:val="22"/>
          <w:szCs w:val="22"/>
          <w:color w:val="auto"/>
        </w:rPr>
      </w:pPr>
    </w:p>
    <w:p>
      <w:pPr>
        <w:jc w:val="both"/>
        <w:ind w:left="660" w:hanging="328"/>
        <w:spacing w:after="0" w:line="260" w:lineRule="auto"/>
        <w:tabs>
          <w:tab w:leader="none" w:pos="655"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RSU Award Agreement sets forth the entire understanding between you and the Company regarding the acquisition of Common Stock and supersedes all prior oral and written agreements, promises and/or representations on that subject with the exception of: (i) other equity awards previously granted to you, (ii) any written employment agreement, offer letter, severance agreement, written severance plan or policy, or other written agreement between the Company and you in each case that specifies the terms that should govern this RSU Award, and (iii) the Company’s Incentive Compensation Recoupment Policy,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 and any clawback policy that the Company otherwise adopts, to the extent applicable and permissible under Applicable Law.</w:t>
      </w:r>
    </w:p>
    <w:p>
      <w:pPr>
        <w:sectPr>
          <w:pgSz w:w="11900" w:h="16838" w:orient="portrait"/>
          <w:cols w:equalWidth="0" w:num="1">
            <w:col w:w="11240"/>
          </w:cols>
          <w:pgMar w:left="320" w:top="122" w:right="339" w:bottom="1440" w:gutter="0" w:footer="0" w:header="0"/>
        </w:sectPr>
      </w:pPr>
    </w:p>
    <w:p>
      <w:pPr>
        <w:spacing w:after="0" w:line="3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b w:val="1"/>
          <w:bCs w:val="1"/>
          <w:color w:val="auto"/>
        </w:rPr>
        <w:t>Zoom Video Communications, Inc.</w:t>
      </w:r>
    </w:p>
    <w:p>
      <w:pPr>
        <w:spacing w:after="0" w:line="20" w:lineRule="exact"/>
        <w:rPr>
          <w:sz w:val="20"/>
          <w:szCs w:val="20"/>
          <w:color w:val="auto"/>
        </w:rPr>
      </w:pPr>
      <w:r>
        <w:rPr>
          <w:sz w:val="20"/>
          <w:szCs w:val="20"/>
          <w:color w:val="auto"/>
        </w:rPr>
        <w:br w:type="column"/>
      </w: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Participant:</w:t>
      </w:r>
    </w:p>
    <w:p>
      <w:pPr>
        <w:spacing w:after="0" w:line="200" w:lineRule="exact"/>
        <w:rPr>
          <w:sz w:val="20"/>
          <w:szCs w:val="20"/>
          <w:color w:val="auto"/>
        </w:rPr>
      </w:pPr>
    </w:p>
    <w:p>
      <w:pPr>
        <w:sectPr>
          <w:pgSz w:w="11900" w:h="16838" w:orient="portrait"/>
          <w:cols w:equalWidth="0" w:num="2">
            <w:col w:w="4800" w:space="720"/>
            <w:col w:w="5720"/>
          </w:cols>
          <w:pgMar w:left="320" w:top="122" w:right="339" w:bottom="1440" w:gutter="0" w:footer="0" w:header="0"/>
          <w:type w:val="continuous"/>
        </w:sectPr>
      </w:pP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By:__________________________________</w:t>
      </w:r>
    </w:p>
    <w:p>
      <w:pPr>
        <w:spacing w:after="0" w:line="3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2"/>
          <w:szCs w:val="22"/>
          <w:color w:val="auto"/>
        </w:rPr>
        <w:t>Signature</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_____________________________________</w:t>
      </w:r>
    </w:p>
    <w:p>
      <w:pPr>
        <w:spacing w:after="0" w:line="3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22"/>
          <w:szCs w:val="22"/>
          <w:color w:val="auto"/>
        </w:rPr>
        <w:t>Signature</w:t>
      </w:r>
    </w:p>
    <w:p>
      <w:pPr>
        <w:spacing w:after="0" w:line="88" w:lineRule="exact"/>
        <w:rPr>
          <w:sz w:val="20"/>
          <w:szCs w:val="20"/>
          <w:color w:val="auto"/>
        </w:rPr>
      </w:pPr>
    </w:p>
    <w:p>
      <w:pPr>
        <w:sectPr>
          <w:pgSz w:w="11900" w:h="16838" w:orient="portrait"/>
          <w:cols w:equalWidth="0" w:num="2">
            <w:col w:w="4800" w:space="720"/>
            <w:col w:w="5720"/>
          </w:cols>
          <w:pgMar w:left="320" w:top="122"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21"/>
          <w:szCs w:val="21"/>
          <w:color w:val="auto"/>
        </w:rPr>
        <w:t>Title:________________________________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Date:_________________________________</w:t>
      </w:r>
    </w:p>
    <w:p>
      <w:pPr>
        <w:spacing w:after="0" w:line="123" w:lineRule="exact"/>
        <w:rPr>
          <w:sz w:val="20"/>
          <w:szCs w:val="20"/>
          <w:color w:val="auto"/>
        </w:rPr>
      </w:pPr>
    </w:p>
    <w:p>
      <w:pPr>
        <w:sectPr>
          <w:pgSz w:w="11900" w:h="16838" w:orient="portrait"/>
          <w:cols w:equalWidth="0" w:num="2">
            <w:col w:w="4800" w:space="720"/>
            <w:col w:w="5720"/>
          </w:cols>
          <w:pgMar w:left="320" w:top="122"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21"/>
          <w:szCs w:val="21"/>
          <w:color w:val="auto"/>
        </w:rPr>
        <w:t>Date: _______________________________</w:t>
      </w:r>
    </w:p>
    <w:p>
      <w:pPr>
        <w:sectPr>
          <w:pgSz w:w="11900" w:h="16838" w:orient="portrait"/>
          <w:cols w:equalWidth="0" w:num="1">
            <w:col w:w="11240"/>
          </w:cols>
          <w:pgMar w:left="320" w:top="12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Attachments</w:t>
      </w:r>
      <w:r>
        <w:rPr>
          <w:rFonts w:ascii="Times New Roman" w:cs="Times New Roman" w:eastAsia="Times New Roman" w:hAnsi="Times New Roman"/>
          <w:sz w:val="21"/>
          <w:szCs w:val="21"/>
          <w:color w:val="auto"/>
        </w:rPr>
        <w:t>: Global RSU Award Agreement, 2019 Equity Incentive Plan, Prospectus</w:t>
      </w:r>
    </w:p>
    <w:p>
      <w:pPr>
        <w:spacing w:after="0" w:line="200" w:lineRule="exact"/>
        <w:rPr>
          <w:sz w:val="20"/>
          <w:szCs w:val="20"/>
          <w:color w:val="auto"/>
        </w:rPr>
      </w:pPr>
    </w:p>
    <w:p>
      <w:pPr>
        <w:spacing w:after="0" w:line="40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22" w:right="339" w:bottom="1440" w:gutter="0" w:footer="0" w:header="0"/>
          <w:type w:val="continuous"/>
        </w:sectPr>
      </w:pPr>
    </w:p>
    <w:bookmarkStart w:id="74" w:name="page75"/>
    <w:bookmarkEnd w:id="74"/>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4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[Executives]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Attachment I</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Zoom Video Communications, Inc.</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2019 Equity Incentive Plan</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Global RSU Award Agreement</w:t>
      </w:r>
    </w:p>
    <w:p>
      <w:pPr>
        <w:spacing w:after="0" w:line="200" w:lineRule="exact"/>
        <w:rPr>
          <w:sz w:val="20"/>
          <w:szCs w:val="20"/>
          <w:color w:val="auto"/>
        </w:rPr>
      </w:pPr>
    </w:p>
    <w:p>
      <w:pPr>
        <w:spacing w:after="0" w:line="234"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As reflected by your Global RSU Award Grant Notice (“</w:t>
      </w:r>
      <w:r>
        <w:rPr>
          <w:rFonts w:ascii="Times New Roman" w:cs="Times New Roman" w:eastAsia="Times New Roman" w:hAnsi="Times New Roman"/>
          <w:sz w:val="22"/>
          <w:szCs w:val="22"/>
          <w:b w:val="1"/>
          <w:bCs w:val="1"/>
          <w:i w:val="1"/>
          <w:iCs w:val="1"/>
          <w:color w:val="auto"/>
        </w:rPr>
        <w:t>Grant Notice</w:t>
      </w:r>
      <w:r>
        <w:rPr>
          <w:rFonts w:ascii="Times New Roman" w:cs="Times New Roman" w:eastAsia="Times New Roman" w:hAnsi="Times New Roman"/>
          <w:sz w:val="22"/>
          <w:szCs w:val="22"/>
          <w:color w:val="auto"/>
        </w:rPr>
        <w:t>”) Zoom Video Communications,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has granted you a RSU Award under its 2019 Equity Incentive Plan (the “</w:t>
      </w:r>
      <w:r>
        <w:rPr>
          <w:rFonts w:ascii="Times New Roman" w:cs="Times New Roman" w:eastAsia="Times New Roman" w:hAnsi="Times New Roman"/>
          <w:sz w:val="22"/>
          <w:szCs w:val="22"/>
          <w:b w:val="1"/>
          <w:bCs w:val="1"/>
          <w:i w:val="1"/>
          <w:iCs w:val="1"/>
          <w:color w:val="auto"/>
        </w:rPr>
        <w:t>Plan</w:t>
      </w:r>
      <w:r>
        <w:rPr>
          <w:rFonts w:ascii="Times New Roman" w:cs="Times New Roman" w:eastAsia="Times New Roman" w:hAnsi="Times New Roman"/>
          <w:sz w:val="22"/>
          <w:szCs w:val="22"/>
          <w:color w:val="auto"/>
        </w:rPr>
        <w:t>”) for the number of restricted stock units as indicated in your Grant Notice (the “</w:t>
      </w:r>
      <w:r>
        <w:rPr>
          <w:rFonts w:ascii="Times New Roman" w:cs="Times New Roman" w:eastAsia="Times New Roman" w:hAnsi="Times New Roman"/>
          <w:sz w:val="22"/>
          <w:szCs w:val="22"/>
          <w:b w:val="1"/>
          <w:bCs w:val="1"/>
          <w:i w:val="1"/>
          <w:iCs w:val="1"/>
          <w:color w:val="auto"/>
        </w:rPr>
        <w:t>RSU Award</w:t>
      </w:r>
      <w:r>
        <w:rPr>
          <w:rFonts w:ascii="Times New Roman" w:cs="Times New Roman" w:eastAsia="Times New Roman" w:hAnsi="Times New Roman"/>
          <w:sz w:val="22"/>
          <w:szCs w:val="22"/>
          <w:color w:val="auto"/>
        </w:rPr>
        <w:t>”). The terms of your RSU Award as specified in the Global RSU Award Agreement, including any additional terms and conditions for your country included in the appendix attached hereto (the “</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color w:val="auto"/>
        </w:rPr>
        <w:t>”) and the Grant Notice constitute your “</w:t>
      </w:r>
      <w:r>
        <w:rPr>
          <w:rFonts w:ascii="Times New Roman" w:cs="Times New Roman" w:eastAsia="Times New Roman" w:hAnsi="Times New Roman"/>
          <w:sz w:val="22"/>
          <w:szCs w:val="22"/>
          <w:b w:val="1"/>
          <w:bCs w:val="1"/>
          <w:i w:val="1"/>
          <w:iCs w:val="1"/>
          <w:color w:val="auto"/>
        </w:rPr>
        <w:t>RSU Award Agreement</w:t>
      </w:r>
      <w:r>
        <w:rPr>
          <w:rFonts w:ascii="Times New Roman" w:cs="Times New Roman" w:eastAsia="Times New Roman" w:hAnsi="Times New Roman"/>
          <w:sz w:val="22"/>
          <w:szCs w:val="22"/>
          <w:color w:val="auto"/>
        </w:rPr>
        <w:t>”. Defined terms not explicitly defined in this Agreement but defined in the Grant Notice or the Plan shall have the same definitions as in the Grant Notice or Plan, as applicable.</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terms applicable to your RSU Award are as follows:</w:t>
      </w:r>
    </w:p>
    <w:p>
      <w:pPr>
        <w:spacing w:after="0" w:line="216" w:lineRule="exact"/>
        <w:rPr>
          <w:sz w:val="20"/>
          <w:szCs w:val="20"/>
          <w:color w:val="auto"/>
        </w:rPr>
      </w:pPr>
    </w:p>
    <w:p>
      <w:pPr>
        <w:ind w:firstLine="656"/>
        <w:spacing w:after="0" w:line="275" w:lineRule="auto"/>
        <w:tabs>
          <w:tab w:leader="none" w:pos="1296" w:val="left"/>
        </w:tabs>
        <w:numPr>
          <w:ilvl w:val="0"/>
          <w:numId w:val="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Governing Plan Document. </w:t>
      </w:r>
      <w:r>
        <w:rPr>
          <w:rFonts w:ascii="Times New Roman" w:cs="Times New Roman" w:eastAsia="Times New Roman" w:hAnsi="Times New Roman"/>
          <w:sz w:val="22"/>
          <w:szCs w:val="22"/>
          <w:color w:val="auto"/>
        </w:rPr>
        <w:t>Your RSU Award is subject to all the provisions of the Plan, including but not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limited to the provisions in:</w:t>
      </w:r>
    </w:p>
    <w:p>
      <w:pPr>
        <w:spacing w:after="0" w:line="153" w:lineRule="exact"/>
        <w:rPr>
          <w:rFonts w:ascii="Times New Roman" w:cs="Times New Roman" w:eastAsia="Times New Roman" w:hAnsi="Times New Roman"/>
          <w:sz w:val="22"/>
          <w:szCs w:val="22"/>
          <w:b w:val="1"/>
          <w:bCs w:val="1"/>
          <w:color w:val="auto"/>
        </w:rPr>
      </w:pPr>
    </w:p>
    <w:p>
      <w:pPr>
        <w:ind w:right="20" w:firstLine="1304"/>
        <w:spacing w:after="0" w:line="271" w:lineRule="auto"/>
        <w:tabs>
          <w:tab w:leader="none" w:pos="1939" w:val="left"/>
        </w:tabs>
        <w:numPr>
          <w:ilvl w:val="1"/>
          <w:numId w:val="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Section 6 of the Plan regarding the impact of a Capitalization Adjustment, dissolution, liquidation, or Corporate Transaction on your RSU Award,</w:t>
      </w:r>
    </w:p>
    <w:p>
      <w:pPr>
        <w:spacing w:after="0" w:line="157" w:lineRule="exact"/>
        <w:rPr>
          <w:rFonts w:ascii="Times New Roman" w:cs="Times New Roman" w:eastAsia="Times New Roman" w:hAnsi="Times New Roman"/>
          <w:sz w:val="22"/>
          <w:szCs w:val="22"/>
          <w:b w:val="1"/>
          <w:bCs w:val="1"/>
          <w:color w:val="auto"/>
        </w:rPr>
      </w:pPr>
    </w:p>
    <w:p>
      <w:pPr>
        <w:ind w:firstLine="1304"/>
        <w:spacing w:after="0" w:line="271" w:lineRule="auto"/>
        <w:tabs>
          <w:tab w:leader="none" w:pos="1938" w:val="left"/>
        </w:tabs>
        <w:numPr>
          <w:ilvl w:val="1"/>
          <w:numId w:val="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Section 9(e) regarding the Company’s or your employer’s retained rights to terminate your Continuous Service notwithstanding the grant of the RSU Award, and</w:t>
      </w:r>
    </w:p>
    <w:p>
      <w:pPr>
        <w:spacing w:after="0" w:line="157" w:lineRule="exact"/>
        <w:rPr>
          <w:rFonts w:ascii="Times New Roman" w:cs="Times New Roman" w:eastAsia="Times New Roman" w:hAnsi="Times New Roman"/>
          <w:sz w:val="22"/>
          <w:szCs w:val="22"/>
          <w:b w:val="1"/>
          <w:bCs w:val="1"/>
          <w:color w:val="auto"/>
        </w:rPr>
      </w:pPr>
    </w:p>
    <w:p>
      <w:pPr>
        <w:ind w:left="1940" w:hanging="636"/>
        <w:spacing w:after="0"/>
        <w:tabs>
          <w:tab w:leader="none" w:pos="1940" w:val="left"/>
        </w:tabs>
        <w:numPr>
          <w:ilvl w:val="1"/>
          <w:numId w:val="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Section 8(c) regarding the tax consequences of your RSU Award.</w:t>
      </w:r>
    </w:p>
    <w:p>
      <w:pPr>
        <w:spacing w:after="0" w:line="2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Your RSU Award is further subject to all interpretations, amendments, rules and regulations, which may from time to time be promulgated and adopted pursuant to the Plan. In the event of any conflict between the RSU Award Agreement and the provisions of the Plan, the provisions of the Plan shall control.</w:t>
      </w:r>
    </w:p>
    <w:p>
      <w:pPr>
        <w:spacing w:after="0" w:line="169" w:lineRule="exact"/>
        <w:rPr>
          <w:sz w:val="20"/>
          <w:szCs w:val="20"/>
          <w:color w:val="auto"/>
        </w:rPr>
      </w:pPr>
    </w:p>
    <w:p>
      <w:pPr>
        <w:jc w:val="both"/>
        <w:ind w:firstLine="656"/>
        <w:spacing w:after="0" w:line="249" w:lineRule="auto"/>
        <w:tabs>
          <w:tab w:leader="none" w:pos="1296" w:val="left"/>
        </w:tabs>
        <w:numPr>
          <w:ilvl w:val="0"/>
          <w:numId w:val="2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Grant of the RSU Award. </w:t>
      </w:r>
      <w:r>
        <w:rPr>
          <w:rFonts w:ascii="Times New Roman" w:cs="Times New Roman" w:eastAsia="Times New Roman" w:hAnsi="Times New Roman"/>
          <w:sz w:val="22"/>
          <w:szCs w:val="22"/>
          <w:color w:val="auto"/>
        </w:rPr>
        <w:t>This RSU Award represents your right to be issued on a future date the number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shares of the Company’s Common Stock that is equal to the number of restricted stock units indicated in the Grant Notice subject to your satisfaction of the vesting conditions set forth therein (the “</w:t>
      </w:r>
      <w:r>
        <w:rPr>
          <w:rFonts w:ascii="Times New Roman" w:cs="Times New Roman" w:eastAsia="Times New Roman" w:hAnsi="Times New Roman"/>
          <w:sz w:val="22"/>
          <w:szCs w:val="22"/>
          <w:b w:val="1"/>
          <w:bCs w:val="1"/>
          <w:i w:val="1"/>
          <w:iCs w:val="1"/>
          <w:color w:val="auto"/>
        </w:rPr>
        <w:t>Restricted Stock Units</w:t>
      </w:r>
      <w:r>
        <w:rPr>
          <w:rFonts w:ascii="Times New Roman" w:cs="Times New Roman" w:eastAsia="Times New Roman" w:hAnsi="Times New Roman"/>
          <w:sz w:val="22"/>
          <w:szCs w:val="22"/>
          <w:color w:val="auto"/>
        </w:rPr>
        <w:t>”). Any additional Restricted Stock Units that become subject to the RSU Award pursuant to Capitalization Adjustments as set forth in the Plan and the provisions of Section 3 below, if any, shall be subject, in a manner determined by the Board, to the same forfeiture restrictions, restrictions on transferability, and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22" w:right="33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4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[Executives]</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time and manner of delivery as applicable to the other Restricted Stock Units covered by your RSU Award.</w:t>
      </w:r>
    </w:p>
    <w:p>
      <w:pPr>
        <w:spacing w:after="0" w:line="216" w:lineRule="exact"/>
        <w:rPr>
          <w:sz w:val="20"/>
          <w:szCs w:val="20"/>
          <w:color w:val="auto"/>
        </w:rPr>
      </w:pPr>
    </w:p>
    <w:p>
      <w:pPr>
        <w:jc w:val="both"/>
        <w:ind w:firstLine="656"/>
        <w:spacing w:after="0" w:line="247" w:lineRule="auto"/>
        <w:tabs>
          <w:tab w:leader="none" w:pos="1296" w:val="left"/>
        </w:tabs>
        <w:numPr>
          <w:ilvl w:val="0"/>
          <w:numId w:val="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Dividends. </w:t>
      </w:r>
      <w:r>
        <w:rPr>
          <w:rFonts w:ascii="Times New Roman" w:cs="Times New Roman" w:eastAsia="Times New Roman" w:hAnsi="Times New Roman"/>
          <w:sz w:val="22"/>
          <w:szCs w:val="22"/>
          <w:color w:val="auto"/>
        </w:rPr>
        <w:t>You may become entitled to receive payments equal to any cash dividends and other distributions paid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respect to a corresponding number of shares of Common Stock to be issued in respect of the Restricted Stock Units covered by your RSU Award. Any such dividends or distributions shall be subject to the same forfeiture restrictions as apply to the Restricted Stock Units and shall be paid at the same time that the corresponding shares are issued in respect of your vested Restricted Stock Units, provided, however that to the extent any such dividends or distributions are paid in shares of Common Stock, then you will automatically be granted a corresponding number of additional Restricted Stock Units subject to the RSU Award (the “</w:t>
      </w:r>
      <w:r>
        <w:rPr>
          <w:rFonts w:ascii="Times New Roman" w:cs="Times New Roman" w:eastAsia="Times New Roman" w:hAnsi="Times New Roman"/>
          <w:sz w:val="22"/>
          <w:szCs w:val="22"/>
          <w:b w:val="1"/>
          <w:bCs w:val="1"/>
          <w:i w:val="1"/>
          <w:iCs w:val="1"/>
          <w:color w:val="auto"/>
        </w:rPr>
        <w:t>Dividend Units</w:t>
      </w:r>
      <w:r>
        <w:rPr>
          <w:rFonts w:ascii="Times New Roman" w:cs="Times New Roman" w:eastAsia="Times New Roman" w:hAnsi="Times New Roman"/>
          <w:sz w:val="22"/>
          <w:szCs w:val="22"/>
          <w:color w:val="auto"/>
        </w:rPr>
        <w:t>”), and further provided that such Dividend Units shall be subject to the same forfeiture restrictions and restrictions on transferability, and same timing requirements for issuance of shares, as apply to the Restricted Stock Units subject to the RSU Award with respect to which the Dividend Units relate.</w:t>
      </w:r>
    </w:p>
    <w:p>
      <w:pPr>
        <w:spacing w:after="0" w:line="181" w:lineRule="exact"/>
        <w:rPr>
          <w:rFonts w:ascii="Times New Roman" w:cs="Times New Roman" w:eastAsia="Times New Roman" w:hAnsi="Times New Roman"/>
          <w:sz w:val="22"/>
          <w:szCs w:val="22"/>
          <w:b w:val="1"/>
          <w:bCs w:val="1"/>
          <w:color w:val="auto"/>
        </w:rPr>
      </w:pPr>
    </w:p>
    <w:p>
      <w:pPr>
        <w:ind w:left="1300" w:hanging="644"/>
        <w:spacing w:after="0"/>
        <w:tabs>
          <w:tab w:leader="none" w:pos="1300" w:val="left"/>
        </w:tabs>
        <w:numPr>
          <w:ilvl w:val="0"/>
          <w:numId w:val="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Withholding Obligations.</w:t>
      </w:r>
    </w:p>
    <w:p>
      <w:pPr>
        <w:spacing w:after="0" w:line="223" w:lineRule="exact"/>
        <w:rPr>
          <w:rFonts w:ascii="Times New Roman" w:cs="Times New Roman" w:eastAsia="Times New Roman" w:hAnsi="Times New Roman"/>
          <w:sz w:val="22"/>
          <w:szCs w:val="22"/>
          <w:b w:val="1"/>
          <w:bCs w:val="1"/>
          <w:color w:val="auto"/>
        </w:rPr>
      </w:pPr>
    </w:p>
    <w:p>
      <w:pPr>
        <w:jc w:val="both"/>
        <w:ind w:firstLine="1304"/>
        <w:spacing w:after="0" w:line="245" w:lineRule="auto"/>
        <w:tabs>
          <w:tab w:leader="none" w:pos="1939" w:val="left"/>
        </w:tabs>
        <w:numPr>
          <w:ilvl w:val="1"/>
          <w:numId w:val="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You acknowledge that, regardless of any action taken by the Company, or if different, the Affiliate employing or engaging you (the “</w:t>
      </w:r>
      <w:r>
        <w:rPr>
          <w:rFonts w:ascii="Times New Roman" w:cs="Times New Roman" w:eastAsia="Times New Roman" w:hAnsi="Times New Roman"/>
          <w:sz w:val="22"/>
          <w:szCs w:val="22"/>
          <w:b w:val="1"/>
          <w:bCs w:val="1"/>
          <w:i w:val="1"/>
          <w:iCs w:val="1"/>
          <w:color w:val="auto"/>
        </w:rPr>
        <w:t>Employer</w:t>
      </w:r>
      <w:r>
        <w:rPr>
          <w:rFonts w:ascii="Times New Roman" w:cs="Times New Roman" w:eastAsia="Times New Roman" w:hAnsi="Times New Roman"/>
          <w:sz w:val="22"/>
          <w:szCs w:val="22"/>
          <w:color w:val="auto"/>
        </w:rPr>
        <w:t>”), the ultimate liability for all income tax (including U.S. federal, state, and local taxes and/or non-U.S. taxes), social insurance, payroll tax, fringe benefits tax, payment on account or other tax-related items related to your participation in the Plan and legally applicable to you (the “</w:t>
      </w:r>
      <w:r>
        <w:rPr>
          <w:rFonts w:ascii="Times New Roman" w:cs="Times New Roman" w:eastAsia="Times New Roman" w:hAnsi="Times New Roman"/>
          <w:sz w:val="22"/>
          <w:szCs w:val="22"/>
          <w:b w:val="1"/>
          <w:bCs w:val="1"/>
          <w:i w:val="1"/>
          <w:iCs w:val="1"/>
          <w:color w:val="auto"/>
        </w:rPr>
        <w:t>Tax-Related Items</w:t>
      </w:r>
      <w:r>
        <w:rPr>
          <w:rFonts w:ascii="Times New Roman" w:cs="Times New Roman" w:eastAsia="Times New Roman" w:hAnsi="Times New Roman"/>
          <w:sz w:val="22"/>
          <w:szCs w:val="22"/>
          <w:color w:val="auto"/>
        </w:rPr>
        <w:t>”) is and remains your responsibility and may exceed the amount, if any, actually withheld by the Company or the Employer. You further acknowledge that the Company and/or the Employer (i) make no representations or undertakings regarding the treatment of any Tax-Related Items in connection with any aspect of the RSU Award, including, but not limited to, the grant of the RSU Award, the vesting of the RSU Award, the issuance of shares in settlement of vesting of the RSU Award, the subsequent sale of any shares of Common Stock acquired pursuant to the RSU Award and the receipt of any dividends or Dividend Units; and (ii) do not commit to and are under no obligation to reduce or eliminate your liability for Tax-Related Items. Further, if you become subject to taxation in more than one country, you acknowledge that the Company and/or the Employer (or former employer, as applicable) may be required to withhold or account for Tax-Related Items in more than one country.</w:t>
      </w:r>
    </w:p>
    <w:p>
      <w:pPr>
        <w:spacing w:after="0" w:line="195" w:lineRule="exact"/>
        <w:rPr>
          <w:rFonts w:ascii="Times New Roman" w:cs="Times New Roman" w:eastAsia="Times New Roman" w:hAnsi="Times New Roman"/>
          <w:sz w:val="22"/>
          <w:szCs w:val="22"/>
          <w:b w:val="1"/>
          <w:bCs w:val="1"/>
          <w:color w:val="auto"/>
        </w:rPr>
      </w:pPr>
    </w:p>
    <w:p>
      <w:pPr>
        <w:jc w:val="both"/>
        <w:ind w:firstLine="1304"/>
        <w:spacing w:after="0" w:line="247" w:lineRule="auto"/>
        <w:tabs>
          <w:tab w:leader="none" w:pos="1938" w:val="left"/>
        </w:tabs>
        <w:numPr>
          <w:ilvl w:val="1"/>
          <w:numId w:val="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On each vesting date, and on or before the time you receive a distribution of the shares underlying your Restricted Stock Units, and at any other time as reasonably requested by the Company in accordance with Applicable Law, you agree to make adequate provision for any sums required to satisfy the withholding obligations of the Company, the Employer or any Affiliate in connection with any Tax-Related Items that arise in connection with your RSU Award (the “</w:t>
      </w:r>
      <w:r>
        <w:rPr>
          <w:rFonts w:ascii="Times New Roman" w:cs="Times New Roman" w:eastAsia="Times New Roman" w:hAnsi="Times New Roman"/>
          <w:sz w:val="22"/>
          <w:szCs w:val="22"/>
          <w:b w:val="1"/>
          <w:bCs w:val="1"/>
          <w:i w:val="1"/>
          <w:iCs w:val="1"/>
          <w:color w:val="auto"/>
        </w:rPr>
        <w:t>Withholding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Taxes</w:t>
      </w:r>
      <w:r>
        <w:rPr>
          <w:rFonts w:ascii="Times New Roman" w:cs="Times New Roman" w:eastAsia="Times New Roman" w:hAnsi="Times New Roman"/>
          <w:sz w:val="22"/>
          <w:szCs w:val="22"/>
          <w:color w:val="auto"/>
        </w:rPr>
        <w:t>”). The Company shall arrange a mandatory sale (on your behalf pursuant to your authorization under this section and</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without further consent) of the shares of Common Stock issued in settlement upon the vesting of your Restricted Stock Units in an amount necessary to satisfy the Withholding Taxes and shall satisfy the Withholding Taxes by withholding from the proceeds of such sale (the “</w:t>
      </w:r>
      <w:r>
        <w:rPr>
          <w:rFonts w:ascii="Times New Roman" w:cs="Times New Roman" w:eastAsia="Times New Roman" w:hAnsi="Times New Roman"/>
          <w:sz w:val="22"/>
          <w:szCs w:val="22"/>
          <w:b w:val="1"/>
          <w:bCs w:val="1"/>
          <w:i w:val="1"/>
          <w:iCs w:val="1"/>
          <w:color w:val="auto"/>
        </w:rPr>
        <w:t>Mandatory Sell to Cover</w:t>
      </w:r>
      <w:r>
        <w:rPr>
          <w:rFonts w:ascii="Times New Roman" w:cs="Times New Roman" w:eastAsia="Times New Roman" w:hAnsi="Times New Roman"/>
          <w:sz w:val="22"/>
          <w:szCs w:val="22"/>
          <w:color w:val="auto"/>
        </w:rPr>
        <w:t>”). You hereby</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22" w:right="33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4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[Executives]</w:t>
      </w:r>
    </w:p>
    <w:p>
      <w:pPr>
        <w:spacing w:after="0" w:line="200" w:lineRule="exact"/>
        <w:rPr>
          <w:sz w:val="20"/>
          <w:szCs w:val="20"/>
          <w:color w:val="auto"/>
        </w:rPr>
      </w:pPr>
    </w:p>
    <w:p>
      <w:pPr>
        <w:spacing w:after="0" w:line="34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1"/>
          <w:szCs w:val="21"/>
          <w:color w:val="auto"/>
        </w:rPr>
        <w:t>acknowledge and agree that the Company shall have the authority to administer the Mandatory Sell to Cover arrangement in its sole discretion with a registered broker-dealer that is a member of the Financial Industry Regulatory Authority (a “</w:t>
      </w:r>
      <w:r>
        <w:rPr>
          <w:rFonts w:ascii="Times New Roman" w:cs="Times New Roman" w:eastAsia="Times New Roman" w:hAnsi="Times New Roman"/>
          <w:sz w:val="21"/>
          <w:szCs w:val="21"/>
          <w:b w:val="1"/>
          <w:bCs w:val="1"/>
          <w:i w:val="1"/>
          <w:iCs w:val="1"/>
          <w:color w:val="auto"/>
        </w:rPr>
        <w:t>FINRA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Dealer</w:t>
      </w:r>
      <w:r>
        <w:rPr>
          <w:rFonts w:ascii="Times New Roman" w:cs="Times New Roman" w:eastAsia="Times New Roman" w:hAnsi="Times New Roman"/>
          <w:sz w:val="21"/>
          <w:szCs w:val="21"/>
          <w:color w:val="auto"/>
        </w:rPr>
        <w:t>”) as the Company may select as the agent (the “</w:t>
      </w:r>
      <w:r>
        <w:rPr>
          <w:rFonts w:ascii="Times New Roman" w:cs="Times New Roman" w:eastAsia="Times New Roman" w:hAnsi="Times New Roman"/>
          <w:sz w:val="21"/>
          <w:szCs w:val="21"/>
          <w:b w:val="1"/>
          <w:bCs w:val="1"/>
          <w:i w:val="1"/>
          <w:iCs w:val="1"/>
          <w:color w:val="auto"/>
        </w:rPr>
        <w:t>Agent</w:t>
      </w:r>
      <w:r>
        <w:rPr>
          <w:rFonts w:ascii="Times New Roman" w:cs="Times New Roman" w:eastAsia="Times New Roman" w:hAnsi="Times New Roman"/>
          <w:sz w:val="21"/>
          <w:szCs w:val="21"/>
          <w:color w:val="auto"/>
        </w:rPr>
        <w:t>”) who will sell on the open market at the then prevailing market</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price(s), as soon as practicable on or after each date on which your Restricted Stock Units vest and in accordance with the issuance schedule set forth in Section 5 of this Agreement, the number (rounded up to the next whole number) of the shares of Common Stock to be delivered to you in connection with the vesting of the Restricted Stock Units sufficient to generate proceeds to cover (A) the Withholding Taxes that you are required to pay pursuant to the Plan and this Agreement as a result of the vesting of the Restricted Stock Units (or shares being issued thereunder, as applicable) and (B) all applicable fees and commissions due to, or required to be collected by, the Agent with respect thereto any remaining funds shall be remitted to you.</w:t>
      </w:r>
    </w:p>
    <w:p>
      <w:pPr>
        <w:spacing w:after="0" w:line="170" w:lineRule="exact"/>
        <w:rPr>
          <w:sz w:val="20"/>
          <w:szCs w:val="20"/>
          <w:color w:val="auto"/>
        </w:rPr>
      </w:pPr>
    </w:p>
    <w:p>
      <w:pPr>
        <w:jc w:val="both"/>
        <w:ind w:firstLine="1304"/>
        <w:spacing w:after="0" w:line="258" w:lineRule="auto"/>
        <w:tabs>
          <w:tab w:leader="none" w:pos="1941" w:val="left"/>
        </w:tabs>
        <w:numPr>
          <w:ilvl w:val="0"/>
          <w:numId w:val="2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If, for any reason, such Mandatory Sell to Cover does not result in sufficient proceeds to satisfy the Withholding Taxes, the Company or an Affiliate may, in its sole discretion, satisfy all or any portion of the Withholding Taxes relating to your RSU Award by any of the following means or by a combination of such means: (i) withholding from any compensation otherwise payable to you by the Company or the Employer; (ii) causing you to tender a cash payment (which may be in the form of a check, electronic wire transfer or other method permitted by the Company); or (iii) withholding shares of Common Stock from the shares of Common Stock issued or otherwise issuable to you in connection with your Restricted Stock Units with a fair market value (measured as of the date shares of Common Stock are issued to you) equal to the amount of such Withholding Taxes; provided, however, that the number of such shares of Common Stock so withheld will not exceed the amount necessary to satisfy the Company’s required tax withholding obligations using the maximum statutory withholding rates for federal, state, local and foreign tax purposes, including payroll taxes, that are applicable to supplemental taxable income; and to the extent necessary to qualify for an exemption from application of Section 16(b) of the Exchange Act, if applicable, such share withholding procedure will be subject to the express prior approval of the Company’s Board or Compensation Committee.</w:t>
      </w:r>
    </w:p>
    <w:p>
      <w:pPr>
        <w:spacing w:after="0" w:line="178" w:lineRule="exact"/>
        <w:rPr>
          <w:rFonts w:ascii="Times New Roman" w:cs="Times New Roman" w:eastAsia="Times New Roman" w:hAnsi="Times New Roman"/>
          <w:sz w:val="21"/>
          <w:szCs w:val="21"/>
          <w:b w:val="1"/>
          <w:bCs w:val="1"/>
          <w:color w:val="auto"/>
        </w:rPr>
      </w:pPr>
    </w:p>
    <w:p>
      <w:pPr>
        <w:ind w:firstLine="1304"/>
        <w:spacing w:after="0" w:line="271" w:lineRule="auto"/>
        <w:tabs>
          <w:tab w:leader="none" w:pos="1938" w:val="left"/>
        </w:tabs>
        <w:numPr>
          <w:ilvl w:val="0"/>
          <w:numId w:val="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Unless the tax withholding obligations of the Company and/or any Affiliate with respect to the Tax-Related Items are satisfied, the Company shall have no obligation to deliver to you any Common Stock.</w:t>
      </w:r>
    </w:p>
    <w:p>
      <w:pPr>
        <w:spacing w:after="0" w:line="157" w:lineRule="exact"/>
        <w:rPr>
          <w:rFonts w:ascii="Times New Roman" w:cs="Times New Roman" w:eastAsia="Times New Roman" w:hAnsi="Times New Roman"/>
          <w:sz w:val="22"/>
          <w:szCs w:val="22"/>
          <w:b w:val="1"/>
          <w:bCs w:val="1"/>
          <w:color w:val="auto"/>
        </w:rPr>
      </w:pPr>
    </w:p>
    <w:p>
      <w:pPr>
        <w:jc w:val="both"/>
        <w:ind w:firstLine="1304"/>
        <w:spacing w:after="0" w:line="252" w:lineRule="auto"/>
        <w:tabs>
          <w:tab w:leader="none" w:pos="1941" w:val="left"/>
        </w:tabs>
        <w:numPr>
          <w:ilvl w:val="0"/>
          <w:numId w:val="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In the event the Company’s obligation to withhold arises prior to the delivery to you of Common Stock or it is determined after the delivery of Common Stock to you that the amount of the Tax-Related Items withholding obligation was greater than the amount withheld by the Company or your Employer, you agree to indemnify and hold the Company and your Employer harmless from any failure by the Company or your Employer to withhold the proper amount.</w:t>
      </w:r>
    </w:p>
    <w:p>
      <w:pPr>
        <w:spacing w:after="0" w:line="179" w:lineRule="exact"/>
        <w:rPr>
          <w:rFonts w:ascii="Times New Roman" w:cs="Times New Roman" w:eastAsia="Times New Roman" w:hAnsi="Times New Roman"/>
          <w:sz w:val="22"/>
          <w:szCs w:val="22"/>
          <w:b w:val="1"/>
          <w:bCs w:val="1"/>
          <w:color w:val="auto"/>
        </w:rPr>
      </w:pPr>
    </w:p>
    <w:p>
      <w:pPr>
        <w:ind w:firstLine="1304"/>
        <w:spacing w:after="0" w:line="271" w:lineRule="auto"/>
        <w:tabs>
          <w:tab w:leader="none" w:pos="1944" w:val="left"/>
        </w:tabs>
        <w:numPr>
          <w:ilvl w:val="0"/>
          <w:numId w:val="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You acknowledge that the Mandatory Sell to Cover is imposed by the Company on you pursuant to the terms of the RSU Award.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22" w:right="33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4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[Executives]</w:t>
      </w:r>
    </w:p>
    <w:p>
      <w:pPr>
        <w:spacing w:after="0" w:line="200" w:lineRule="exact"/>
        <w:rPr>
          <w:sz w:val="20"/>
          <w:szCs w:val="20"/>
          <w:color w:val="auto"/>
        </w:rPr>
      </w:pPr>
    </w:p>
    <w:p>
      <w:pPr>
        <w:spacing w:after="0" w:line="348" w:lineRule="exact"/>
        <w:rPr>
          <w:sz w:val="20"/>
          <w:szCs w:val="20"/>
          <w:color w:val="auto"/>
        </w:rPr>
      </w:pPr>
    </w:p>
    <w:p>
      <w:pPr>
        <w:jc w:val="both"/>
        <w:ind w:firstLine="1304"/>
        <w:spacing w:after="0" w:line="248" w:lineRule="auto"/>
        <w:tabs>
          <w:tab w:leader="none" w:pos="1939" w:val="left"/>
        </w:tabs>
        <w:numPr>
          <w:ilvl w:val="1"/>
          <w:numId w:val="2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Company may withhold or account for Tax-Related Items by considering applicable minimum statutory withholding amounts, or other applicable withholding rates, including maximum applicable rates in your jurisdiction(s). If the maximum rate is used, any over-withheld amount may be refunded to you in cash by the Company or Employer (with no entitlement to the equivalent in shares of Common Stock), or if not refunded, you may seek a refund from the local tax authorities. You must pay to the Company and/or the Employer any amount of Tax-Related Items that the Company and/or the Employer may be required to withhold or account for as a result of your participation in the Plan that cannot be satisfied by the means previously described.</w:t>
      </w:r>
    </w:p>
    <w:p>
      <w:pPr>
        <w:spacing w:after="0" w:line="177" w:lineRule="exact"/>
        <w:rPr>
          <w:rFonts w:ascii="Times New Roman" w:cs="Times New Roman" w:eastAsia="Times New Roman" w:hAnsi="Times New Roman"/>
          <w:sz w:val="22"/>
          <w:szCs w:val="22"/>
          <w:b w:val="1"/>
          <w:bCs w:val="1"/>
          <w:color w:val="auto"/>
        </w:rPr>
      </w:pPr>
    </w:p>
    <w:p>
      <w:pPr>
        <w:ind w:left="1300" w:hanging="644"/>
        <w:spacing w:after="0"/>
        <w:tabs>
          <w:tab w:leader="none" w:pos="1300" w:val="left"/>
        </w:tabs>
        <w:numPr>
          <w:ilvl w:val="0"/>
          <w:numId w:val="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Date of Issuance.</w:t>
      </w:r>
    </w:p>
    <w:p>
      <w:pPr>
        <w:spacing w:after="0" w:line="223" w:lineRule="exact"/>
        <w:rPr>
          <w:rFonts w:ascii="Times New Roman" w:cs="Times New Roman" w:eastAsia="Times New Roman" w:hAnsi="Times New Roman"/>
          <w:sz w:val="22"/>
          <w:szCs w:val="22"/>
          <w:b w:val="1"/>
          <w:bCs w:val="1"/>
          <w:color w:val="auto"/>
        </w:rPr>
      </w:pPr>
    </w:p>
    <w:p>
      <w:pPr>
        <w:jc w:val="both"/>
        <w:ind w:firstLine="1304"/>
        <w:spacing w:after="0" w:line="250" w:lineRule="auto"/>
        <w:tabs>
          <w:tab w:leader="none" w:pos="1939" w:val="left"/>
        </w:tabs>
        <w:numPr>
          <w:ilvl w:val="1"/>
          <w:numId w:val="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issuance of shares in respect of the Restricted Stock Units is intended to comply with Treasury Regulations Section 1.409A-1(b)(4) and will be construed and administered in such a manner. Subject to the satisfaction of the withholding obligations set forth in this Agreement, in the event one or more Restricted Stock Units vests, the Company shall issue to you one (1) share of Common Stock for each Restricted Stock Unit that vests on the applicable vesting date(s). The issuance date determined by this paragraph is referred to as the “</w:t>
      </w:r>
      <w:r>
        <w:rPr>
          <w:rFonts w:ascii="Times New Roman" w:cs="Times New Roman" w:eastAsia="Times New Roman" w:hAnsi="Times New Roman"/>
          <w:sz w:val="22"/>
          <w:szCs w:val="22"/>
          <w:b w:val="1"/>
          <w:bCs w:val="1"/>
          <w:i w:val="1"/>
          <w:iCs w:val="1"/>
          <w:color w:val="auto"/>
        </w:rPr>
        <w:t>Original Issuance Date</w:t>
      </w:r>
      <w:r>
        <w:rPr>
          <w:rFonts w:ascii="Times New Roman" w:cs="Times New Roman" w:eastAsia="Times New Roman" w:hAnsi="Times New Roman"/>
          <w:sz w:val="22"/>
          <w:szCs w:val="22"/>
          <w:color w:val="auto"/>
        </w:rPr>
        <w:t>”.</w:t>
      </w:r>
    </w:p>
    <w:p>
      <w:pPr>
        <w:spacing w:after="0" w:line="180" w:lineRule="exact"/>
        <w:rPr>
          <w:rFonts w:ascii="Times New Roman" w:cs="Times New Roman" w:eastAsia="Times New Roman" w:hAnsi="Times New Roman"/>
          <w:sz w:val="22"/>
          <w:szCs w:val="22"/>
          <w:b w:val="1"/>
          <w:bCs w:val="1"/>
          <w:color w:val="auto"/>
        </w:rPr>
      </w:pPr>
    </w:p>
    <w:p>
      <w:pPr>
        <w:jc w:val="both"/>
        <w:ind w:firstLine="1304"/>
        <w:spacing w:after="0" w:line="250" w:lineRule="auto"/>
        <w:tabs>
          <w:tab w:leader="none" w:pos="1938" w:val="left"/>
        </w:tabs>
        <w:numPr>
          <w:ilvl w:val="1"/>
          <w:numId w:val="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Original Issuance Date falls on a date that is not a business day, delivery shall instead occur on the next following business day or to the extent not administratively feasible, as soon as practicable thereafter (but for the avoidance of doubt, in no event later than the later of (i) the 15th day of the third month following the end of the calendar year in which the Restricted Stock Units vest, or (ii) the 15th day of the third month following the end of the Company’s fiscal year in which the Restricted Stock Units vest).</w:t>
      </w:r>
    </w:p>
    <w:p>
      <w:pPr>
        <w:spacing w:after="0" w:line="180" w:lineRule="exact"/>
        <w:rPr>
          <w:rFonts w:ascii="Times New Roman" w:cs="Times New Roman" w:eastAsia="Times New Roman" w:hAnsi="Times New Roman"/>
          <w:sz w:val="22"/>
          <w:szCs w:val="22"/>
          <w:b w:val="1"/>
          <w:bCs w:val="1"/>
          <w:color w:val="auto"/>
        </w:rPr>
      </w:pPr>
    </w:p>
    <w:p>
      <w:pPr>
        <w:jc w:val="both"/>
        <w:ind w:firstLine="1304"/>
        <w:spacing w:after="0" w:line="245" w:lineRule="auto"/>
        <w:tabs>
          <w:tab w:leader="none" w:pos="1941" w:val="left"/>
        </w:tabs>
        <w:numPr>
          <w:ilvl w:val="1"/>
          <w:numId w:val="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In addition and notwithstanding the foregoing, no shares of Common Stock issuable to you under this Section 5 as a result of the vesting of one or more Restricted Stock Units will be delivered to you prior to any filings that may be required pursuant to the Hart-Scott-Rodino (“</w:t>
      </w:r>
      <w:r>
        <w:rPr>
          <w:rFonts w:ascii="Times New Roman" w:cs="Times New Roman" w:eastAsia="Times New Roman" w:hAnsi="Times New Roman"/>
          <w:sz w:val="22"/>
          <w:szCs w:val="22"/>
          <w:b w:val="1"/>
          <w:bCs w:val="1"/>
          <w:i w:val="1"/>
          <w:iCs w:val="1"/>
          <w:color w:val="auto"/>
        </w:rPr>
        <w:t>HSR</w:t>
      </w:r>
      <w:r>
        <w:rPr>
          <w:rFonts w:ascii="Times New Roman" w:cs="Times New Roman" w:eastAsia="Times New Roman" w:hAnsi="Times New Roman"/>
          <w:sz w:val="22"/>
          <w:szCs w:val="22"/>
          <w:color w:val="auto"/>
        </w:rPr>
        <w:t>”) Act in connection with the issuance of such shares have been filed and any required waiting period under the HSR Act has expired or been terminated (any such filings and/or waiting period required pursuant to HSR, the “</w:t>
      </w:r>
      <w:r>
        <w:rPr>
          <w:rFonts w:ascii="Times New Roman" w:cs="Times New Roman" w:eastAsia="Times New Roman" w:hAnsi="Times New Roman"/>
          <w:sz w:val="22"/>
          <w:szCs w:val="22"/>
          <w:b w:val="1"/>
          <w:bCs w:val="1"/>
          <w:i w:val="1"/>
          <w:iCs w:val="1"/>
          <w:color w:val="auto"/>
        </w:rPr>
        <w:t>HSR Requirements</w:t>
      </w:r>
      <w:r>
        <w:rPr>
          <w:rFonts w:ascii="Times New Roman" w:cs="Times New Roman" w:eastAsia="Times New Roman" w:hAnsi="Times New Roman"/>
          <w:sz w:val="22"/>
          <w:szCs w:val="22"/>
          <w:color w:val="auto"/>
        </w:rPr>
        <w:t>”). If the HSR Requirements apply to the issuance of any shares of Common Stock issuable to you under this Section 5 upon vesting of one or more Restricted Stock Units, such shares of Common Stock will not be issued on the Original Issuance Date and will instead be issued on the first business day on or following the date when all such HSR Requirements are satisfied and when you are permitted to sell shares of Common Stock on an established stock exchange or stock market, as determined by the Company in accordance with the Company’s then-effective policy on trading in Company securities. Notwithstanding the foregoing, the issuance date for any shares of Common Stock delayed under this Section 5(c) shall in no event be later than December 31 of the calendar year in which the Original Issuance Date occurs (that is, the last day of your taxable year in which the Original Issuance Date occurs), unless a later issuance date is permitted without incurring adverse tax consequences under Section 409A of the Code or other Applicable Law.</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22" w:right="33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4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[Executives]</w:t>
      </w:r>
    </w:p>
    <w:p>
      <w:pPr>
        <w:spacing w:after="0" w:line="200" w:lineRule="exact"/>
        <w:rPr>
          <w:sz w:val="20"/>
          <w:szCs w:val="20"/>
          <w:color w:val="auto"/>
        </w:rPr>
      </w:pPr>
    </w:p>
    <w:p>
      <w:pPr>
        <w:spacing w:after="0" w:line="344" w:lineRule="exact"/>
        <w:rPr>
          <w:sz w:val="20"/>
          <w:szCs w:val="20"/>
          <w:color w:val="auto"/>
        </w:rPr>
      </w:pPr>
    </w:p>
    <w:p>
      <w:pPr>
        <w:ind w:firstLine="1304"/>
        <w:spacing w:after="0" w:line="275" w:lineRule="auto"/>
        <w:tabs>
          <w:tab w:leader="none" w:pos="1938" w:val="left"/>
        </w:tabs>
        <w:numPr>
          <w:ilvl w:val="1"/>
          <w:numId w:val="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form of delivery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a stock certificate or electronic entry evidencing such shares) shall be determined by the Company.</w:t>
      </w:r>
    </w:p>
    <w:p>
      <w:pPr>
        <w:spacing w:after="0" w:line="149" w:lineRule="exact"/>
        <w:rPr>
          <w:rFonts w:ascii="Times New Roman" w:cs="Times New Roman" w:eastAsia="Times New Roman" w:hAnsi="Times New Roman"/>
          <w:sz w:val="22"/>
          <w:szCs w:val="22"/>
          <w:b w:val="1"/>
          <w:bCs w:val="1"/>
          <w:color w:val="auto"/>
        </w:rPr>
      </w:pPr>
    </w:p>
    <w:p>
      <w:pPr>
        <w:ind w:left="1300" w:hanging="644"/>
        <w:spacing w:after="0"/>
        <w:tabs>
          <w:tab w:leader="none" w:pos="1300" w:val="left"/>
        </w:tabs>
        <w:numPr>
          <w:ilvl w:val="0"/>
          <w:numId w:val="2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Nature of Grant. </w:t>
      </w:r>
      <w:r>
        <w:rPr>
          <w:rFonts w:ascii="Times New Roman" w:cs="Times New Roman" w:eastAsia="Times New Roman" w:hAnsi="Times New Roman"/>
          <w:sz w:val="22"/>
          <w:szCs w:val="22"/>
          <w:color w:val="auto"/>
        </w:rPr>
        <w:t>In accepting the RSU Award, you acknowledge, understand and agree that:</w:t>
      </w:r>
    </w:p>
    <w:p>
      <w:pPr>
        <w:spacing w:after="0" w:line="223" w:lineRule="exact"/>
        <w:rPr>
          <w:rFonts w:ascii="Times New Roman" w:cs="Times New Roman" w:eastAsia="Times New Roman" w:hAnsi="Times New Roman"/>
          <w:sz w:val="22"/>
          <w:szCs w:val="22"/>
          <w:b w:val="1"/>
          <w:bCs w:val="1"/>
          <w:color w:val="auto"/>
        </w:rPr>
      </w:pPr>
    </w:p>
    <w:p>
      <w:pPr>
        <w:ind w:firstLine="1304"/>
        <w:spacing w:after="0" w:line="271" w:lineRule="auto"/>
        <w:tabs>
          <w:tab w:leader="none" w:pos="1939" w:val="left"/>
        </w:tabs>
        <w:numPr>
          <w:ilvl w:val="1"/>
          <w:numId w:val="2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Plan is established voluntarily by the Company, it is discretionary in nature, and may be amended, suspended or terminated by the Company at any time, to the extent permitted by the Plan;</w:t>
      </w:r>
    </w:p>
    <w:p>
      <w:pPr>
        <w:spacing w:after="0" w:line="157" w:lineRule="exact"/>
        <w:rPr>
          <w:rFonts w:ascii="Times New Roman" w:cs="Times New Roman" w:eastAsia="Times New Roman" w:hAnsi="Times New Roman"/>
          <w:sz w:val="22"/>
          <w:szCs w:val="22"/>
          <w:b w:val="1"/>
          <w:bCs w:val="1"/>
          <w:color w:val="auto"/>
        </w:rPr>
      </w:pPr>
    </w:p>
    <w:p>
      <w:pPr>
        <w:jc w:val="both"/>
        <w:ind w:firstLine="1304"/>
        <w:spacing w:after="0" w:line="257" w:lineRule="auto"/>
        <w:tabs>
          <w:tab w:leader="none" w:pos="1938" w:val="left"/>
        </w:tabs>
        <w:numPr>
          <w:ilvl w:val="1"/>
          <w:numId w:val="2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grant of the RSU Award is exceptional, voluntary and occasional and does not create any contractual or other right to receive future grants of RSUs, other equity awards or benefits in lieu of equity awards, even if equity awards have been granted in the past;</w:t>
      </w:r>
    </w:p>
    <w:p>
      <w:pPr>
        <w:spacing w:after="0" w:line="172" w:lineRule="exact"/>
        <w:rPr>
          <w:rFonts w:ascii="Times New Roman" w:cs="Times New Roman" w:eastAsia="Times New Roman" w:hAnsi="Times New Roman"/>
          <w:sz w:val="22"/>
          <w:szCs w:val="22"/>
          <w:b w:val="1"/>
          <w:bCs w:val="1"/>
          <w:color w:val="auto"/>
        </w:rPr>
      </w:pPr>
    </w:p>
    <w:p>
      <w:pPr>
        <w:ind w:left="1940" w:hanging="636"/>
        <w:spacing w:after="0"/>
        <w:tabs>
          <w:tab w:leader="none" w:pos="1940" w:val="left"/>
        </w:tabs>
        <w:numPr>
          <w:ilvl w:val="1"/>
          <w:numId w:val="2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all decisions with respect to future RSU Awards or other grants, if any, will be at the sole discretion of the</w:t>
      </w:r>
    </w:p>
    <w:p>
      <w:pPr>
        <w:spacing w:after="0" w:line="39" w:lineRule="exact"/>
        <w:rPr>
          <w:rFonts w:ascii="Times New Roman" w:cs="Times New Roman" w:eastAsia="Times New Roman" w:hAnsi="Times New Roman"/>
          <w:sz w:val="21"/>
          <w:szCs w:val="21"/>
          <w:b w:val="1"/>
          <w:bCs w:val="1"/>
          <w:color w:val="auto"/>
        </w:rPr>
      </w:pPr>
    </w:p>
    <w:p>
      <w:pPr>
        <w:spacing w:after="0"/>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2"/>
          <w:szCs w:val="22"/>
          <w:color w:val="auto"/>
        </w:rPr>
        <w:t>Company;</w:t>
      </w:r>
    </w:p>
    <w:p>
      <w:pPr>
        <w:spacing w:after="0" w:line="195" w:lineRule="exact"/>
        <w:rPr>
          <w:rFonts w:ascii="Times New Roman" w:cs="Times New Roman" w:eastAsia="Times New Roman" w:hAnsi="Times New Roman"/>
          <w:sz w:val="21"/>
          <w:szCs w:val="21"/>
          <w:b w:val="1"/>
          <w:bCs w:val="1"/>
          <w:color w:val="auto"/>
        </w:rPr>
      </w:pPr>
    </w:p>
    <w:p>
      <w:pPr>
        <w:ind w:firstLine="1304"/>
        <w:spacing w:after="0" w:line="271" w:lineRule="auto"/>
        <w:tabs>
          <w:tab w:leader="none" w:pos="1938" w:val="left"/>
        </w:tabs>
        <w:numPr>
          <w:ilvl w:val="1"/>
          <w:numId w:val="2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RSU Award grant and your participation in the Plan shall not create a right to employment or be interpreted as forming or amending an employment or service contract with the Company, the Employer or any Affiliate;</w:t>
      </w:r>
    </w:p>
    <w:p>
      <w:pPr>
        <w:spacing w:after="0" w:line="157" w:lineRule="exact"/>
        <w:rPr>
          <w:rFonts w:ascii="Times New Roman" w:cs="Times New Roman" w:eastAsia="Times New Roman" w:hAnsi="Times New Roman"/>
          <w:sz w:val="22"/>
          <w:szCs w:val="22"/>
          <w:b w:val="1"/>
          <w:bCs w:val="1"/>
          <w:color w:val="auto"/>
        </w:rPr>
      </w:pPr>
    </w:p>
    <w:p>
      <w:pPr>
        <w:ind w:left="1940" w:hanging="636"/>
        <w:spacing w:after="0"/>
        <w:tabs>
          <w:tab w:leader="none" w:pos="1940" w:val="left"/>
        </w:tabs>
        <w:numPr>
          <w:ilvl w:val="1"/>
          <w:numId w:val="2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you are voluntarily participating in the Plan;</w:t>
      </w:r>
    </w:p>
    <w:p>
      <w:pPr>
        <w:spacing w:after="0" w:line="219" w:lineRule="exact"/>
        <w:rPr>
          <w:rFonts w:ascii="Times New Roman" w:cs="Times New Roman" w:eastAsia="Times New Roman" w:hAnsi="Times New Roman"/>
          <w:sz w:val="22"/>
          <w:szCs w:val="22"/>
          <w:b w:val="1"/>
          <w:bCs w:val="1"/>
          <w:color w:val="auto"/>
        </w:rPr>
      </w:pPr>
    </w:p>
    <w:p>
      <w:pPr>
        <w:ind w:firstLine="1304"/>
        <w:spacing w:after="0" w:line="271" w:lineRule="auto"/>
        <w:tabs>
          <w:tab w:leader="none" w:pos="1944" w:val="left"/>
        </w:tabs>
        <w:numPr>
          <w:ilvl w:val="1"/>
          <w:numId w:val="2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RSU Award and any shares of Common Stock acquired under the Plan, and the income from and value of same, are not intended to replace any pension rights or compensation;</w:t>
      </w:r>
    </w:p>
    <w:p>
      <w:pPr>
        <w:spacing w:after="0" w:line="157" w:lineRule="exact"/>
        <w:rPr>
          <w:rFonts w:ascii="Times New Roman" w:cs="Times New Roman" w:eastAsia="Times New Roman" w:hAnsi="Times New Roman"/>
          <w:sz w:val="22"/>
          <w:szCs w:val="22"/>
          <w:b w:val="1"/>
          <w:bCs w:val="1"/>
          <w:color w:val="auto"/>
        </w:rPr>
      </w:pPr>
    </w:p>
    <w:p>
      <w:pPr>
        <w:jc w:val="both"/>
        <w:ind w:firstLine="1304"/>
        <w:spacing w:after="0" w:line="252" w:lineRule="auto"/>
        <w:tabs>
          <w:tab w:leader="none" w:pos="1939" w:val="left"/>
        </w:tabs>
        <w:numPr>
          <w:ilvl w:val="1"/>
          <w:numId w:val="2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RSU Award and any shares of Common Stock acquired under the Plan, and the income from and value of same, are not part of normal or expected compensation for any purpose, including, without limitation, calculating any severance, resignation, termination, redundancy, dismissal, end-of-service payments, holiday pay, bonuses, long-service awards, pension or retirement or welfare benefits or similar mandatory payments;</w:t>
      </w:r>
    </w:p>
    <w:p>
      <w:pPr>
        <w:spacing w:after="0" w:line="179" w:lineRule="exact"/>
        <w:rPr>
          <w:rFonts w:ascii="Times New Roman" w:cs="Times New Roman" w:eastAsia="Times New Roman" w:hAnsi="Times New Roman"/>
          <w:sz w:val="22"/>
          <w:szCs w:val="22"/>
          <w:b w:val="1"/>
          <w:bCs w:val="1"/>
          <w:color w:val="auto"/>
        </w:rPr>
      </w:pPr>
    </w:p>
    <w:p>
      <w:pPr>
        <w:ind w:firstLine="1304"/>
        <w:spacing w:after="0" w:line="271" w:lineRule="auto"/>
        <w:tabs>
          <w:tab w:leader="none" w:pos="1938" w:val="left"/>
        </w:tabs>
        <w:numPr>
          <w:ilvl w:val="1"/>
          <w:numId w:val="2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future value of the shares of Common Stock underlying the RSU Award is unknown, indeterminable, and cannot be predicted with certainty;</w:t>
      </w:r>
    </w:p>
    <w:p>
      <w:pPr>
        <w:spacing w:after="0" w:line="157" w:lineRule="exact"/>
        <w:rPr>
          <w:rFonts w:ascii="Times New Roman" w:cs="Times New Roman" w:eastAsia="Times New Roman" w:hAnsi="Times New Roman"/>
          <w:sz w:val="22"/>
          <w:szCs w:val="22"/>
          <w:b w:val="1"/>
          <w:bCs w:val="1"/>
          <w:color w:val="auto"/>
        </w:rPr>
      </w:pPr>
    </w:p>
    <w:p>
      <w:pPr>
        <w:jc w:val="both"/>
        <w:ind w:firstLine="1304"/>
        <w:spacing w:after="0" w:line="257" w:lineRule="auto"/>
        <w:tabs>
          <w:tab w:leader="none" w:pos="1932" w:val="left"/>
        </w:tabs>
        <w:numPr>
          <w:ilvl w:val="1"/>
          <w:numId w:val="2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RSU Award vests and you are issued shares of Common Stock, the value of such shares of Common Stock may increase or decrease in value following the date the shares are issued; even below the Fair Market Value on the date the RSU Award is granted to you;</w:t>
      </w:r>
    </w:p>
    <w:p>
      <w:pPr>
        <w:spacing w:after="0" w:line="172" w:lineRule="exact"/>
        <w:rPr>
          <w:rFonts w:ascii="Times New Roman" w:cs="Times New Roman" w:eastAsia="Times New Roman" w:hAnsi="Times New Roman"/>
          <w:sz w:val="22"/>
          <w:szCs w:val="22"/>
          <w:b w:val="1"/>
          <w:bCs w:val="1"/>
          <w:color w:val="auto"/>
        </w:rPr>
      </w:pPr>
    </w:p>
    <w:p>
      <w:pPr>
        <w:jc w:val="both"/>
        <w:ind w:firstLine="1304"/>
        <w:spacing w:after="0" w:line="250" w:lineRule="auto"/>
        <w:tabs>
          <w:tab w:leader="none" w:pos="1944" w:val="left"/>
        </w:tabs>
        <w:numPr>
          <w:ilvl w:val="1"/>
          <w:numId w:val="2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for purposes of the RSU Award, your Continuous Service will be considered terminated as of the date you are no longer actively providing services to the Company or one of its Affiliates (regardless of the reason for such termination and whether or not later found to be invalid or in breach of employment laws in the jurisdiction where you are employed or the terms of your employment agreement, if any), and unless otherwise expressly provided in this Agreement or determined by the Company, your right to vest in the RSU Award</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22" w:right="339" w:bottom="1440" w:gutter="0" w:footer="0" w:header="0"/>
        </w:sectPr>
      </w:pPr>
    </w:p>
    <w:bookmarkStart w:id="79" w:name="page80"/>
    <w:bookmarkEnd w:id="79"/>
    <w:p>
      <w:pPr>
        <w:ind w:left="10120"/>
        <w:spacing w:after="0"/>
        <w:rPr>
          <w:sz w:val="20"/>
          <w:szCs w:val="20"/>
          <w:color w:val="auto"/>
        </w:rPr>
      </w:pPr>
      <w:r>
        <w:rPr>
          <w:rFonts w:ascii="Times New Roman" w:cs="Times New Roman" w:eastAsia="Times New Roman" w:hAnsi="Times New Roman"/>
          <w:sz w:val="21"/>
          <w:szCs w:val="21"/>
          <w:b w:val="1"/>
          <w:bCs w:val="1"/>
          <w:color w:val="auto"/>
        </w:rPr>
        <w:t>Exhibit 10.1</w:t>
      </w:r>
    </w:p>
    <w:p>
      <w:pPr>
        <w:spacing w:after="0" w:line="258" w:lineRule="exact"/>
        <w:rPr>
          <w:sz w:val="20"/>
          <w:szCs w:val="20"/>
          <w:color w:val="auto"/>
        </w:rPr>
      </w:pPr>
    </w:p>
    <w:p>
      <w:pPr>
        <w:ind w:left="10120"/>
        <w:spacing w:after="0"/>
        <w:rPr>
          <w:sz w:val="20"/>
          <w:szCs w:val="20"/>
          <w:color w:val="auto"/>
        </w:rPr>
      </w:pPr>
      <w:r>
        <w:rPr>
          <w:rFonts w:ascii="Times New Roman" w:cs="Times New Roman" w:eastAsia="Times New Roman" w:hAnsi="Times New Roman"/>
          <w:sz w:val="21"/>
          <w:szCs w:val="21"/>
          <w:b w:val="1"/>
          <w:bCs w:val="1"/>
          <w:color w:val="auto"/>
        </w:rPr>
        <w:t>[Executives]</w:t>
      </w:r>
    </w:p>
    <w:p>
      <w:pPr>
        <w:spacing w:after="0" w:line="200" w:lineRule="exact"/>
        <w:rPr>
          <w:sz w:val="20"/>
          <w:szCs w:val="20"/>
          <w:color w:val="auto"/>
        </w:rPr>
      </w:pPr>
    </w:p>
    <w:p>
      <w:pPr>
        <w:spacing w:after="0" w:line="35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under the Plan, if any, will terminate as of such date and will not be extended by any notice period or any period of “garden leave” or similar period mandated under employment laws in the jurisdiction where you are employed or the terms of your employment agreement, if any); and the Plan Administrator shall have the exclusive discretion to determine when you are no longer actively providing services for purposes of the RSU Award (including whether you may still be considered to be providing services while on a leave of absence);</w:t>
      </w:r>
    </w:p>
    <w:p>
      <w:pPr>
        <w:spacing w:after="0" w:line="181" w:lineRule="exact"/>
        <w:rPr>
          <w:sz w:val="20"/>
          <w:szCs w:val="20"/>
          <w:color w:val="auto"/>
        </w:rPr>
      </w:pPr>
    </w:p>
    <w:p>
      <w:pPr>
        <w:jc w:val="both"/>
        <w:ind w:firstLine="1304"/>
        <w:spacing w:after="0" w:line="257" w:lineRule="auto"/>
        <w:tabs>
          <w:tab w:leader="none" w:pos="1938" w:val="left"/>
        </w:tabs>
        <w:numPr>
          <w:ilvl w:val="1"/>
          <w:numId w:val="2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no claim or entitlement to compensation or damages shall arise from forfeiture of the RSU Award resulting from your termination of Continuous Service (for any reason whatsoever, whether or not later found to be invalid or in breach of employment laws in the jurisdiction where you are employed, or the terms of your employment agreement, if any);</w:t>
      </w:r>
    </w:p>
    <w:p>
      <w:pPr>
        <w:spacing w:after="0" w:line="172" w:lineRule="exact"/>
        <w:rPr>
          <w:rFonts w:ascii="Times New Roman" w:cs="Times New Roman" w:eastAsia="Times New Roman" w:hAnsi="Times New Roman"/>
          <w:sz w:val="22"/>
          <w:szCs w:val="22"/>
          <w:b w:val="1"/>
          <w:bCs w:val="1"/>
          <w:color w:val="auto"/>
        </w:rPr>
      </w:pPr>
    </w:p>
    <w:p>
      <w:pPr>
        <w:jc w:val="both"/>
        <w:ind w:firstLine="1304"/>
        <w:spacing w:after="0" w:line="257" w:lineRule="auto"/>
        <w:tabs>
          <w:tab w:leader="none" w:pos="1932" w:val="left"/>
        </w:tabs>
        <w:numPr>
          <w:ilvl w:val="1"/>
          <w:numId w:val="2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unless otherwise agreed with the Company in writing, the RSU Award and any shares of Common Stock acquired under the Plan, and the income from and value of same, are not granted as consideration for, or in connection with, any service you may provide as a director of the Company or any Affiliate; and</w:t>
      </w:r>
    </w:p>
    <w:p>
      <w:pPr>
        <w:spacing w:after="0" w:line="172" w:lineRule="exact"/>
        <w:rPr>
          <w:rFonts w:ascii="Times New Roman" w:cs="Times New Roman" w:eastAsia="Times New Roman" w:hAnsi="Times New Roman"/>
          <w:sz w:val="22"/>
          <w:szCs w:val="22"/>
          <w:b w:val="1"/>
          <w:bCs w:val="1"/>
          <w:color w:val="auto"/>
        </w:rPr>
      </w:pPr>
    </w:p>
    <w:p>
      <w:pPr>
        <w:jc w:val="both"/>
        <w:ind w:firstLine="1304"/>
        <w:spacing w:after="0" w:line="257" w:lineRule="auto"/>
        <w:tabs>
          <w:tab w:leader="none" w:pos="1944" w:val="left"/>
        </w:tabs>
        <w:numPr>
          <w:ilvl w:val="1"/>
          <w:numId w:val="2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neither the Company, the Employer or any Affiliate shall be liable for any foreign exchange rate fluctuation between your local currency and the United States Dollar that may affect the value of the RSU Award or the subsequent sale of any shares of Common Stock acquired upon settlement of the RSU Award.</w:t>
      </w:r>
    </w:p>
    <w:p>
      <w:pPr>
        <w:spacing w:after="0" w:line="168" w:lineRule="exact"/>
        <w:rPr>
          <w:rFonts w:ascii="Times New Roman" w:cs="Times New Roman" w:eastAsia="Times New Roman" w:hAnsi="Times New Roman"/>
          <w:sz w:val="22"/>
          <w:szCs w:val="22"/>
          <w:b w:val="1"/>
          <w:bCs w:val="1"/>
          <w:color w:val="auto"/>
        </w:rPr>
      </w:pPr>
    </w:p>
    <w:p>
      <w:pPr>
        <w:ind w:firstLine="656"/>
        <w:spacing w:after="0" w:line="275" w:lineRule="auto"/>
        <w:tabs>
          <w:tab w:leader="none" w:pos="1296" w:val="left"/>
        </w:tabs>
        <w:numPr>
          <w:ilvl w:val="0"/>
          <w:numId w:val="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Transferability. </w:t>
      </w:r>
      <w:r>
        <w:rPr>
          <w:rFonts w:ascii="Times New Roman" w:cs="Times New Roman" w:eastAsia="Times New Roman" w:hAnsi="Times New Roman"/>
          <w:sz w:val="22"/>
          <w:szCs w:val="22"/>
          <w:color w:val="auto"/>
        </w:rPr>
        <w:t>Except as otherwise provided in the Plan, your RSU Award is not transferable, except by will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by the applicable laws of descent and distribution</w:t>
      </w:r>
    </w:p>
    <w:p>
      <w:pPr>
        <w:spacing w:after="0" w:line="149" w:lineRule="exact"/>
        <w:rPr>
          <w:rFonts w:ascii="Times New Roman" w:cs="Times New Roman" w:eastAsia="Times New Roman" w:hAnsi="Times New Roman"/>
          <w:sz w:val="22"/>
          <w:szCs w:val="22"/>
          <w:b w:val="1"/>
          <w:bCs w:val="1"/>
          <w:color w:val="auto"/>
        </w:rPr>
      </w:pPr>
    </w:p>
    <w:p>
      <w:pPr>
        <w:jc w:val="both"/>
        <w:ind w:firstLine="656"/>
        <w:spacing w:after="0" w:line="277" w:lineRule="auto"/>
        <w:tabs>
          <w:tab w:leader="none" w:pos="1296" w:val="left"/>
        </w:tabs>
        <w:numPr>
          <w:ilvl w:val="0"/>
          <w:numId w:val="2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Corporate Transaction. </w:t>
      </w:r>
      <w:r>
        <w:rPr>
          <w:rFonts w:ascii="Times New Roman" w:cs="Times New Roman" w:eastAsia="Times New Roman" w:hAnsi="Times New Roman"/>
          <w:sz w:val="21"/>
          <w:szCs w:val="21"/>
          <w:color w:val="auto"/>
        </w:rPr>
        <w:t>Your RSU Award is subject to the terms of any agreement governing a Corporate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Transaction involving the Company, including, without limitation, a provision for the appointment of a stockholder representative that is authorized to act on your behalf with respect to any escrow, indemnities and any contingent consideration.</w:t>
      </w:r>
    </w:p>
    <w:p>
      <w:pPr>
        <w:spacing w:after="0" w:line="149" w:lineRule="exact"/>
        <w:rPr>
          <w:rFonts w:ascii="Times New Roman" w:cs="Times New Roman" w:eastAsia="Times New Roman" w:hAnsi="Times New Roman"/>
          <w:sz w:val="21"/>
          <w:szCs w:val="21"/>
          <w:b w:val="1"/>
          <w:bCs w:val="1"/>
          <w:color w:val="auto"/>
        </w:rPr>
      </w:pPr>
    </w:p>
    <w:p>
      <w:pPr>
        <w:jc w:val="both"/>
        <w:ind w:firstLine="656"/>
        <w:spacing w:after="0" w:line="251" w:lineRule="auto"/>
        <w:tabs>
          <w:tab w:leader="none" w:pos="1296" w:val="left"/>
        </w:tabs>
        <w:numPr>
          <w:ilvl w:val="0"/>
          <w:numId w:val="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 Liability for Taxes</w:t>
      </w:r>
      <w:r>
        <w:rPr>
          <w:rFonts w:ascii="Times New Roman" w:cs="Times New Roman" w:eastAsia="Times New Roman" w:hAnsi="Times New Roman"/>
          <w:sz w:val="22"/>
          <w:szCs w:val="22"/>
          <w:color w:val="auto"/>
        </w:rPr>
        <w:t>. As a condition to accepting the RSU Award, you hereby (a) agree to not make any claim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against the Company, or any of its Officers, Directors, Employees or Affiliates related to tax liabilities arising from the RSU Award or other Company compensation and (b) acknowledge that you were advised to consult with your own personal tax, financial and other legal advisors regarding the tax consequences of the RSU Award and have either done so or knowingly and voluntarily declined to do so.</w:t>
      </w:r>
    </w:p>
    <w:p>
      <w:pPr>
        <w:spacing w:after="0" w:line="175" w:lineRule="exact"/>
        <w:rPr>
          <w:rFonts w:ascii="Times New Roman" w:cs="Times New Roman" w:eastAsia="Times New Roman" w:hAnsi="Times New Roman"/>
          <w:sz w:val="22"/>
          <w:szCs w:val="22"/>
          <w:b w:val="1"/>
          <w:bCs w:val="1"/>
          <w:color w:val="auto"/>
        </w:rPr>
      </w:pPr>
    </w:p>
    <w:p>
      <w:pPr>
        <w:jc w:val="both"/>
        <w:ind w:firstLine="656"/>
        <w:spacing w:after="0" w:line="248" w:lineRule="auto"/>
        <w:tabs>
          <w:tab w:leader="none" w:pos="1296" w:val="left"/>
        </w:tabs>
        <w:numPr>
          <w:ilvl w:val="0"/>
          <w:numId w:val="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Clawback/Recovery. </w:t>
      </w:r>
      <w:r>
        <w:rPr>
          <w:rFonts w:ascii="Times New Roman" w:cs="Times New Roman" w:eastAsia="Times New Roman" w:hAnsi="Times New Roman"/>
          <w:sz w:val="22"/>
          <w:szCs w:val="22"/>
          <w:color w:val="auto"/>
        </w:rPr>
        <w:t>Your RSU Award and any shares issued in settlement of your RSU Award will be subject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recoupment in accordance with: (i) the Company’s Incentive Compensation Recoupment Policy, (ii)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 and (iii) any clawback policy that the Company otherwise adopts, in each case to the extent applicable and permissible under Applicable Law. No recovery of compensation under such a clawback policy will be an event giving rise to your right to voluntary terminate employment upon a “resignation for good</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22" w:right="3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4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[Executives]</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reason,” or for a “constructive termination” or any similar term under any plan of or agreement with the Company.</w:t>
      </w:r>
    </w:p>
    <w:p>
      <w:pPr>
        <w:spacing w:after="0" w:line="216" w:lineRule="exact"/>
        <w:rPr>
          <w:sz w:val="20"/>
          <w:szCs w:val="20"/>
          <w:color w:val="auto"/>
        </w:rPr>
      </w:pPr>
    </w:p>
    <w:p>
      <w:pPr>
        <w:jc w:val="both"/>
        <w:ind w:firstLine="656"/>
        <w:spacing w:after="0" w:line="251" w:lineRule="auto"/>
        <w:tabs>
          <w:tab w:leader="none" w:pos="1284" w:val="left"/>
        </w:tabs>
        <w:numPr>
          <w:ilvl w:val="0"/>
          <w:numId w:val="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Severability</w:t>
      </w:r>
      <w:r>
        <w:rPr>
          <w:rFonts w:ascii="Times New Roman" w:cs="Times New Roman" w:eastAsia="Times New Roman" w:hAnsi="Times New Roman"/>
          <w:sz w:val="22"/>
          <w:szCs w:val="22"/>
          <w:color w:val="auto"/>
        </w:rPr>
        <w:t>. If any part of this Agreement or the Plan is declared by any court or governmental authority to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unlawful or invalid, such unlawfulness or invalidity will not invalidate any portion of this Agreement or the Plan not declared to be unlawful or invalid. Any Section of this Agreement (or part of such a Section) so declared to be unlawful or invalid will, if possible, be construed in a manner which will give effect to the terms of such Section or part of a Section to the fullest extent possible while remaining lawful and valid.</w:t>
      </w:r>
    </w:p>
    <w:p>
      <w:pPr>
        <w:spacing w:after="0" w:line="175" w:lineRule="exact"/>
        <w:rPr>
          <w:rFonts w:ascii="Times New Roman" w:cs="Times New Roman" w:eastAsia="Times New Roman" w:hAnsi="Times New Roman"/>
          <w:sz w:val="22"/>
          <w:szCs w:val="22"/>
          <w:b w:val="1"/>
          <w:bCs w:val="1"/>
          <w:color w:val="auto"/>
        </w:rPr>
      </w:pPr>
    </w:p>
    <w:p>
      <w:pPr>
        <w:ind w:firstLine="656"/>
        <w:spacing w:after="0" w:line="299" w:lineRule="auto"/>
        <w:tabs>
          <w:tab w:leader="none" w:pos="1296" w:val="left"/>
        </w:tabs>
        <w:numPr>
          <w:ilvl w:val="0"/>
          <w:numId w:val="3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Waiver. </w:t>
      </w:r>
      <w:r>
        <w:rPr>
          <w:rFonts w:ascii="Times New Roman" w:cs="Times New Roman" w:eastAsia="Times New Roman" w:hAnsi="Times New Roman"/>
          <w:sz w:val="21"/>
          <w:szCs w:val="21"/>
          <w:color w:val="auto"/>
        </w:rPr>
        <w:t>You acknowledge that a waiver by the Company of a breach of any provision of this Agreement shall not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operate or be construed as a waiver of any other provision of this Agreement, or of any subsequent breach of this Agreement.</w:t>
      </w:r>
    </w:p>
    <w:p>
      <w:pPr>
        <w:spacing w:after="0" w:line="127" w:lineRule="exact"/>
        <w:rPr>
          <w:rFonts w:ascii="Times New Roman" w:cs="Times New Roman" w:eastAsia="Times New Roman" w:hAnsi="Times New Roman"/>
          <w:sz w:val="21"/>
          <w:szCs w:val="21"/>
          <w:b w:val="1"/>
          <w:bCs w:val="1"/>
          <w:color w:val="auto"/>
        </w:rPr>
      </w:pPr>
    </w:p>
    <w:p>
      <w:pPr>
        <w:jc w:val="both"/>
        <w:ind w:firstLine="656"/>
        <w:spacing w:after="0" w:line="253" w:lineRule="auto"/>
        <w:tabs>
          <w:tab w:leader="none" w:pos="1296" w:val="left"/>
        </w:tabs>
        <w:numPr>
          <w:ilvl w:val="0"/>
          <w:numId w:val="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No Advice Regarding Grant. </w:t>
      </w:r>
      <w:r>
        <w:rPr>
          <w:rFonts w:ascii="Times New Roman" w:cs="Times New Roman" w:eastAsia="Times New Roman" w:hAnsi="Times New Roman"/>
          <w:sz w:val="22"/>
          <w:szCs w:val="22"/>
          <w:color w:val="auto"/>
        </w:rPr>
        <w:t>The Company is not providing any tax, legal or financial advice, nor is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making any recommendations regarding your participation in the Plan, or your acquisition or sale of the underlying shares of Common Stock. You should consult with your own personal tax, legal and financial advisors regarding your participation in the Plan before taking any action related to the Plan.</w:t>
      </w:r>
    </w:p>
    <w:p>
      <w:pPr>
        <w:spacing w:after="0" w:line="173" w:lineRule="exact"/>
        <w:rPr>
          <w:rFonts w:ascii="Times New Roman" w:cs="Times New Roman" w:eastAsia="Times New Roman" w:hAnsi="Times New Roman"/>
          <w:sz w:val="22"/>
          <w:szCs w:val="22"/>
          <w:b w:val="1"/>
          <w:bCs w:val="1"/>
          <w:color w:val="auto"/>
        </w:rPr>
      </w:pPr>
    </w:p>
    <w:p>
      <w:pPr>
        <w:ind w:left="1300" w:hanging="644"/>
        <w:spacing w:after="0"/>
        <w:tabs>
          <w:tab w:leader="none" w:pos="1300" w:val="left"/>
        </w:tabs>
        <w:numPr>
          <w:ilvl w:val="0"/>
          <w:numId w:val="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DATA PRIVACY</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 xml:space="preserve"> By signing the Grant Notice or otherwise accepting this Agreement in accordance with the</w:t>
      </w:r>
    </w:p>
    <w:p>
      <w:pPr>
        <w:spacing w:after="0" w:line="33" w:lineRule="exact"/>
        <w:rPr>
          <w:rFonts w:ascii="Times New Roman" w:cs="Times New Roman" w:eastAsia="Times New Roman" w:hAnsi="Times New Roman"/>
          <w:sz w:val="22"/>
          <w:szCs w:val="22"/>
          <w:b w:val="1"/>
          <w:bCs w:val="1"/>
          <w:color w:val="auto"/>
        </w:rPr>
      </w:pPr>
    </w:p>
    <w:p>
      <w:pPr>
        <w:jc w:val="both"/>
        <w:spacing w:after="0" w:line="244"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Company’s acceptance procedures, you declare that you agree with the data processing practices described herein and consent to the collection, processing and use of your Personal Data (as defined below) by the Company and the transfer of your Personal Data to the recipients mentioned herein, including recipients located in countries which do not adduce an adequate level of protection from a European (or other non-U.S.) data protection law perspective, for the purposes described herein.</w:t>
      </w:r>
    </w:p>
    <w:p>
      <w:pPr>
        <w:spacing w:after="0" w:line="182" w:lineRule="exact"/>
        <w:rPr>
          <w:rFonts w:ascii="Times New Roman" w:cs="Times New Roman" w:eastAsia="Times New Roman" w:hAnsi="Times New Roman"/>
          <w:sz w:val="22"/>
          <w:szCs w:val="22"/>
          <w:b w:val="1"/>
          <w:bCs w:val="1"/>
          <w:color w:val="auto"/>
        </w:rPr>
      </w:pPr>
    </w:p>
    <w:p>
      <w:pPr>
        <w:jc w:val="both"/>
        <w:ind w:firstLine="1304"/>
        <w:spacing w:after="0" w:line="254" w:lineRule="auto"/>
        <w:tabs>
          <w:tab w:leader="none" w:pos="1939" w:val="left"/>
        </w:tabs>
        <w:numPr>
          <w:ilvl w:val="1"/>
          <w:numId w:val="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u w:val="single" w:color="auto"/>
          <w:color w:val="auto"/>
        </w:rPr>
        <w:t>Declaration of Consent</w:t>
      </w:r>
      <w:r>
        <w:rPr>
          <w:rFonts w:ascii="Times New Roman" w:cs="Times New Roman" w:eastAsia="Times New Roman" w:hAnsi="Times New Roman"/>
          <w:sz w:val="22"/>
          <w:szCs w:val="22"/>
          <w:b w:val="1"/>
          <w:bCs w:val="1"/>
          <w:i w:val="1"/>
          <w:iCs w:val="1"/>
          <w:color w:val="auto"/>
        </w:rPr>
        <w:t>. You understand that you need to review the following information about the processing of your personal data by or on behalf of the Company, the Employer and/or any Affiliate, as described herein, and any other RSU Award materials (the “Personal Data”) and declare your consent. With regard to the processing of your Personal Data in connection with the Plan, you understand that the Company is the controller of the Personal Data.</w:t>
      </w:r>
    </w:p>
    <w:p>
      <w:pPr>
        <w:spacing w:after="0" w:line="171" w:lineRule="exact"/>
        <w:rPr>
          <w:rFonts w:ascii="Times New Roman" w:cs="Times New Roman" w:eastAsia="Times New Roman" w:hAnsi="Times New Roman"/>
          <w:sz w:val="22"/>
          <w:szCs w:val="22"/>
          <w:b w:val="1"/>
          <w:bCs w:val="1"/>
          <w:color w:val="auto"/>
        </w:rPr>
      </w:pPr>
    </w:p>
    <w:p>
      <w:pPr>
        <w:jc w:val="both"/>
        <w:ind w:firstLine="1304"/>
        <w:spacing w:after="0" w:line="248" w:lineRule="auto"/>
        <w:tabs>
          <w:tab w:leader="none" w:pos="1938" w:val="left"/>
        </w:tabs>
        <w:numPr>
          <w:ilvl w:val="1"/>
          <w:numId w:val="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u w:val="single" w:color="auto"/>
          <w:color w:val="auto"/>
        </w:rPr>
        <w:t>Data Processing and Legal Basis</w:t>
      </w:r>
      <w:r>
        <w:rPr>
          <w:rFonts w:ascii="Times New Roman" w:cs="Times New Roman" w:eastAsia="Times New Roman" w:hAnsi="Times New Roman"/>
          <w:sz w:val="22"/>
          <w:szCs w:val="22"/>
          <w:b w:val="1"/>
          <w:bCs w:val="1"/>
          <w:i w:val="1"/>
          <w:iCs w:val="1"/>
          <w:color w:val="auto"/>
        </w:rPr>
        <w:t>. The Company collects, uses and otherwise processes your Personal Data for the purposes of allocating shares of Common Stock and implementing, administering and managing the Plan. You understand that this Personal Data may include, without limitation, your name, home address and telephone number, email address, date of birth, social insurance number, passport number or other identification number (e.g., resident registration number), salary, nationality, job title, any shares of Common Stock or directorships held in the Company or its Subsidiaries, details of all RSU Awards or any other entitlement to shares of Common Stock or equivalent benefits awarded, canceled, exercised, vested, unvested or outstanding in your favor. The legal basis for the processing of your Personal Data will be your consent.</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22" w:right="339" w:bottom="1440" w:gutter="0" w:footer="0" w:header="0"/>
        </w:sectPr>
      </w:pPr>
    </w:p>
    <w:bookmarkStart w:id="81" w:name="page82"/>
    <w:bookmarkEnd w:id="81"/>
    <w:p>
      <w:pPr>
        <w:ind w:left="9940"/>
        <w:spacing w:after="0"/>
        <w:rPr>
          <w:sz w:val="20"/>
          <w:szCs w:val="20"/>
          <w:color w:val="auto"/>
        </w:rPr>
      </w:pPr>
      <w:r>
        <w:rPr>
          <w:rFonts w:ascii="Times New Roman" w:cs="Times New Roman" w:eastAsia="Times New Roman" w:hAnsi="Times New Roman"/>
          <w:sz w:val="21"/>
          <w:szCs w:val="21"/>
          <w:b w:val="1"/>
          <w:bCs w:val="1"/>
          <w:color w:val="auto"/>
        </w:rPr>
        <w:t>Exhibit 10.1</w:t>
      </w:r>
    </w:p>
    <w:p>
      <w:pPr>
        <w:spacing w:after="0" w:line="258" w:lineRule="exact"/>
        <w:rPr>
          <w:sz w:val="20"/>
          <w:szCs w:val="20"/>
          <w:color w:val="auto"/>
        </w:rPr>
      </w:pPr>
    </w:p>
    <w:p>
      <w:pPr>
        <w:ind w:left="9940"/>
        <w:spacing w:after="0"/>
        <w:rPr>
          <w:sz w:val="20"/>
          <w:szCs w:val="20"/>
          <w:color w:val="auto"/>
        </w:rPr>
      </w:pPr>
      <w:r>
        <w:rPr>
          <w:rFonts w:ascii="Times New Roman" w:cs="Times New Roman" w:eastAsia="Times New Roman" w:hAnsi="Times New Roman"/>
          <w:sz w:val="21"/>
          <w:szCs w:val="21"/>
          <w:b w:val="1"/>
          <w:bCs w:val="1"/>
          <w:color w:val="auto"/>
        </w:rPr>
        <w:t>[Executives]</w:t>
      </w:r>
    </w:p>
    <w:p>
      <w:pPr>
        <w:spacing w:after="0" w:line="200" w:lineRule="exact"/>
        <w:rPr>
          <w:sz w:val="20"/>
          <w:szCs w:val="20"/>
          <w:color w:val="auto"/>
        </w:rPr>
      </w:pPr>
    </w:p>
    <w:p>
      <w:pPr>
        <w:spacing w:after="0" w:line="353" w:lineRule="exact"/>
        <w:rPr>
          <w:sz w:val="20"/>
          <w:szCs w:val="20"/>
          <w:color w:val="auto"/>
        </w:rPr>
      </w:pPr>
    </w:p>
    <w:p>
      <w:pPr>
        <w:jc w:val="both"/>
        <w:ind w:left="-180" w:firstLine="1304"/>
        <w:spacing w:after="0" w:line="248" w:lineRule="auto"/>
        <w:tabs>
          <w:tab w:leader="none" w:pos="1761" w:val="left"/>
        </w:tabs>
        <w:numPr>
          <w:ilvl w:val="0"/>
          <w:numId w:val="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u w:val="single" w:color="auto"/>
          <w:color w:val="auto"/>
        </w:rPr>
        <w:t>Stock Plan Administration Service Providers</w:t>
      </w:r>
      <w:r>
        <w:rPr>
          <w:rFonts w:ascii="Times New Roman" w:cs="Times New Roman" w:eastAsia="Times New Roman" w:hAnsi="Times New Roman"/>
          <w:sz w:val="22"/>
          <w:szCs w:val="22"/>
          <w:b w:val="1"/>
          <w:bCs w:val="1"/>
          <w:i w:val="1"/>
          <w:iCs w:val="1"/>
          <w:color w:val="auto"/>
        </w:rPr>
        <w:t>. You understand that the Company may transfer your Personal Data, or parts thereof, to E*Trade Financial Corporate Services, Inc. (and its affiliated companies), an independent service provider based in the United States which assists the Company with the implementation, administration and management of the Plan. In the future, the Company may select a different service provider and share your Personal Data with such different service provider that serves the Company in a similar manner. You understand and acknowledge that the Company’s service provider may open an account for you to receive and trade shares of Common Stock acquired under the Plan and that you will be asked to agree on separate terms and data processing practices with the service provider, which is a condition of your ability to participate in the Plan.</w:t>
      </w:r>
    </w:p>
    <w:p>
      <w:pPr>
        <w:spacing w:after="0" w:line="176" w:lineRule="exact"/>
        <w:rPr>
          <w:rFonts w:ascii="Times New Roman" w:cs="Times New Roman" w:eastAsia="Times New Roman" w:hAnsi="Times New Roman"/>
          <w:sz w:val="22"/>
          <w:szCs w:val="22"/>
          <w:b w:val="1"/>
          <w:bCs w:val="1"/>
          <w:color w:val="auto"/>
        </w:rPr>
      </w:pPr>
    </w:p>
    <w:p>
      <w:pPr>
        <w:jc w:val="both"/>
        <w:ind w:left="-180" w:firstLine="1304"/>
        <w:spacing w:after="0" w:line="246" w:lineRule="auto"/>
        <w:tabs>
          <w:tab w:leader="none" w:pos="1758" w:val="left"/>
        </w:tabs>
        <w:numPr>
          <w:ilvl w:val="0"/>
          <w:numId w:val="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u w:val="single" w:color="auto"/>
          <w:color w:val="auto"/>
        </w:rPr>
        <w:t>International Data Transfers.</w:t>
      </w:r>
      <w:r>
        <w:rPr>
          <w:rFonts w:ascii="Times New Roman" w:cs="Times New Roman" w:eastAsia="Times New Roman" w:hAnsi="Times New Roman"/>
          <w:sz w:val="22"/>
          <w:szCs w:val="22"/>
          <w:b w:val="1"/>
          <w:bCs w:val="1"/>
          <w:i w:val="1"/>
          <w:iCs w:val="1"/>
          <w:color w:val="auto"/>
        </w:rPr>
        <w:t xml:space="preserve"> You understand that the Company and, as of the date hereof, any third parties assisting in the implementation, administration and management of the Plan, such as the Company’s service providers, are based in the United States. If you are located outside the United States, you understand and acknowledge that your country has enacted data privacy laws that are different from the laws of the United States. For example, the European Commission has issued only a limited adequacy finding with respect to the United States that applies solely if and to the extent that companies self-certify and remain self-certified under the EU/U.S. Privacy Shield program. Otherwise, transfers of personal data from the EU to the United States can be made on the basis of Standard Contractual Clauses approved by the European Commission or other appropriate safeguards permissible under the Applicable Law. If you are located in the EU or EEA, the Company may receive, process and transfer your Personal Data onward to third-party service providers solely on the basis of appropriate data transfer agreements or other appropriate safeguards permissible under Applicable Law. If applicable, you understand that you can ask for a copy of the appropriate data processing agreements underlying the transfer of your Personal Data by contacting your local human resources representative. The Company’s legal basis for the transfer of your Personal Data is your consent.</w:t>
      </w:r>
    </w:p>
    <w:p>
      <w:pPr>
        <w:spacing w:after="0" w:line="179" w:lineRule="exact"/>
        <w:rPr>
          <w:rFonts w:ascii="Times New Roman" w:cs="Times New Roman" w:eastAsia="Times New Roman" w:hAnsi="Times New Roman"/>
          <w:sz w:val="22"/>
          <w:szCs w:val="22"/>
          <w:b w:val="1"/>
          <w:bCs w:val="1"/>
          <w:color w:val="auto"/>
        </w:rPr>
      </w:pPr>
    </w:p>
    <w:p>
      <w:pPr>
        <w:jc w:val="both"/>
        <w:ind w:left="-180" w:firstLine="1304"/>
        <w:spacing w:after="0" w:line="264" w:lineRule="auto"/>
        <w:tabs>
          <w:tab w:leader="none" w:pos="1761" w:val="left"/>
        </w:tabs>
        <w:numPr>
          <w:ilvl w:val="0"/>
          <w:numId w:val="3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i w:val="1"/>
          <w:iCs w:val="1"/>
          <w:u w:val="single" w:color="auto"/>
          <w:color w:val="auto"/>
        </w:rPr>
        <w:t>Data Retention.</w:t>
      </w:r>
      <w:r>
        <w:rPr>
          <w:rFonts w:ascii="Times New Roman" w:cs="Times New Roman" w:eastAsia="Times New Roman" w:hAnsi="Times New Roman"/>
          <w:sz w:val="21"/>
          <w:szCs w:val="21"/>
          <w:b w:val="1"/>
          <w:bCs w:val="1"/>
          <w:i w:val="1"/>
          <w:iCs w:val="1"/>
          <w:color w:val="auto"/>
        </w:rPr>
        <w:t xml:space="preserve"> You understand that the Company will use your Personal Data only as long as is necessary to implement, administer and manage your participation in the Plan, or to comply with legal or regulatory obligations, including under tax and securities laws. In the latter case, you understand and acknowledge that the Company’s legal basis for the processing of your Personal Data would be compliance with Applicable Law or the pursuit by the Company of respective legitimate interests not outweighed by your interests, rights or freedoms. When the Company no longer needs your Personal Data for any of the above purposes, you understand the Company will remove it from its systems.</w:t>
      </w:r>
    </w:p>
    <w:p>
      <w:pPr>
        <w:spacing w:after="0" w:line="161" w:lineRule="exact"/>
        <w:rPr>
          <w:rFonts w:ascii="Times New Roman" w:cs="Times New Roman" w:eastAsia="Times New Roman" w:hAnsi="Times New Roman"/>
          <w:sz w:val="21"/>
          <w:szCs w:val="21"/>
          <w:b w:val="1"/>
          <w:bCs w:val="1"/>
          <w:color w:val="auto"/>
        </w:rPr>
      </w:pPr>
    </w:p>
    <w:p>
      <w:pPr>
        <w:jc w:val="both"/>
        <w:ind w:left="-180" w:firstLine="1304"/>
        <w:spacing w:after="0" w:line="251" w:lineRule="auto"/>
        <w:tabs>
          <w:tab w:leader="none" w:pos="1764" w:val="left"/>
        </w:tabs>
        <w:numPr>
          <w:ilvl w:val="0"/>
          <w:numId w:val="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u w:val="single" w:color="auto"/>
          <w:color w:val="auto"/>
        </w:rPr>
        <w:t>Voluntariness and Consequences of Denial/Withdrawal of Consent</w:t>
      </w:r>
      <w:r>
        <w:rPr>
          <w:rFonts w:ascii="Times New Roman" w:cs="Times New Roman" w:eastAsia="Times New Roman" w:hAnsi="Times New Roman"/>
          <w:sz w:val="22"/>
          <w:szCs w:val="22"/>
          <w:b w:val="1"/>
          <w:bCs w:val="1"/>
          <w:i w:val="1"/>
          <w:iCs w:val="1"/>
          <w:color w:val="auto"/>
        </w:rPr>
        <w:t>. You understand that your participation in the Plan and your grant of consent is purely voluntary. You may deny or later withdraw your consent at any time, with future effect and for any or no reason. If you deny or later withdraw your consent, the Company can no longer offer you participation in the Plan or offer other awards to you or administer or maintain such awards and you would no longer be able to participate in the Plan. You further understand</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060"/>
          </w:cols>
          <w:pgMar w:left="500" w:top="122" w:right="3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4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[Executives]</w:t>
      </w:r>
    </w:p>
    <w:p>
      <w:pPr>
        <w:spacing w:after="0" w:line="200" w:lineRule="exact"/>
        <w:rPr>
          <w:sz w:val="20"/>
          <w:szCs w:val="20"/>
          <w:color w:val="auto"/>
        </w:rPr>
      </w:pPr>
    </w:p>
    <w:p>
      <w:pPr>
        <w:spacing w:after="0" w:line="342"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22"/>
          <w:szCs w:val="22"/>
          <w:b w:val="1"/>
          <w:bCs w:val="1"/>
          <w:i w:val="1"/>
          <w:iCs w:val="1"/>
          <w:color w:val="auto"/>
        </w:rPr>
        <w:t>that denial or withdrawal of your consent would not affect your status or salary as an employee or your career and that you would merely forfeit the opportunities associated with the Plan.</w:t>
      </w:r>
    </w:p>
    <w:p>
      <w:pPr>
        <w:spacing w:after="0" w:line="147" w:lineRule="exact"/>
        <w:rPr>
          <w:sz w:val="20"/>
          <w:szCs w:val="20"/>
          <w:color w:val="auto"/>
        </w:rPr>
      </w:pPr>
    </w:p>
    <w:p>
      <w:pPr>
        <w:jc w:val="both"/>
        <w:ind w:firstLine="1304"/>
        <w:spacing w:after="0" w:line="245" w:lineRule="auto"/>
        <w:tabs>
          <w:tab w:leader="none" w:pos="1939" w:val="left"/>
        </w:tabs>
        <w:numPr>
          <w:ilvl w:val="1"/>
          <w:numId w:val="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u w:val="single" w:color="auto"/>
          <w:color w:val="auto"/>
        </w:rPr>
        <w:t>Data Subject Rights.</w:t>
      </w:r>
      <w:r>
        <w:rPr>
          <w:rFonts w:ascii="Times New Roman" w:cs="Times New Roman" w:eastAsia="Times New Roman" w:hAnsi="Times New Roman"/>
          <w:sz w:val="22"/>
          <w:szCs w:val="22"/>
          <w:b w:val="1"/>
          <w:bCs w:val="1"/>
          <w:i w:val="1"/>
          <w:iCs w:val="1"/>
          <w:color w:val="auto"/>
        </w:rPr>
        <w:t xml:space="preserve"> You understand that data subject rights regarding the processing of personal data vary depending on the Applicable Law and that, depending on where you are based and subject to the conditions set out in the Applicable Law, you may have, without limitation, the rights to (i) inquire whether and what kind of Personal Data the Company holds about you and how it is processed, and to access or request copies of such Personal Data, (ii) request the correction or supplementation of Personal Data about you that is inaccurate, incomplete or out-of-date in light of the purposes underlying the processing, (iii) obtain the erasure of Personal Data no longer necessary for the purposes underlying the processing, processed based on withdrawn consent, processed for legitimate interests that, in the context of your objection, do not prove to be compelling, or processed in non-compliance with applicable legal requirements, (iv) request the Company to restrict the processing of your Personal Data in certain situations where you feel its processing is inappropriate, (v) object, in certain circumstances, to the processing of Personal Data for legitimate interests, and to (vi) request portability of your Personal Data that you have actively or passively provided to the Company (which does not include data derived or inferred from the collected data), where the processing of such Personal Data is based on consent or your employment or service agreement and is carried out by automated means. In case of concerns, you understand that you may also have the right to lodge a complaint with the competent local data protection authority. Further, to receive clarification of, or to exercise any of your rights, you should contact your local human resources representative.</w:t>
      </w:r>
    </w:p>
    <w:p>
      <w:pPr>
        <w:spacing w:after="0" w:line="189" w:lineRule="exact"/>
        <w:rPr>
          <w:rFonts w:ascii="Times New Roman" w:cs="Times New Roman" w:eastAsia="Times New Roman" w:hAnsi="Times New Roman"/>
          <w:sz w:val="22"/>
          <w:szCs w:val="22"/>
          <w:b w:val="1"/>
          <w:bCs w:val="1"/>
          <w:color w:val="auto"/>
        </w:rPr>
      </w:pPr>
    </w:p>
    <w:p>
      <w:pPr>
        <w:jc w:val="both"/>
        <w:ind w:firstLine="1304"/>
        <w:spacing w:after="0" w:line="262" w:lineRule="auto"/>
        <w:tabs>
          <w:tab w:leader="none" w:pos="1938" w:val="left"/>
        </w:tabs>
        <w:numPr>
          <w:ilvl w:val="1"/>
          <w:numId w:val="3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i w:val="1"/>
          <w:iCs w:val="1"/>
          <w:u w:val="single" w:color="auto"/>
          <w:color w:val="auto"/>
        </w:rPr>
        <w:t>Alternate Basis and Additional Consents.</w:t>
      </w:r>
      <w:r>
        <w:rPr>
          <w:rFonts w:ascii="Times New Roman" w:cs="Times New Roman" w:eastAsia="Times New Roman" w:hAnsi="Times New Roman"/>
          <w:sz w:val="21"/>
          <w:szCs w:val="21"/>
          <w:b w:val="1"/>
          <w:bCs w:val="1"/>
          <w:i w:val="1"/>
          <w:iCs w:val="1"/>
          <w:color w:val="auto"/>
        </w:rPr>
        <w:t xml:space="preserve"> Finally, you understand that the Company may rely on a different basis for the processing or transfer of Personal Data in the future and/or request that you provide another data privacy consent. If applicable, you agree that upon request of the Company or the Employer, you will provide an executed acknowledgement or data privacy consent form (or any other agreements or consents) that the Company and/or the Employer may deem necessary to obtain from you for the purpose of administering your participation in the Plan in compliance with the data privacy laws in your country, either now or in the future. You understand and agree that you will not be able to participate in the Plan if you fail to provide any such consent or agreement requested by the Company and/or the Employer.</w:t>
      </w:r>
    </w:p>
    <w:p>
      <w:pPr>
        <w:spacing w:after="0" w:line="168" w:lineRule="exact"/>
        <w:rPr>
          <w:rFonts w:ascii="Times New Roman" w:cs="Times New Roman" w:eastAsia="Times New Roman" w:hAnsi="Times New Roman"/>
          <w:sz w:val="21"/>
          <w:szCs w:val="21"/>
          <w:b w:val="1"/>
          <w:bCs w:val="1"/>
          <w:color w:val="auto"/>
        </w:rPr>
      </w:pPr>
    </w:p>
    <w:p>
      <w:pPr>
        <w:jc w:val="both"/>
        <w:ind w:firstLine="656"/>
        <w:spacing w:after="0" w:line="253" w:lineRule="auto"/>
        <w:tabs>
          <w:tab w:leader="none" w:pos="1296" w:val="left"/>
        </w:tabs>
        <w:numPr>
          <w:ilvl w:val="0"/>
          <w:numId w:val="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Language. </w:t>
      </w:r>
      <w:r>
        <w:rPr>
          <w:rFonts w:ascii="Times New Roman" w:cs="Times New Roman" w:eastAsia="Times New Roman" w:hAnsi="Times New Roman"/>
          <w:sz w:val="22"/>
          <w:szCs w:val="22"/>
          <w:color w:val="auto"/>
        </w:rPr>
        <w:t>You acknowledge that you are sufficiently proficient in the English language, or have consulted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 advisor who is sufficiently proficient in English, so as to allow you to understand the terms and conditions of this Agreement. If you have received this Agreement or any other documents related to the Plan translated into a language other than English, and if the meaning of the translated version is different than the English version, the English version will control.</w:t>
      </w:r>
    </w:p>
    <w:p>
      <w:pPr>
        <w:spacing w:after="0" w:line="175" w:lineRule="exact"/>
        <w:rPr>
          <w:rFonts w:ascii="Times New Roman" w:cs="Times New Roman" w:eastAsia="Times New Roman" w:hAnsi="Times New Roman"/>
          <w:sz w:val="22"/>
          <w:szCs w:val="22"/>
          <w:b w:val="1"/>
          <w:bCs w:val="1"/>
          <w:color w:val="auto"/>
        </w:rPr>
      </w:pPr>
    </w:p>
    <w:p>
      <w:pPr>
        <w:ind w:firstLine="656"/>
        <w:spacing w:after="0" w:line="275" w:lineRule="auto"/>
        <w:tabs>
          <w:tab w:leader="none" w:pos="1296" w:val="left"/>
        </w:tabs>
        <w:numPr>
          <w:ilvl w:val="0"/>
          <w:numId w:val="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Venue. </w:t>
      </w:r>
      <w:r>
        <w:rPr>
          <w:rFonts w:ascii="Times New Roman" w:cs="Times New Roman" w:eastAsia="Times New Roman" w:hAnsi="Times New Roman"/>
          <w:sz w:val="22"/>
          <w:szCs w:val="22"/>
          <w:color w:val="auto"/>
        </w:rPr>
        <w:t>For purposes of any action, lawsuit or other proceeding brought to enforce this Agreement, relating to it,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arising from it, the parties hereby submit to and consent</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22" w:right="3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4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[Executives]</w:t>
      </w:r>
    </w:p>
    <w:p>
      <w:pPr>
        <w:spacing w:after="0" w:line="200" w:lineRule="exact"/>
        <w:rPr>
          <w:sz w:val="20"/>
          <w:szCs w:val="20"/>
          <w:color w:val="auto"/>
        </w:rPr>
      </w:pPr>
    </w:p>
    <w:p>
      <w:pPr>
        <w:spacing w:after="0" w:line="34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to the sole and exclusive jurisdiction of the courts of Santa Clara County, California, or the federal courts for the United States for the Northern District of California, and no other courts where this grant is made and/or to be performed.</w:t>
      </w:r>
    </w:p>
    <w:p>
      <w:pPr>
        <w:spacing w:after="0" w:line="154" w:lineRule="exact"/>
        <w:rPr>
          <w:sz w:val="20"/>
          <w:szCs w:val="20"/>
          <w:color w:val="auto"/>
        </w:rPr>
      </w:pPr>
    </w:p>
    <w:p>
      <w:pPr>
        <w:jc w:val="both"/>
        <w:ind w:firstLine="656"/>
        <w:spacing w:after="0" w:line="245" w:lineRule="auto"/>
        <w:tabs>
          <w:tab w:leader="none" w:pos="1296" w:val="left"/>
        </w:tabs>
        <w:numPr>
          <w:ilvl w:val="0"/>
          <w:numId w:val="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Insider Trading Restrictions / Market Abuse Law. </w:t>
      </w:r>
      <w:r>
        <w:rPr>
          <w:rFonts w:ascii="Times New Roman" w:cs="Times New Roman" w:eastAsia="Times New Roman" w:hAnsi="Times New Roman"/>
          <w:sz w:val="22"/>
          <w:szCs w:val="22"/>
          <w:color w:val="auto"/>
        </w:rPr>
        <w:t>You may be subject to insider trading restrictions and/or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market abuse laws based on the exchange on which the shares of Common Stock are listed and in applicable jurisdictions, including the United States, your country and the designated broker’s country, which may affect your ability to accept, acquire, sell or otherwise dispose of shares of Common Stock, rights to shares of Common Stock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xml:space="preserve"> RSU Awards) or rights linked to the value of the shares of Common Stock under the Plan during such times as you are considered to have “inside information” regarding the Company (as defined by the laws in the applicable jurisdiction(s)). Local insider trading laws and regulations may prohibit the cancellation or amendment of orders you placed before you possessed inside information. Furthermore, you could be prohibited from (i) disclosing the inside information to any third party, which may include fellow employees and (ii) “tipping” third parties or causing them otherwise to buy or sell securities. Any restrictions under these laws or regulations are separate from and in addition to any restrictions that may be imposed under the Company’s Trading Policy, or any other applicable insider trading policy then in effect. You acknowledge that you are responsible for complying with any applicable restrictions and are encouraged to speak with your personal legal advisor for further details regarding any applicable insider-trading and/or market-abuse laws in your country.</w:t>
      </w:r>
    </w:p>
    <w:p>
      <w:pPr>
        <w:spacing w:after="0" w:line="193" w:lineRule="exact"/>
        <w:rPr>
          <w:rFonts w:ascii="Times New Roman" w:cs="Times New Roman" w:eastAsia="Times New Roman" w:hAnsi="Times New Roman"/>
          <w:sz w:val="22"/>
          <w:szCs w:val="22"/>
          <w:b w:val="1"/>
          <w:bCs w:val="1"/>
          <w:color w:val="auto"/>
        </w:rPr>
      </w:pPr>
    </w:p>
    <w:p>
      <w:pPr>
        <w:jc w:val="both"/>
        <w:ind w:firstLine="656"/>
        <w:spacing w:after="0" w:line="247" w:lineRule="auto"/>
        <w:tabs>
          <w:tab w:leader="none" w:pos="1296" w:val="left"/>
        </w:tabs>
        <w:numPr>
          <w:ilvl w:val="0"/>
          <w:numId w:val="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Foreign Asset/Account, Exchange Control and Tax Reporting. </w:t>
      </w:r>
      <w:r>
        <w:rPr>
          <w:rFonts w:ascii="Times New Roman" w:cs="Times New Roman" w:eastAsia="Times New Roman" w:hAnsi="Times New Roman"/>
          <w:sz w:val="22"/>
          <w:szCs w:val="22"/>
          <w:color w:val="auto"/>
        </w:rPr>
        <w:t>You may be subject to foreign asset/account,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exchange control and/or tax reporting requirements as a result of the acquisition, holding and/or transfer of shares of Common Stock or cash (including dividends and the proceeds arising from the sale of shares of Common Stock) derived from your participation in the Plan in, to and/or from a brokerage/bank account or legal entity located outside your country. The Applicable Laws in your country may require that you report such accounts, assets and balances therein, the value thereof and/or the transactions related thereto to the applicable authorities in such country. You may also be required to repatriate sale proceeds or other funds received as a result of your participation in the Plan to your country through a designated bank or broker within a certain time after receipt. You acknowledge that it is your responsibility to be compliant with such regulations and you are encouraged to consult with your personal legal advisor for any details.</w:t>
      </w:r>
    </w:p>
    <w:p>
      <w:pPr>
        <w:spacing w:after="0" w:line="181" w:lineRule="exact"/>
        <w:rPr>
          <w:rFonts w:ascii="Times New Roman" w:cs="Times New Roman" w:eastAsia="Times New Roman" w:hAnsi="Times New Roman"/>
          <w:sz w:val="22"/>
          <w:szCs w:val="22"/>
          <w:b w:val="1"/>
          <w:bCs w:val="1"/>
          <w:color w:val="auto"/>
        </w:rPr>
      </w:pPr>
    </w:p>
    <w:p>
      <w:pPr>
        <w:jc w:val="both"/>
        <w:ind w:firstLine="656"/>
        <w:spacing w:after="0" w:line="249" w:lineRule="auto"/>
        <w:tabs>
          <w:tab w:leader="none" w:pos="1296" w:val="left"/>
        </w:tabs>
        <w:numPr>
          <w:ilvl w:val="0"/>
          <w:numId w:val="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Country-Specific Provisions. </w:t>
      </w:r>
      <w:r>
        <w:rPr>
          <w:rFonts w:ascii="Times New Roman" w:cs="Times New Roman" w:eastAsia="Times New Roman" w:hAnsi="Times New Roman"/>
          <w:sz w:val="22"/>
          <w:szCs w:val="22"/>
          <w:color w:val="auto"/>
        </w:rPr>
        <w:t>Notwithstanding any provisions of this Agreement to the contrary, if you reside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are employed outside of the United States, the RSU Award shall be subject to any terms and conditions for your country of residence (and country of employment, if different) set forth in the appendix attached hereto (the “</w:t>
      </w:r>
      <w:r>
        <w:rPr>
          <w:rFonts w:ascii="Times New Roman" w:cs="Times New Roman" w:eastAsia="Times New Roman" w:hAnsi="Times New Roman"/>
          <w:sz w:val="22"/>
          <w:szCs w:val="22"/>
          <w:b w:val="1"/>
          <w:bCs w:val="1"/>
          <w:i w:val="1"/>
          <w:iCs w:val="1"/>
          <w:color w:val="auto"/>
        </w:rPr>
        <w:t>Appendix</w:t>
      </w:r>
      <w:r>
        <w:rPr>
          <w:rFonts w:ascii="Times New Roman" w:cs="Times New Roman" w:eastAsia="Times New Roman" w:hAnsi="Times New Roman"/>
          <w:sz w:val="22"/>
          <w:szCs w:val="22"/>
          <w:color w:val="auto"/>
        </w:rPr>
        <w:t>”). Further, if you transfer residence and/or employment to another country reflected in the Appendix, the terms and conditions for such country will apply to you to the extent the Company determines, in its sole discretion, that the application of such terms and conditions is necessary or advisable for legal or administrative reasons. The Appendix constitutes part of this Agreement.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22" w:right="3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4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[Executives]</w:t>
      </w:r>
    </w:p>
    <w:p>
      <w:pPr>
        <w:spacing w:after="0" w:line="200" w:lineRule="exact"/>
        <w:rPr>
          <w:sz w:val="20"/>
          <w:szCs w:val="20"/>
          <w:color w:val="auto"/>
        </w:rPr>
      </w:pPr>
    </w:p>
    <w:p>
      <w:pPr>
        <w:spacing w:after="0" w:line="344" w:lineRule="exact"/>
        <w:rPr>
          <w:sz w:val="20"/>
          <w:szCs w:val="20"/>
          <w:color w:val="auto"/>
        </w:rPr>
      </w:pPr>
    </w:p>
    <w:p>
      <w:pPr>
        <w:jc w:val="both"/>
        <w:ind w:firstLine="656"/>
        <w:spacing w:after="0" w:line="253" w:lineRule="auto"/>
        <w:tabs>
          <w:tab w:leader="none" w:pos="1296" w:val="left"/>
        </w:tabs>
        <w:numPr>
          <w:ilvl w:val="0"/>
          <w:numId w:val="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Imposition of Other Requirements. </w:t>
      </w:r>
      <w:r>
        <w:rPr>
          <w:rFonts w:ascii="Times New Roman" w:cs="Times New Roman" w:eastAsia="Times New Roman" w:hAnsi="Times New Roman"/>
          <w:sz w:val="22"/>
          <w:szCs w:val="22"/>
          <w:color w:val="auto"/>
        </w:rPr>
        <w:t>The Company reserves the right to impose other requirements on your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participation in the Plan, on the RSU Award and on any shares of Common Stock acquired under the Plan, to the extent the Company determines it is necessary or advisable for legal or administrative reasons, and to require you to sign any additional agreements or undertakings that may be necessary to accomplish the foregoing.</w:t>
      </w:r>
    </w:p>
    <w:p>
      <w:pPr>
        <w:spacing w:after="0" w:line="175" w:lineRule="exact"/>
        <w:rPr>
          <w:rFonts w:ascii="Times New Roman" w:cs="Times New Roman" w:eastAsia="Times New Roman" w:hAnsi="Times New Roman"/>
          <w:sz w:val="22"/>
          <w:szCs w:val="22"/>
          <w:b w:val="1"/>
          <w:bCs w:val="1"/>
          <w:color w:val="auto"/>
        </w:rPr>
      </w:pPr>
    </w:p>
    <w:p>
      <w:pPr>
        <w:jc w:val="both"/>
        <w:ind w:firstLine="656"/>
        <w:spacing w:after="0" w:line="259" w:lineRule="auto"/>
        <w:tabs>
          <w:tab w:leader="none" w:pos="1296" w:val="left"/>
        </w:tabs>
        <w:numPr>
          <w:ilvl w:val="0"/>
          <w:numId w:val="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Other Documents. </w:t>
      </w:r>
      <w:r>
        <w:rPr>
          <w:rFonts w:ascii="Times New Roman" w:cs="Times New Roman" w:eastAsia="Times New Roman" w:hAnsi="Times New Roman"/>
          <w:sz w:val="22"/>
          <w:szCs w:val="22"/>
          <w:color w:val="auto"/>
        </w:rPr>
        <w:t>You hereby acknowledge receipt of or the right to receive a document providing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information required by Rule 428(b)(1) promulgated under the Securities Act, which includes the Prospectus. In addition, you acknowledge receipt of the Company’s Trading Policy.</w:t>
      </w:r>
    </w:p>
    <w:p>
      <w:pPr>
        <w:spacing w:after="0" w:line="166" w:lineRule="exact"/>
        <w:rPr>
          <w:rFonts w:ascii="Times New Roman" w:cs="Times New Roman" w:eastAsia="Times New Roman" w:hAnsi="Times New Roman"/>
          <w:sz w:val="22"/>
          <w:szCs w:val="22"/>
          <w:b w:val="1"/>
          <w:bCs w:val="1"/>
          <w:color w:val="auto"/>
        </w:rPr>
      </w:pPr>
    </w:p>
    <w:p>
      <w:pPr>
        <w:ind w:firstLine="656"/>
        <w:spacing w:after="0" w:line="275" w:lineRule="auto"/>
        <w:tabs>
          <w:tab w:leader="none" w:pos="1296" w:val="left"/>
        </w:tabs>
        <w:numPr>
          <w:ilvl w:val="0"/>
          <w:numId w:val="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Questions. </w:t>
      </w:r>
      <w:r>
        <w:rPr>
          <w:rFonts w:ascii="Times New Roman" w:cs="Times New Roman" w:eastAsia="Times New Roman" w:hAnsi="Times New Roman"/>
          <w:sz w:val="22"/>
          <w:szCs w:val="22"/>
          <w:color w:val="auto"/>
        </w:rPr>
        <w:t>If you have questions regarding these or any other terms and conditions applicable to your RSU</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Award, including a summary of the applicable federal income tax consequences please see the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22" w:right="3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4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[Executives]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APPENDIX</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 THE</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Zoom Video Communications,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2019 Equity Incentive Plan</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Global RSU AWARD Agreement</w:t>
      </w:r>
    </w:p>
    <w:p>
      <w:pPr>
        <w:spacing w:after="0" w:line="22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Capitalized terms used but not defined in this Appendix have the meanings set forth in the Plan and/or the Global RSU Award Agreement.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2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This Appendix includes additional terms and conditions that govern the RSU Award granted to you under the Plan if you are an employee that works or resides outside the U.S. and/or in one of the countries listed below. If you are a citizen or resident of a country other than the one in which you are currently working and/or residing, transfer employment and/or residency to another country after the date of grant, are a consultant, change employment status to a consultant position, or are considered a resident of another country for local law purposes, the Company shall, in its discretion, determine the extent to which the special terms and conditions contained herein shall be applicable to you. References to your Employer shall include any entity that engages your services.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This Appendix also includes information regarding exchange controls and certain other issues of which you should be aware with respect to your participation in the Plan. The information is provided solely for your convenience and is based on the securities, exchange control and other laws in effect in the respective countries as of April 2019. Such laws are often complex and change frequently. As a result, the Company strongly recommends that you not rely on the information noted herein as the only source of information relating to the consequences of your participation in the Plan because the information may be out of date by the time you vest in the RSU or sell any shares of Common Stock acquired upon settlement of the vested RSU.</w:t>
      </w:r>
    </w:p>
    <w:p>
      <w:pPr>
        <w:spacing w:after="0" w:line="18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In addition, the information contained in this Appendix is general in nature and may not apply to your particular situation, and the Company is not in a position to assure you of any particular result. Accordingly, you should seek appropriate professional advice as to how the applicable laws in your country may apply to your situation.</w:t>
      </w:r>
    </w:p>
    <w:p>
      <w:pPr>
        <w:spacing w:after="0" w:line="17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Finally, if you are a citizen or resident of a country other than the one in which you are currently residing and/or working, transfer to another country after the date of grant, or are considered a resident of another country for local law purposes, the notifications contained herein may not be applicable to you in the same manner.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22" w:right="3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4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[Executives]</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AUSTRALIA</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5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u w:val="single" w:color="auto"/>
          <w:color w:val="auto"/>
        </w:rPr>
        <w:t>Tax Conditions</w:t>
      </w:r>
      <w:r>
        <w:rPr>
          <w:rFonts w:ascii="Times New Roman" w:cs="Times New Roman" w:eastAsia="Times New Roman" w:hAnsi="Times New Roman"/>
          <w:sz w:val="22"/>
          <w:szCs w:val="22"/>
          <w:color w:val="auto"/>
        </w:rPr>
        <w:t>. Subdivision 83A-C of the Income Tax Assessment Act 1997 (Cth) applies to the RSU Award granted under the Plan, such that the RSU Award is intended to be subject to deferred taxation.</w:t>
      </w:r>
    </w:p>
    <w:p>
      <w:pPr>
        <w:spacing w:after="0" w:line="15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u w:val="single" w:color="auto"/>
          <w:color w:val="auto"/>
        </w:rPr>
        <w:t>Australian Offer Document</w:t>
      </w:r>
      <w:r>
        <w:rPr>
          <w:rFonts w:ascii="Times New Roman" w:cs="Times New Roman" w:eastAsia="Times New Roman" w:hAnsi="Times New Roman"/>
          <w:sz w:val="22"/>
          <w:szCs w:val="22"/>
          <w:color w:val="auto"/>
        </w:rPr>
        <w:t>. The offering of the Plan in Australia is intended to qualify for an exemption from the prospectus requirements under Class Order 14/1000 issued by the Australian Securities and Investments Commission. Additional details are set forth in the Offer Document for the offer of RSU Awards to Australian Resident Employees, which was provided to you with this RSU Award Agreement.</w:t>
      </w:r>
    </w:p>
    <w:p>
      <w:pPr>
        <w:spacing w:after="0" w:line="20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u w:val="single" w:color="auto"/>
          <w:color w:val="auto"/>
        </w:rPr>
        <w:t>Exchange Control Information</w:t>
      </w:r>
      <w:r>
        <w:rPr>
          <w:rFonts w:ascii="Times New Roman" w:cs="Times New Roman" w:eastAsia="Times New Roman" w:hAnsi="Times New Roman"/>
          <w:sz w:val="22"/>
          <w:szCs w:val="22"/>
          <w:color w:val="auto"/>
        </w:rPr>
        <w:t>. If you are an Australian resident, exchange control reporting is required for cash transactions exceeding AUD10,000 and international fund transfers. If an Australian bank is assisting with the transaction, the bank will file the report on your behalf. If there is no Australian bank involved with the transfer, you will be required to file the report.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CANADA</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 The following provision replaces Section 5(j) of the Global RSU Award Agreement in its entirety:</w:t>
      </w:r>
    </w:p>
    <w:p>
      <w:pPr>
        <w:spacing w:after="0" w:line="220" w:lineRule="exact"/>
        <w:rPr>
          <w:sz w:val="20"/>
          <w:szCs w:val="20"/>
          <w:color w:val="auto"/>
        </w:rPr>
      </w:pPr>
    </w:p>
    <w:p>
      <w:pPr>
        <w:jc w:val="both"/>
        <w:ind w:firstLine="321"/>
        <w:spacing w:after="0" w:line="246" w:lineRule="auto"/>
        <w:tabs>
          <w:tab w:leader="none" w:pos="83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the termination of your Continuous Service (whether or not later found to be invalid or in breach of employment laws in the jurisdiction where you are employed or the terms of your employment agreement, if any), unless otherwise provided in the RSU Award Agreement or determined by the Company, your right to vest in the RSU Award under the Plan will terminate effective as of the earlier of (i) the date upon which you cease to provide services, or (ii) the date upon which you receive a notice of termination and will not in either case be extended by any contractual notice period in which you do not actively provide services or any period of pay in lieu of such notice (including, but not limited to Canadian statutory law, regulatory law and/or common law) mandated under employment laws in the jurisdiction where you are employed or the terms of your employment agreement, if any; the Plan Administrator shall have the exclusive discretion to determine when you are no longer actively providing services for purposes of the RSU Award (including whether you may still be considered to be providing services while on a leave of absence);</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The following terms and conditions apply to employees resident in Quebec:</w:t>
      </w:r>
    </w:p>
    <w:p>
      <w:pPr>
        <w:spacing w:after="0" w:line="251"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u w:val="single" w:color="auto"/>
          <w:color w:val="auto"/>
        </w:rPr>
        <w:t>Language</w:t>
      </w:r>
      <w:r>
        <w:rPr>
          <w:rFonts w:ascii="Times New Roman" w:cs="Times New Roman" w:eastAsia="Times New Roman" w:hAnsi="Times New Roman"/>
          <w:sz w:val="22"/>
          <w:szCs w:val="22"/>
          <w:color w:val="auto"/>
        </w:rPr>
        <w:t>. The parties acknowledge that it is their express wish that this agreement, as well as all documents, notices and legal proceedings entered into, given or instituted pursuant hereto or relating directly or indirectly hereto, be drawn up in English.</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22" w:right="3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4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[Executives]</w:t>
      </w:r>
    </w:p>
    <w:p>
      <w:pPr>
        <w:spacing w:after="0" w:line="200" w:lineRule="exact"/>
        <w:rPr>
          <w:sz w:val="20"/>
          <w:szCs w:val="20"/>
          <w:color w:val="auto"/>
        </w:rPr>
      </w:pPr>
    </w:p>
    <w:p>
      <w:pPr>
        <w:spacing w:after="0" w:line="335"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i w:val="1"/>
          <w:iCs w:val="1"/>
          <w:color w:val="auto"/>
        </w:rPr>
        <w:t>Les parties reconnaissent avoir exigé la rédaction en anglais de cette convention, ainsi que de tous documents, avis et procédures judiciaires, exécutés, donnés ou intentés en vertu de, ou liés directement ou indirectement à, la présente convention.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Data Privacy</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This provision supplements Section 14 of the Global RSU Award Agreement:</w:t>
      </w:r>
    </w:p>
    <w:p>
      <w:pPr>
        <w:spacing w:after="0" w:line="22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You hereby authorize the Company or any Affiliate, including the Employer, and any agents or representatives to (i) discuss with and obtain all relevant information from all personnel, professional or non-professional, involved in the administration and operation of the Plan, and (ii) disclose and discuss any and all information relevant to the Plan with their advisors. You further authorize the Company or any Affiliate, including the Employer, and any agents or representatives to record such information and to keep such information in your employee file.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u w:val="single" w:color="auto"/>
          <w:color w:val="auto"/>
        </w:rPr>
        <w:t>Securities Law Information</w:t>
      </w:r>
      <w:r>
        <w:rPr>
          <w:rFonts w:ascii="Times New Roman" w:cs="Times New Roman" w:eastAsia="Times New Roman" w:hAnsi="Times New Roman"/>
          <w:sz w:val="22"/>
          <w:szCs w:val="22"/>
          <w:color w:val="auto"/>
        </w:rPr>
        <w:t>. You are permitted to sell shares of Common Stock acquired under the Plan through the designated broker appointed under the Plan, if any, provided the resale of shares of Common Stock acquired under the Plan takes place outside Canada through the facilities of the exchange on which the shares of Common Stock are then listed.</w:t>
      </w:r>
    </w:p>
    <w:p>
      <w:pPr>
        <w:spacing w:after="0" w:line="20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u w:val="single" w:color="auto"/>
          <w:color w:val="auto"/>
        </w:rPr>
        <w:t>Foreign Asset/Account Reporting Information</w:t>
      </w:r>
      <w:r>
        <w:rPr>
          <w:rFonts w:ascii="Times New Roman" w:cs="Times New Roman" w:eastAsia="Times New Roman" w:hAnsi="Times New Roman"/>
          <w:sz w:val="22"/>
          <w:szCs w:val="22"/>
          <w:color w:val="auto"/>
        </w:rPr>
        <w:t>. Canadian residents are required to report any foreign specified property held outside Canada (including RSU Awards and shares of Common Stock acquired under the Plan) annually on form T1135 (Foreign Income Verification Statement) if the total cost of the foreign specified property exceeds CAD 100,000 at any time during the year. Thus, if the CAD 100,000 cost threshold is exceeded by other foreign specified property held by the individual, RSU Awards must be reported (generally at a nil cost). For purposes of such reporting, shares of Common Stock acquired under the Plan may be reported at their adjusted cost basis. The adjusted cost basis of a share is generally equal to the fair market value of such share at the time of acquisition; however, if you own other shares of Common Stock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xml:space="preserve">, acquired under other circumstances or at another time), the adjusted cost basis may have to be averaged with the adjusted cost bases of the other shares of Common Stock. </w:t>
      </w:r>
      <w:r>
        <w:rPr>
          <w:rFonts w:ascii="Times New Roman" w:cs="Times New Roman" w:eastAsia="Times New Roman" w:hAnsi="Times New Roman"/>
          <w:sz w:val="22"/>
          <w:szCs w:val="22"/>
          <w:i w:val="1"/>
          <w:iCs w:val="1"/>
          <w:color w:val="auto"/>
        </w:rPr>
        <w:t>You should consult with your personal legal advisor to ensure compliance with applicable reporting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obligations.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CHINA</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2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2"/>
          <w:szCs w:val="22"/>
          <w:i w:val="1"/>
          <w:iCs w:val="1"/>
          <w:color w:val="auto"/>
        </w:rPr>
        <w:t>The following applies only to Participants who are exclusively citizens of the People’s Republic of China (“</w:t>
      </w:r>
      <w:r>
        <w:rPr>
          <w:rFonts w:ascii="Times New Roman" w:cs="Times New Roman" w:eastAsia="Times New Roman" w:hAnsi="Times New Roman"/>
          <w:sz w:val="22"/>
          <w:szCs w:val="22"/>
          <w:b w:val="1"/>
          <w:bCs w:val="1"/>
          <w:i w:val="1"/>
          <w:iCs w:val="1"/>
          <w:color w:val="auto"/>
        </w:rPr>
        <w:t>PRC</w:t>
      </w:r>
      <w:r>
        <w:rPr>
          <w:rFonts w:ascii="Times New Roman" w:cs="Times New Roman" w:eastAsia="Times New Roman" w:hAnsi="Times New Roman"/>
          <w:sz w:val="22"/>
          <w:szCs w:val="22"/>
          <w:i w:val="1"/>
          <w:iCs w:val="1"/>
          <w:color w:val="auto"/>
        </w:rPr>
        <w:t>”) and who reside in mainland China or Participants who are otherwise subject to the exchange control laws in China, as determined by the Company in its sole discretion.</w:t>
      </w:r>
    </w:p>
    <w:p>
      <w:pPr>
        <w:spacing w:after="0" w:line="16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u w:val="single" w:color="auto"/>
          <w:color w:val="auto"/>
        </w:rPr>
        <w:t>Satisfaction of Regulatory Obligations</w:t>
      </w:r>
      <w:r>
        <w:rPr>
          <w:rFonts w:ascii="Times New Roman" w:cs="Times New Roman" w:eastAsia="Times New Roman" w:hAnsi="Times New Roman"/>
          <w:sz w:val="22"/>
          <w:szCs w:val="22"/>
          <w:color w:val="auto"/>
        </w:rPr>
        <w:t>. The settlement of the RSU Award upon vesting is conditioned upon the Company securing and maintaining all necessary approvals from the State Administration of Foreign Exchange (“</w:t>
      </w:r>
      <w:r>
        <w:rPr>
          <w:rFonts w:ascii="Times New Roman" w:cs="Times New Roman" w:eastAsia="Times New Roman" w:hAnsi="Times New Roman"/>
          <w:sz w:val="22"/>
          <w:szCs w:val="22"/>
          <w:b w:val="1"/>
          <w:bCs w:val="1"/>
          <w:i w:val="1"/>
          <w:iCs w:val="1"/>
          <w:color w:val="auto"/>
        </w:rPr>
        <w:t>SAFE</w:t>
      </w:r>
      <w:r>
        <w:rPr>
          <w:rFonts w:ascii="Times New Roman" w:cs="Times New Roman" w:eastAsia="Times New Roman" w:hAnsi="Times New Roman"/>
          <w:sz w:val="22"/>
          <w:szCs w:val="22"/>
          <w:color w:val="auto"/>
        </w:rPr>
        <w:t>”) and any other applicable government entities in China to permit the operation of the Plan in China, as determined by the Company it its sole</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22" w:right="339" w:bottom="1440" w:gutter="0" w:footer="0" w:header="0"/>
        </w:sectPr>
      </w:pPr>
    </w:p>
    <w:bookmarkStart w:id="88" w:name="page89"/>
    <w:bookmarkEnd w:id="88"/>
    <w:p>
      <w:pPr>
        <w:ind w:left="10120"/>
        <w:spacing w:after="0"/>
        <w:rPr>
          <w:sz w:val="20"/>
          <w:szCs w:val="20"/>
          <w:color w:val="auto"/>
        </w:rPr>
      </w:pPr>
      <w:r>
        <w:rPr>
          <w:rFonts w:ascii="Times New Roman" w:cs="Times New Roman" w:eastAsia="Times New Roman" w:hAnsi="Times New Roman"/>
          <w:sz w:val="21"/>
          <w:szCs w:val="21"/>
          <w:b w:val="1"/>
          <w:bCs w:val="1"/>
          <w:color w:val="auto"/>
        </w:rPr>
        <w:t>Exhibit 10.1</w:t>
      </w:r>
    </w:p>
    <w:p>
      <w:pPr>
        <w:spacing w:after="0" w:line="258" w:lineRule="exact"/>
        <w:rPr>
          <w:sz w:val="20"/>
          <w:szCs w:val="20"/>
          <w:color w:val="auto"/>
        </w:rPr>
      </w:pPr>
    </w:p>
    <w:p>
      <w:pPr>
        <w:ind w:left="10120"/>
        <w:spacing w:after="0"/>
        <w:rPr>
          <w:sz w:val="20"/>
          <w:szCs w:val="20"/>
          <w:color w:val="auto"/>
        </w:rPr>
      </w:pPr>
      <w:r>
        <w:rPr>
          <w:rFonts w:ascii="Times New Roman" w:cs="Times New Roman" w:eastAsia="Times New Roman" w:hAnsi="Times New Roman"/>
          <w:sz w:val="21"/>
          <w:szCs w:val="21"/>
          <w:b w:val="1"/>
          <w:bCs w:val="1"/>
          <w:color w:val="auto"/>
        </w:rPr>
        <w:t>[Executives]</w:t>
      </w:r>
    </w:p>
    <w:p>
      <w:pPr>
        <w:spacing w:after="0" w:line="200" w:lineRule="exact"/>
        <w:rPr>
          <w:sz w:val="20"/>
          <w:szCs w:val="20"/>
          <w:color w:val="auto"/>
        </w:rPr>
      </w:pPr>
    </w:p>
    <w:p>
      <w:pPr>
        <w:spacing w:after="0" w:line="3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discretion. If or to the extent the Company is unable to complete the registration or maintain the registration, no shares of Common Stock shall be issued under the Plan. In this case, the Company retains the discretion to settle any RSU Award in cash paid through local payroll in an amount equal to the Fair Market Value of the shares of Common Stock subject to the RSU Award less any Tax-Related Items.</w:t>
      </w:r>
    </w:p>
    <w:p>
      <w:pPr>
        <w:spacing w:after="0" w:line="17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u w:val="single" w:color="auto"/>
          <w:color w:val="auto"/>
        </w:rPr>
        <w:t>Settlement of RSU Award and Sale of Shares</w:t>
      </w:r>
      <w:r>
        <w:rPr>
          <w:rFonts w:ascii="Times New Roman" w:cs="Times New Roman" w:eastAsia="Times New Roman" w:hAnsi="Times New Roman"/>
          <w:sz w:val="22"/>
          <w:szCs w:val="22"/>
          <w:color w:val="auto"/>
        </w:rPr>
        <w:t>. To facilitate compliance with local regulatory requirements, you agree to the sale of any shares of Common Stock to be issued to you upon vesting and settlement of the RSU Award. The sale will occur (i) immediately upon the issuance of shares in settlement of the RSU Award, (ii) following your termination of Continuous Service from the Company or one of its Affiliates, or (iii) within any other time frame as the Company determines to be necessary to comply with local regulatory requirements. You further agree that the Company is authorized to instruct its designated broker to assist with the mandatory sale of such shares (on your behalf pursuant to this authorization) and you expressly authorize the Company’s designated broker to complete the sale of such shares. You acknowledge that the Company’s designated broker is under no obligation to arrange for the sale of the shares at any particular price. Upon the sale of the shares, the Company agrees to pay you the cash proceeds from the sale, less any brokerage fees or commissions and subject to any obligation to satisfy Withholding Taxes. You agree that the payment of the cash proceeds will be subject to the repatriation requirements described below.</w:t>
      </w:r>
    </w:p>
    <w:p>
      <w:pPr>
        <w:spacing w:after="0" w:line="18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u w:val="single" w:color="auto"/>
          <w:color w:val="auto"/>
        </w:rPr>
        <w:t>Designated Broker Account</w:t>
      </w:r>
      <w:r>
        <w:rPr>
          <w:rFonts w:ascii="Times New Roman" w:cs="Times New Roman" w:eastAsia="Times New Roman" w:hAnsi="Times New Roman"/>
          <w:sz w:val="22"/>
          <w:szCs w:val="22"/>
          <w:color w:val="auto"/>
        </w:rPr>
        <w:t>. You agree that any shares of Common Stock issued to you upon vesting/settlement of the RSU Award shall be deposited directly into an account with the Company’s designated broker. The deposited shares shall not be transferable (either electronically or in certificate form) from the brokerage account. This limitation shall apply both to transfers to different accounts with the same broker and to transfers to other brokerage firms. The limitation shall apply to all shares of Common Stock issued to you under the Plan, whether or not you remain in Continuous Service with the Company or one of its Affiliates. Upon sale of the shares of Common Stock, the repatriation requirements described below shall apply.</w:t>
      </w:r>
    </w:p>
    <w:p>
      <w:pPr>
        <w:spacing w:after="0" w:line="18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u w:val="single" w:color="auto"/>
          <w:color w:val="auto"/>
        </w:rPr>
        <w:t>Exchange Control Restrictions</w:t>
      </w:r>
      <w:r>
        <w:rPr>
          <w:rFonts w:ascii="Times New Roman" w:cs="Times New Roman" w:eastAsia="Times New Roman" w:hAnsi="Times New Roman"/>
          <w:sz w:val="22"/>
          <w:szCs w:val="22"/>
          <w:color w:val="auto"/>
        </w:rPr>
        <w:t>. You understand and agree that you will be required to immediately repatriate to China the proceeds from the sale of any shares of Common Stock acquired under the Plan. You further understand that such repatriation of proceeds may need to be effected through a special bank account established by the Company (or an Affiliate), and you hereby consent and agree that any sale proceeds or other cash payments received in connection with the Plan may be transferred to such special account by the Company (or an Affiliate) on your behalf prior to being delivered to you and that no interest shall be paid with respect to funds held in such account.</w:t>
      </w:r>
    </w:p>
    <w:p>
      <w:pPr>
        <w:spacing w:after="0" w:line="18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The proceeds may be paid to you in U.S. dollars or local currency at the Company’s discretion. If the proceeds are paid to you in U.S. dollars, you understand that a U.S. dollar bank account in China must be established and maintained so that the proceeds may be deposited into such account. If the proceeds are paid to you in local currency, you acknowledge that the Company (or its Affiliates) are under no obligation to secure any particular exchange conversion rate and that the Company (or its Affiliates) may face delays in converting the proceeds to local currency</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22" w:right="33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4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[Executives]</w:t>
      </w:r>
    </w:p>
    <w:p>
      <w:pPr>
        <w:spacing w:after="0" w:line="200" w:lineRule="exact"/>
        <w:rPr>
          <w:sz w:val="20"/>
          <w:szCs w:val="20"/>
          <w:color w:val="auto"/>
        </w:rPr>
      </w:pPr>
    </w:p>
    <w:p>
      <w:pPr>
        <w:spacing w:after="0" w:line="34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or distributing the proceeds due to exchange control restrictions. You agree to bear any currency fluctuation risk between the time the shares of Common Stock are sold and the net proceeds are converted into local currency and distributed to you. You further agree to comply with any other requirements that may be imposed by the Company (or its Affiliates) in the future in order to facilitate compliance with exchange control requirements in China.</w:t>
      </w:r>
    </w:p>
    <w:p>
      <w:pPr>
        <w:spacing w:after="0" w:line="17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u w:val="single" w:color="auto"/>
          <w:color w:val="auto"/>
        </w:rPr>
        <w:t>Administration</w:t>
      </w:r>
      <w:r>
        <w:rPr>
          <w:rFonts w:ascii="Times New Roman" w:cs="Times New Roman" w:eastAsia="Times New Roman" w:hAnsi="Times New Roman"/>
          <w:sz w:val="22"/>
          <w:szCs w:val="22"/>
          <w:color w:val="auto"/>
        </w:rPr>
        <w:t>. The Company (or its Affiliates) shall not be liable for any costs, fees, lost interest or dividends or other losses that you may incur or suffer resulting from the enforcement of the terms of this Appendix or otherwise from the Company’s operation and enforcement of the Plan, the RSU Award Agreement and this RSU Award in accordance with any Applicable Laws, rules, regulations and requirements.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FRANCE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2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u w:val="single" w:color="auto"/>
          <w:color w:val="auto"/>
        </w:rPr>
        <w:t>Language Consent</w:t>
      </w:r>
      <w:r>
        <w:rPr>
          <w:rFonts w:ascii="Times New Roman" w:cs="Times New Roman" w:eastAsia="Times New Roman" w:hAnsi="Times New Roman"/>
          <w:sz w:val="22"/>
          <w:szCs w:val="22"/>
          <w:color w:val="auto"/>
        </w:rPr>
        <w:t>. By accepting the RSU Award, you confirm having read and understood the documents related to the RSU Award (the Plan and the RSU Award Agreement) which were provided in the English language. You accept the terms of these documents accordingly.</w:t>
      </w:r>
    </w:p>
    <w:p>
      <w:pPr>
        <w:spacing w:after="0" w:line="16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i w:val="1"/>
          <w:iCs w:val="1"/>
          <w:u w:val="single" w:color="auto"/>
          <w:color w:val="auto"/>
        </w:rPr>
        <w:t>Consentement à la Langue Utilisée</w:t>
      </w:r>
      <w:r>
        <w:rPr>
          <w:rFonts w:ascii="Times New Roman" w:cs="Times New Roman" w:eastAsia="Times New Roman" w:hAnsi="Times New Roman"/>
          <w:sz w:val="22"/>
          <w:szCs w:val="22"/>
          <w:i w:val="1"/>
          <w:iCs w:val="1"/>
          <w:color w:val="auto"/>
        </w:rPr>
        <w:t>. En acceptant l’attribution («RSU Award»), vouz confirmez avoir lu et compris les documents relatifs à l’attribution (le Plan et le Contrat d’Attribution) qui ont été remis en anglais. Vous acceptez les termes de ces documents en connaissance de cause.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u w:val="single" w:color="auto"/>
          <w:color w:val="auto"/>
        </w:rPr>
        <w:t>Tax Information</w:t>
      </w:r>
      <w:r>
        <w:rPr>
          <w:rFonts w:ascii="Times New Roman" w:cs="Times New Roman" w:eastAsia="Times New Roman" w:hAnsi="Times New Roman"/>
          <w:sz w:val="22"/>
          <w:szCs w:val="22"/>
          <w:color w:val="auto"/>
        </w:rPr>
        <w:t>. This RSU Award is not intended to qualify for specific tax and social security treatment applicable to awards granted under Section L. 225-197.1 to L. 225-197.6 of the French Commercial Code, as amended.</w:t>
      </w:r>
    </w:p>
    <w:p>
      <w:pPr>
        <w:spacing w:after="0" w:line="15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u w:val="single" w:color="auto"/>
          <w:color w:val="auto"/>
        </w:rPr>
        <w:t>Foreign Asset/Account Reporting Information</w:t>
      </w:r>
      <w:r>
        <w:rPr>
          <w:rFonts w:ascii="Times New Roman" w:cs="Times New Roman" w:eastAsia="Times New Roman" w:hAnsi="Times New Roman"/>
          <w:sz w:val="22"/>
          <w:szCs w:val="22"/>
          <w:color w:val="auto"/>
        </w:rPr>
        <w:t>. If you hold cash or shares of Common Stock outside of France or maintain a foreign bank or brokerage account (including accounts that were opened and closed during the tax year), you are required to report such assets and accounts to the French tax authorities on an annual basis on a specified form, together with your income tax return. Failure to complete this reporting can trigger significant penalties.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GERMANY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u w:val="single" w:color="auto"/>
          <w:color w:val="auto"/>
        </w:rPr>
        <w:t>Exchange Control Information</w:t>
      </w:r>
      <w:r>
        <w:rPr>
          <w:rFonts w:ascii="Times New Roman" w:cs="Times New Roman" w:eastAsia="Times New Roman" w:hAnsi="Times New Roman"/>
          <w:sz w:val="22"/>
          <w:szCs w:val="22"/>
          <w:color w:val="auto"/>
        </w:rPr>
        <w:t>. Cross-border payments in excess of EUR 12,500 must be reported monthly to the German Federal Bank (</w:t>
      </w:r>
      <w:r>
        <w:rPr>
          <w:rFonts w:ascii="Times New Roman" w:cs="Times New Roman" w:eastAsia="Times New Roman" w:hAnsi="Times New Roman"/>
          <w:sz w:val="22"/>
          <w:szCs w:val="22"/>
          <w:i w:val="1"/>
          <w:iCs w:val="1"/>
          <w:color w:val="auto"/>
        </w:rPr>
        <w:t>Bundesbank</w:t>
      </w:r>
      <w:r>
        <w:rPr>
          <w:rFonts w:ascii="Times New Roman" w:cs="Times New Roman" w:eastAsia="Times New Roman" w:hAnsi="Times New Roman"/>
          <w:sz w:val="22"/>
          <w:szCs w:val="22"/>
          <w:color w:val="auto"/>
        </w:rPr>
        <w:t>). If you receive a payment in excess of EUR 12,500 in connection with the sale of shares of Common Stock acquired under the Plan or the receipt of any cash dividends, the report must be filed electronically by the fifth day of the month following the month in which the payment was received. The form of report (</w:t>
      </w:r>
      <w:r>
        <w:rPr>
          <w:rFonts w:ascii="Times New Roman" w:cs="Times New Roman" w:eastAsia="Times New Roman" w:hAnsi="Times New Roman"/>
          <w:sz w:val="22"/>
          <w:szCs w:val="22"/>
          <w:i w:val="1"/>
          <w:iCs w:val="1"/>
          <w:color w:val="auto"/>
        </w:rPr>
        <w:t>Allgemeines Meldeportal Statistik</w:t>
      </w:r>
      <w:r>
        <w:rPr>
          <w:rFonts w:ascii="Times New Roman" w:cs="Times New Roman" w:eastAsia="Times New Roman" w:hAnsi="Times New Roman"/>
          <w:sz w:val="22"/>
          <w:szCs w:val="22"/>
          <w:color w:val="auto"/>
        </w:rPr>
        <w:t>) can be accessed via the Bundesbank’s website (www.bundesbank.de) and is available in both German and English.</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22" w:right="3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4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[Executives]</w:t>
      </w:r>
    </w:p>
    <w:p>
      <w:pPr>
        <w:spacing w:after="0" w:line="200" w:lineRule="exact"/>
        <w:rPr>
          <w:sz w:val="20"/>
          <w:szCs w:val="20"/>
          <w:color w:val="auto"/>
        </w:rPr>
      </w:pPr>
    </w:p>
    <w:p>
      <w:pPr>
        <w:spacing w:after="0" w:line="34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u w:val="single" w:color="auto"/>
          <w:color w:val="auto"/>
        </w:rPr>
        <w:t>Foreign Asset/Account Reporting Information</w:t>
      </w:r>
      <w:r>
        <w:rPr>
          <w:rFonts w:ascii="Times New Roman" w:cs="Times New Roman" w:eastAsia="Times New Roman" w:hAnsi="Times New Roman"/>
          <w:sz w:val="22"/>
          <w:szCs w:val="22"/>
          <w:color w:val="auto"/>
        </w:rPr>
        <w:t>. German residents holding shares of Common Stock must notify their local tax office of the acquisition of shares of Common Stock when they file their returns for the relevant year if the value of the shares of Common Stock exceeds EUR 150,000 or in the unlikely event that the resident holds shares of Common Stock exceeding 10% of the Company’s share capital.</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INDIA</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u w:val="single" w:color="auto"/>
          <w:color w:val="auto"/>
        </w:rPr>
        <w:t>Exchange Control Information</w:t>
      </w:r>
      <w:r>
        <w:rPr>
          <w:rFonts w:ascii="Times New Roman" w:cs="Times New Roman" w:eastAsia="Times New Roman" w:hAnsi="Times New Roman"/>
          <w:sz w:val="22"/>
          <w:szCs w:val="22"/>
          <w:color w:val="auto"/>
        </w:rPr>
        <w:t>. Indian residents are required to repatriate the proceeds from the sale of shares of Common Stock to India within specified timeframes. You must retain the foreign inward remittance certificate received from the bank where the foreign currency is deposited in the event that the Reserve Bank of India or the Employer requests proof of repatriation. It is your responsibility to comply with these requirements. Neither the Company nor the Employer will be liable for any fines or penalties resulting from your failure to comply with any Applicable Laws.</w:t>
      </w:r>
    </w:p>
    <w:p>
      <w:pPr>
        <w:spacing w:after="0" w:line="20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u w:val="single" w:color="auto"/>
          <w:color w:val="auto"/>
        </w:rPr>
        <w:t>Foreign Asset/Account Reporting Information</w:t>
      </w:r>
      <w:r>
        <w:rPr>
          <w:rFonts w:ascii="Times New Roman" w:cs="Times New Roman" w:eastAsia="Times New Roman" w:hAnsi="Times New Roman"/>
          <w:sz w:val="22"/>
          <w:szCs w:val="22"/>
          <w:color w:val="auto"/>
        </w:rPr>
        <w:t>. Indian residents are required to declare any foreign bank accounts and any foreign financial assets (including shares of Common Stock held outside of India) in their annual tax returns. You are responsible for complying with this reporting obligation and should confer with your personal tax advisor to determine your obligations in this regard.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IRELAND</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are no country-specific provisions.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JAPAN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u w:val="single" w:color="auto"/>
          <w:color w:val="auto"/>
        </w:rPr>
        <w:t>Exchange Control Information</w:t>
      </w:r>
      <w:r>
        <w:rPr>
          <w:rFonts w:ascii="Times New Roman" w:cs="Times New Roman" w:eastAsia="Times New Roman" w:hAnsi="Times New Roman"/>
          <w:sz w:val="22"/>
          <w:szCs w:val="22"/>
          <w:color w:val="auto"/>
        </w:rPr>
        <w:t>. Japanese residents acquiring shares of Common Stock valued at more than JPY 100,000,000 in a single transaction must file a Securities Acquisition Report with the Ministry of Finance (“</w:t>
      </w:r>
      <w:r>
        <w:rPr>
          <w:rFonts w:ascii="Times New Roman" w:cs="Times New Roman" w:eastAsia="Times New Roman" w:hAnsi="Times New Roman"/>
          <w:sz w:val="22"/>
          <w:szCs w:val="22"/>
          <w:b w:val="1"/>
          <w:bCs w:val="1"/>
          <w:i w:val="1"/>
          <w:iCs w:val="1"/>
          <w:color w:val="auto"/>
        </w:rPr>
        <w:t>MOF</w:t>
      </w:r>
      <w:r>
        <w:rPr>
          <w:rFonts w:ascii="Times New Roman" w:cs="Times New Roman" w:eastAsia="Times New Roman" w:hAnsi="Times New Roman"/>
          <w:sz w:val="22"/>
          <w:szCs w:val="22"/>
          <w:color w:val="auto"/>
        </w:rPr>
        <w:t>”) through the Bank of Japan within twenty (20) days of the acquisition of the shares.</w:t>
      </w:r>
    </w:p>
    <w:p>
      <w:pPr>
        <w:spacing w:after="0" w:line="6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u w:val="single" w:color="auto"/>
          <w:color w:val="auto"/>
        </w:rPr>
        <w:t>Foreign Asset/Account Reporting Information</w:t>
      </w:r>
      <w:r>
        <w:rPr>
          <w:rFonts w:ascii="Times New Roman" w:cs="Times New Roman" w:eastAsia="Times New Roman" w:hAnsi="Times New Roman"/>
          <w:sz w:val="22"/>
          <w:szCs w:val="22"/>
          <w:color w:val="auto"/>
        </w:rPr>
        <w:t xml:space="preserve">. Japanese residents are required to report details of any assets held outside Japan as of December 31st (including shares of Common Stock acquired under the Plan), to the extent such assets have a total net fair market value exceeding JPY 50,000,000. Such report is due by March 15th each year. </w:t>
      </w:r>
      <w:r>
        <w:rPr>
          <w:rFonts w:ascii="Times New Roman" w:cs="Times New Roman" w:eastAsia="Times New Roman" w:hAnsi="Times New Roman"/>
          <w:sz w:val="22"/>
          <w:szCs w:val="22"/>
          <w:i w:val="1"/>
          <w:iCs w:val="1"/>
          <w:color w:val="auto"/>
        </w:rPr>
        <w:t>You should consult your personal legal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advisor to ensure compliance with applicable reporting obligations.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NETHERLANDS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are no country-specific provisions.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22" w:right="33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4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[Executives]</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SINGAPORE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2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1"/>
          <w:szCs w:val="21"/>
          <w:u w:val="single" w:color="auto"/>
          <w:color w:val="auto"/>
        </w:rPr>
        <w:t>Restriction on Sale of Shares</w:t>
      </w:r>
      <w:r>
        <w:rPr>
          <w:rFonts w:ascii="Times New Roman" w:cs="Times New Roman" w:eastAsia="Times New Roman" w:hAnsi="Times New Roman"/>
          <w:sz w:val="21"/>
          <w:szCs w:val="21"/>
          <w:color w:val="auto"/>
        </w:rPr>
        <w:t>. Shares of Common Stock acquired under the Plan prior to the six (6) month anniversary of the date of grant may not be sold or otherwise offered for sale in Singapore, unless such sale or offer is made pursuant to the exemptions under Part XIII Division (1) Subdivision (4) (other than section 280) of the Singapore Securities and Futures Act (Chapter 289, 2006 Ed.) (“</w:t>
      </w:r>
      <w:r>
        <w:rPr>
          <w:rFonts w:ascii="Times New Roman" w:cs="Times New Roman" w:eastAsia="Times New Roman" w:hAnsi="Times New Roman"/>
          <w:sz w:val="21"/>
          <w:szCs w:val="21"/>
          <w:b w:val="1"/>
          <w:bCs w:val="1"/>
          <w:i w:val="1"/>
          <w:iCs w:val="1"/>
          <w:color w:val="auto"/>
        </w:rPr>
        <w:t>SFA</w:t>
      </w:r>
      <w:r>
        <w:rPr>
          <w:rFonts w:ascii="Times New Roman" w:cs="Times New Roman" w:eastAsia="Times New Roman" w:hAnsi="Times New Roman"/>
          <w:sz w:val="21"/>
          <w:szCs w:val="21"/>
          <w:color w:val="auto"/>
        </w:rPr>
        <w:t>”) or pursuant to, and in accordance with the conditions of, any other applicable provision(s) of the SFA.</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u w:val="single" w:color="auto"/>
          <w:color w:val="auto"/>
        </w:rPr>
        <w:t>Securities Law Information</w:t>
      </w:r>
      <w:r>
        <w:rPr>
          <w:rFonts w:ascii="Times New Roman" w:cs="Times New Roman" w:eastAsia="Times New Roman" w:hAnsi="Times New Roman"/>
          <w:sz w:val="22"/>
          <w:szCs w:val="22"/>
          <w:color w:val="auto"/>
        </w:rPr>
        <w:t>. The RSU Award is being granted to you pursuant to the “Qualifying Person” exemption under section 273(1)(f) of the SFA. The Plan has not been, nor will it be, lodged or registered as a prospectus with the Monetary Authority of Singapore.</w:t>
      </w:r>
    </w:p>
    <w:p>
      <w:pPr>
        <w:spacing w:after="0" w:line="17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u w:val="single" w:color="auto"/>
          <w:color w:val="auto"/>
        </w:rPr>
        <w:t>Chief Executive Officer and Director Notification Obligation</w:t>
      </w:r>
      <w:r>
        <w:rPr>
          <w:rFonts w:ascii="Times New Roman" w:cs="Times New Roman" w:eastAsia="Times New Roman" w:hAnsi="Times New Roman"/>
          <w:sz w:val="22"/>
          <w:szCs w:val="22"/>
          <w:color w:val="auto"/>
        </w:rPr>
        <w:t>. You acknowledge that if you are the Chief Executive Officer (“</w:t>
      </w:r>
      <w:r>
        <w:rPr>
          <w:rFonts w:ascii="Times New Roman" w:cs="Times New Roman" w:eastAsia="Times New Roman" w:hAnsi="Times New Roman"/>
          <w:sz w:val="22"/>
          <w:szCs w:val="22"/>
          <w:b w:val="1"/>
          <w:bCs w:val="1"/>
          <w:i w:val="1"/>
          <w:iCs w:val="1"/>
          <w:color w:val="auto"/>
        </w:rPr>
        <w:t>CEO</w:t>
      </w:r>
      <w:r>
        <w:rPr>
          <w:rFonts w:ascii="Times New Roman" w:cs="Times New Roman" w:eastAsia="Times New Roman" w:hAnsi="Times New Roman"/>
          <w:sz w:val="22"/>
          <w:szCs w:val="22"/>
          <w:color w:val="auto"/>
        </w:rPr>
        <w:t>”) a director, associate director or shadow director of a Singapore Subsidiary, you are subject to certain notification requirements under the Singapore Companies Act. Among these requirements is an obligation to notify the Singapore Subsidiary in writing when you receive an interest (e.g., RSU Awards or shares of Common Stock) in the Company or any Subsidiary within two business days of (i) its acquisition or disposal, (ii) any change in previously disclosed interest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when the shares of Common Stock are sold), or (iii) becoming a CEO, director, associate director or shadow director.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UNITED KINGDOM</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Withholding Obligations</w:t>
      </w:r>
      <w:r>
        <w:rPr>
          <w:rFonts w:ascii="Times New Roman" w:cs="Times New Roman" w:eastAsia="Times New Roman" w:hAnsi="Times New Roman"/>
          <w:sz w:val="22"/>
          <w:szCs w:val="22"/>
          <w:color w:val="auto"/>
        </w:rPr>
        <w:t>. This provision supplements Section 4 of the Global RSU Award Agreement:</w:t>
      </w:r>
    </w:p>
    <w:p>
      <w:pPr>
        <w:spacing w:after="0" w:line="193"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22"/>
          <w:szCs w:val="22"/>
          <w:color w:val="auto"/>
        </w:rPr>
        <w:t>Notwithstanding the indemnification provision in this Section 4, if you are a director or executive officer of the Company (within the meaning of Section 13(k) of the Exchange Act), the amount of any income tax due but not collected from or paid by you within ninety (90) days of the end of the U.K. tax year in which an event giving rise to the Tax-Related Items withholding obligation occurs may constitute an additional benefit to you on which additional income tax and National Insurance Contributions (“</w:t>
      </w:r>
      <w:r>
        <w:rPr>
          <w:rFonts w:ascii="Times New Roman" w:cs="Times New Roman" w:eastAsia="Times New Roman" w:hAnsi="Times New Roman"/>
          <w:sz w:val="22"/>
          <w:szCs w:val="22"/>
          <w:b w:val="1"/>
          <w:bCs w:val="1"/>
          <w:i w:val="1"/>
          <w:iCs w:val="1"/>
          <w:color w:val="auto"/>
        </w:rPr>
        <w:t>NICs</w:t>
      </w:r>
      <w:r>
        <w:rPr>
          <w:rFonts w:ascii="Times New Roman" w:cs="Times New Roman" w:eastAsia="Times New Roman" w:hAnsi="Times New Roman"/>
          <w:sz w:val="22"/>
          <w:szCs w:val="22"/>
          <w:color w:val="auto"/>
        </w:rPr>
        <w:t>”) may be payable. You will be responsible for reporting and paying any income tax due on this additional benefit directly to Her Majesty’s Revenue and Customs under the self-assessment regime and for reimbursing the Company and/or the Employer for the value of any employee NICs due on this additional benefit, which the Company and/or the Employer may recover at any time thereafter by any of the means referred to in this RSU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40"/>
          </w:cols>
          <w:pgMar w:left="320" w:top="122" w:right="33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4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[Executives]</w:t>
      </w:r>
    </w:p>
    <w:p>
      <w:pPr>
        <w:spacing w:after="0" w:line="200" w:lineRule="exact"/>
        <w:rPr>
          <w:sz w:val="20"/>
          <w:szCs w:val="20"/>
          <w:color w:val="auto"/>
        </w:rPr>
      </w:pPr>
    </w:p>
    <w:p>
      <w:pPr>
        <w:spacing w:after="0" w:line="31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Attachment II</w:t>
      </w:r>
    </w:p>
    <w:p>
      <w:pPr>
        <w:spacing w:after="0" w:line="20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2019 Equity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0120"/>
          </w:cols>
          <w:pgMar w:left="1440" w:top="122" w:right="33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4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[Executives]</w:t>
      </w:r>
    </w:p>
    <w:p>
      <w:pPr>
        <w:spacing w:after="0" w:line="200" w:lineRule="exact"/>
        <w:rPr>
          <w:sz w:val="20"/>
          <w:szCs w:val="20"/>
          <w:color w:val="auto"/>
        </w:rPr>
      </w:pPr>
    </w:p>
    <w:p>
      <w:pPr>
        <w:spacing w:after="0" w:line="34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Attachment III</w:t>
      </w:r>
    </w:p>
    <w:p>
      <w:pPr>
        <w:spacing w:after="0" w:line="258"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2"/>
          <w:szCs w:val="22"/>
          <w:b w:val="1"/>
          <w:bCs w:val="1"/>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0120"/>
          </w:cols>
          <w:pgMar w:left="1440" w:top="122" w:right="3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89" w:lineRule="exact"/>
        <w:rPr>
          <w:sz w:val="20"/>
          <w:szCs w:val="20"/>
          <w:color w:val="auto"/>
        </w:rPr>
      </w:pPr>
    </w:p>
    <w:p>
      <w:pPr>
        <w:jc w:val="center"/>
        <w:spacing w:after="0" w:line="266" w:lineRule="auto"/>
        <w:rPr>
          <w:sz w:val="20"/>
          <w:szCs w:val="20"/>
          <w:color w:val="auto"/>
        </w:rPr>
      </w:pPr>
      <w:r>
        <w:rPr>
          <w:rFonts w:ascii="Times New Roman" w:cs="Times New Roman" w:eastAsia="Times New Roman" w:hAnsi="Times New Roman"/>
          <w:sz w:val="18"/>
          <w:szCs w:val="18"/>
          <w:color w:val="auto"/>
        </w:rPr>
        <w:t>CERTIFICATION OF CHIEF EXECUTIVE OFFICER PURSUANT TO EXCHANGE ACT RULES 13a-14(a) AND 15d-14(a) AS ADOPTED PURSUANT TO SECTION 302 OF THE SARBANES-OXLEY ACT OF 2002</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Eric S. Yuan, certify that:</w:t>
      </w:r>
    </w:p>
    <w:p>
      <w:pPr>
        <w:spacing w:after="0" w:line="185" w:lineRule="exact"/>
        <w:rPr>
          <w:sz w:val="20"/>
          <w:szCs w:val="20"/>
          <w:color w:val="auto"/>
        </w:rPr>
      </w:pPr>
    </w:p>
    <w:p>
      <w:pPr>
        <w:ind w:left="1300" w:hanging="644"/>
        <w:spacing w:after="0"/>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Zoom Video Communications, Inc.;</w:t>
      </w:r>
    </w:p>
    <w:p>
      <w:pPr>
        <w:spacing w:after="0" w:line="184" w:lineRule="exact"/>
        <w:rPr>
          <w:rFonts w:ascii="Times New Roman" w:cs="Times New Roman" w:eastAsia="Times New Roman" w:hAnsi="Times New Roman"/>
          <w:sz w:val="18"/>
          <w:szCs w:val="18"/>
          <w:color w:val="auto"/>
        </w:rPr>
      </w:pPr>
    </w:p>
    <w:p>
      <w:pPr>
        <w:ind w:left="1300" w:right="160" w:hanging="644"/>
        <w:spacing w:after="0" w:line="266" w:lineRule="auto"/>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1300" w:right="220" w:hanging="644"/>
        <w:spacing w:after="0" w:line="312" w:lineRule="auto"/>
        <w:tabs>
          <w:tab w:leader="none" w:pos="130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9" w:lineRule="exact"/>
        <w:rPr>
          <w:rFonts w:ascii="Times New Roman" w:cs="Times New Roman" w:eastAsia="Times New Roman" w:hAnsi="Times New Roman"/>
          <w:sz w:val="17"/>
          <w:szCs w:val="17"/>
          <w:color w:val="auto"/>
        </w:rPr>
      </w:pPr>
    </w:p>
    <w:p>
      <w:pPr>
        <w:ind w:left="1300" w:right="240" w:hanging="644"/>
        <w:spacing w:after="0" w:line="282" w:lineRule="auto"/>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21" w:lineRule="exact"/>
        <w:rPr>
          <w:rFonts w:ascii="Times New Roman" w:cs="Times New Roman" w:eastAsia="Times New Roman" w:hAnsi="Times New Roman"/>
          <w:sz w:val="18"/>
          <w:szCs w:val="18"/>
          <w:color w:val="auto"/>
        </w:rPr>
      </w:pPr>
    </w:p>
    <w:p>
      <w:pPr>
        <w:ind w:left="1960" w:right="80" w:hanging="656"/>
        <w:spacing w:after="0" w:line="266" w:lineRule="auto"/>
        <w:tabs>
          <w:tab w:leader="none" w:pos="195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Times New Roman" w:cs="Times New Roman" w:eastAsia="Times New Roman" w:hAnsi="Times New Roman"/>
          <w:sz w:val="18"/>
          <w:szCs w:val="18"/>
          <w:color w:val="auto"/>
        </w:rPr>
      </w:pPr>
    </w:p>
    <w:p>
      <w:pPr>
        <w:ind w:left="1960" w:hanging="656"/>
        <w:spacing w:after="0" w:line="266" w:lineRule="auto"/>
        <w:tabs>
          <w:tab w:leader="none" w:pos="19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auto"/>
        </w:rPr>
      </w:pPr>
    </w:p>
    <w:p>
      <w:pPr>
        <w:ind w:left="1960" w:right="320" w:hanging="656"/>
        <w:spacing w:after="0" w:line="266" w:lineRule="auto"/>
        <w:tabs>
          <w:tab w:leader="none" w:pos="195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1300" w:right="140" w:hanging="644"/>
        <w:spacing w:after="0" w:line="266" w:lineRule="auto"/>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8" w:lineRule="exact"/>
        <w:rPr>
          <w:rFonts w:ascii="Times New Roman" w:cs="Times New Roman" w:eastAsia="Times New Roman" w:hAnsi="Times New Roman"/>
          <w:sz w:val="18"/>
          <w:szCs w:val="18"/>
          <w:color w:val="auto"/>
        </w:rPr>
      </w:pPr>
    </w:p>
    <w:p>
      <w:pPr>
        <w:ind w:left="1960" w:right="80" w:hanging="656"/>
        <w:spacing w:after="0" w:line="266" w:lineRule="auto"/>
        <w:tabs>
          <w:tab w:leader="none" w:pos="195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8"/>
          <w:szCs w:val="18"/>
          <w:color w:val="auto"/>
        </w:rPr>
      </w:pPr>
    </w:p>
    <w:p>
      <w:pPr>
        <w:ind w:left="1960" w:right="80" w:hanging="656"/>
        <w:spacing w:after="0" w:line="282" w:lineRule="auto"/>
        <w:tabs>
          <w:tab w:leader="none" w:pos="19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b w:val="1"/>
          <w:bCs w:val="1"/>
          <w:color w:val="auto"/>
        </w:rPr>
        <w:t>ZOOM VIDEO COMMUNICATIONS, INC.</w:t>
      </w:r>
    </w:p>
    <w:p>
      <w:pPr>
        <w:spacing w:after="0" w:line="3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7260" w:type="dxa"/>
            <w:vAlign w:val="bottom"/>
          </w:tcPr>
          <w:p>
            <w:pPr>
              <w:ind w:left="6560"/>
              <w:spacing w:after="0"/>
              <w:rPr>
                <w:sz w:val="20"/>
                <w:szCs w:val="20"/>
                <w:color w:val="auto"/>
              </w:rPr>
            </w:pPr>
            <w:r>
              <w:rPr>
                <w:rFonts w:ascii="Times New Roman" w:cs="Times New Roman" w:eastAsia="Times New Roman" w:hAnsi="Times New Roman"/>
                <w:sz w:val="18"/>
                <w:szCs w:val="18"/>
                <w:color w:val="auto"/>
              </w:rPr>
              <w:t>By:</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Eric S. Yuan</w:t>
            </w:r>
          </w:p>
        </w:tc>
      </w:tr>
      <w:tr>
        <w:trPr>
          <w:trHeight w:val="218"/>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3, 2020</w:t>
            </w: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Eric S. Yuan</w:t>
            </w:r>
          </w:p>
        </w:tc>
      </w:tr>
      <w:tr>
        <w:trPr>
          <w:trHeight w:val="228"/>
        </w:trPr>
        <w:tc>
          <w:tcPr>
            <w:tcW w:w="726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6"/>
        </w:trPr>
        <w:tc>
          <w:tcPr>
            <w:tcW w:w="726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bl>
    <w:p>
      <w:pPr>
        <w:sectPr>
          <w:pgSz w:w="11900" w:h="16838" w:orient="portrait"/>
          <w:cols w:equalWidth="0" w:num="1">
            <w:col w:w="11240"/>
          </w:cols>
          <w:pgMar w:left="320" w:top="887" w:right="33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2" w:lineRule="exact"/>
        <w:rPr>
          <w:sz w:val="20"/>
          <w:szCs w:val="20"/>
          <w:color w:val="auto"/>
        </w:rPr>
      </w:pPr>
    </w:p>
    <w:p>
      <w:pPr>
        <w:jc w:val="center"/>
        <w:spacing w:after="0" w:line="266" w:lineRule="auto"/>
        <w:rPr>
          <w:sz w:val="20"/>
          <w:szCs w:val="20"/>
          <w:color w:val="auto"/>
        </w:rPr>
      </w:pPr>
      <w:r>
        <w:rPr>
          <w:rFonts w:ascii="Times New Roman" w:cs="Times New Roman" w:eastAsia="Times New Roman" w:hAnsi="Times New Roman"/>
          <w:sz w:val="18"/>
          <w:szCs w:val="18"/>
          <w:color w:val="auto"/>
        </w:rPr>
        <w:t>CERTIFICATION OF CHIEF FINANCIAL OFFICER PURSUANT TO EXCHANGE ACT RULES 13a-14(a) AND 15d-14(a) AS ADOPTED PURSUANT TO SECTION 302 OF THE SARBANES-OXLEY ACT OF 2002</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Kelly Steckelberg, certify that:</w:t>
      </w:r>
    </w:p>
    <w:p>
      <w:pPr>
        <w:spacing w:after="0" w:line="185" w:lineRule="exact"/>
        <w:rPr>
          <w:sz w:val="20"/>
          <w:szCs w:val="20"/>
          <w:color w:val="auto"/>
        </w:rPr>
      </w:pPr>
    </w:p>
    <w:p>
      <w:pPr>
        <w:ind w:left="1300" w:hanging="644"/>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Zoom Video Communications, Inc.;</w:t>
      </w:r>
    </w:p>
    <w:p>
      <w:pPr>
        <w:spacing w:after="0" w:line="198" w:lineRule="exact"/>
        <w:rPr>
          <w:rFonts w:ascii="Times New Roman" w:cs="Times New Roman" w:eastAsia="Times New Roman" w:hAnsi="Times New Roman"/>
          <w:sz w:val="18"/>
          <w:szCs w:val="18"/>
          <w:color w:val="auto"/>
        </w:rPr>
      </w:pPr>
    </w:p>
    <w:p>
      <w:pPr>
        <w:ind w:left="1300" w:right="160" w:hanging="644"/>
        <w:spacing w:after="0" w:line="266" w:lineRule="auto"/>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1300" w:right="220" w:hanging="644"/>
        <w:spacing w:after="0" w:line="312" w:lineRule="auto"/>
        <w:tabs>
          <w:tab w:leader="none" w:pos="13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9" w:lineRule="exact"/>
        <w:rPr>
          <w:rFonts w:ascii="Times New Roman" w:cs="Times New Roman" w:eastAsia="Times New Roman" w:hAnsi="Times New Roman"/>
          <w:sz w:val="17"/>
          <w:szCs w:val="17"/>
          <w:color w:val="auto"/>
        </w:rPr>
      </w:pPr>
    </w:p>
    <w:p>
      <w:pPr>
        <w:ind w:left="1300" w:right="240" w:hanging="644"/>
        <w:spacing w:after="0" w:line="282" w:lineRule="auto"/>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34" w:lineRule="exact"/>
        <w:rPr>
          <w:rFonts w:ascii="Times New Roman" w:cs="Times New Roman" w:eastAsia="Times New Roman" w:hAnsi="Times New Roman"/>
          <w:sz w:val="18"/>
          <w:szCs w:val="18"/>
          <w:color w:val="auto"/>
        </w:rPr>
      </w:pPr>
    </w:p>
    <w:p>
      <w:pPr>
        <w:ind w:left="1960" w:right="80" w:hanging="656"/>
        <w:spacing w:after="0" w:line="266" w:lineRule="auto"/>
        <w:tabs>
          <w:tab w:leader="none" w:pos="195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1960" w:hanging="656"/>
        <w:spacing w:after="0" w:line="266" w:lineRule="auto"/>
        <w:tabs>
          <w:tab w:leader="none" w:pos="19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auto"/>
        </w:rPr>
      </w:pPr>
    </w:p>
    <w:p>
      <w:pPr>
        <w:ind w:left="1960" w:right="320" w:hanging="656"/>
        <w:spacing w:after="0" w:line="266" w:lineRule="auto"/>
        <w:tabs>
          <w:tab w:leader="none" w:pos="195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Times New Roman" w:cs="Times New Roman" w:eastAsia="Times New Roman" w:hAnsi="Times New Roman"/>
          <w:sz w:val="18"/>
          <w:szCs w:val="18"/>
          <w:color w:val="auto"/>
        </w:rPr>
      </w:pPr>
    </w:p>
    <w:p>
      <w:pPr>
        <w:ind w:left="1300" w:right="140" w:hanging="644"/>
        <w:spacing w:after="0" w:line="266" w:lineRule="auto"/>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8"/>
          <w:szCs w:val="18"/>
          <w:color w:val="auto"/>
        </w:rPr>
      </w:pPr>
    </w:p>
    <w:p>
      <w:pPr>
        <w:ind w:left="1960" w:right="80" w:hanging="656"/>
        <w:spacing w:after="0" w:line="266" w:lineRule="auto"/>
        <w:tabs>
          <w:tab w:leader="none" w:pos="195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8"/>
          <w:szCs w:val="18"/>
          <w:color w:val="auto"/>
        </w:rPr>
      </w:pPr>
    </w:p>
    <w:p>
      <w:pPr>
        <w:ind w:left="1960" w:right="80" w:hanging="656"/>
        <w:spacing w:after="0" w:line="282" w:lineRule="auto"/>
        <w:tabs>
          <w:tab w:leader="none" w:pos="19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ZOOM VIDEO COMMUNICATIONS, INC.</w:t>
      </w: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240" w:type="dxa"/>
            <w:vAlign w:val="bottom"/>
          </w:tcPr>
          <w:p>
            <w:pPr>
              <w:ind w:left="6720"/>
              <w:spacing w:after="0"/>
              <w:rPr>
                <w:sz w:val="20"/>
                <w:szCs w:val="20"/>
                <w:color w:val="auto"/>
              </w:rPr>
            </w:pPr>
            <w:r>
              <w:rPr>
                <w:rFonts w:ascii="Times New Roman" w:cs="Times New Roman" w:eastAsia="Times New Roman" w:hAnsi="Times New Roman"/>
                <w:sz w:val="18"/>
                <w:szCs w:val="18"/>
                <w:color w:val="auto"/>
              </w:rPr>
              <w:t>By:</w:t>
            </w:r>
          </w:p>
        </w:tc>
        <w:tc>
          <w:tcPr>
            <w:tcW w:w="3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Kelly Steckelberg</w:t>
            </w:r>
          </w:p>
        </w:tc>
      </w:tr>
      <w:tr>
        <w:trPr>
          <w:trHeight w:val="218"/>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3, 2020</w:t>
            </w:r>
          </w:p>
        </w:tc>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Kelly Steckelberg</w:t>
            </w:r>
          </w:p>
        </w:tc>
      </w:tr>
      <w:tr>
        <w:trPr>
          <w:trHeight w:val="228"/>
        </w:trPr>
        <w:tc>
          <w:tcPr>
            <w:tcW w:w="7240" w:type="dxa"/>
            <w:vAlign w:val="bottom"/>
          </w:tcPr>
          <w:p>
            <w:pPr>
              <w:spacing w:after="0"/>
              <w:rPr>
                <w:sz w:val="19"/>
                <w:szCs w:val="19"/>
                <w:color w:val="auto"/>
              </w:rPr>
            </w:pPr>
          </w:p>
        </w:tc>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7240" w:type="dxa"/>
            <w:vAlign w:val="bottom"/>
          </w:tcPr>
          <w:p>
            <w:pPr>
              <w:spacing w:after="0"/>
              <w:rPr>
                <w:sz w:val="20"/>
                <w:szCs w:val="20"/>
                <w:color w:val="auto"/>
              </w:rPr>
            </w:pPr>
          </w:p>
        </w:tc>
        <w:tc>
          <w:tcPr>
            <w:tcW w:w="39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bl>
    <w:p>
      <w:pPr>
        <w:sectPr>
          <w:pgSz w:w="11900" w:h="16838" w:orient="portrait"/>
          <w:cols w:equalWidth="0" w:num="1">
            <w:col w:w="11240"/>
          </w:cols>
          <w:pgMar w:left="320" w:top="1062" w:right="33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 SECTION 906 OF THE SARBANES-OXLEY ACT OF 2002</w:t>
      </w:r>
    </w:p>
    <w:p>
      <w:pPr>
        <w:spacing w:after="0" w:line="200" w:lineRule="exact"/>
        <w:rPr>
          <w:sz w:val="20"/>
          <w:szCs w:val="20"/>
          <w:color w:val="auto"/>
        </w:rPr>
      </w:pPr>
    </w:p>
    <w:p>
      <w:pPr>
        <w:spacing w:after="0" w:line="39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 Eric S. Yuan, certify, pursuant to 18 U.S.C. Section 1350, as adopted pursuant to Section 906 of the Sarbanes-Oxley Act of 2002, that the Quarterly Report on Form 10-Q of Zoom Video Communications, Inc. for the fiscal quarter ended October 31, 2020 fully complies with the requirements of Section 13(a) or 15(d) of the Securities Exchange Act of 1934 and that information contained in such Quarterly Report on Form 10-Q fairly presents, in all material respects, the financial condition and results of operations of Zoom Video Communications, Inc.</w:t>
      </w:r>
    </w:p>
    <w:tbl>
      <w:tblPr>
        <w:tblLayout w:type="fixed"/>
        <w:tblInd w:w="20" w:type="dxa"/>
        <w:tblCellMar>
          <w:top w:w="0" w:type="dxa"/>
          <w:left w:w="0" w:type="dxa"/>
          <w:bottom w:w="0" w:type="dxa"/>
          <w:right w:w="0" w:type="dxa"/>
        </w:tblCellMar>
      </w:tblPr>
      <w:tr>
        <w:trPr>
          <w:trHeight w:val="238"/>
        </w:trPr>
        <w:tc>
          <w:tcPr>
            <w:tcW w:w="4240" w:type="dxa"/>
            <w:vAlign w:val="bottom"/>
          </w:tcPr>
          <w:p>
            <w:pPr>
              <w:spacing w:after="0"/>
              <w:rPr>
                <w:sz w:val="20"/>
                <w:szCs w:val="20"/>
                <w:color w:val="auto"/>
              </w:rPr>
            </w:pPr>
          </w:p>
        </w:tc>
        <w:tc>
          <w:tcPr>
            <w:tcW w:w="6840" w:type="dxa"/>
            <w:vAlign w:val="bottom"/>
            <w:gridSpan w:val="2"/>
          </w:tcPr>
          <w:p>
            <w:pPr>
              <w:ind w:left="2480"/>
              <w:spacing w:after="0"/>
              <w:rPr>
                <w:sz w:val="20"/>
                <w:szCs w:val="20"/>
                <w:color w:val="auto"/>
              </w:rPr>
            </w:pPr>
            <w:r>
              <w:rPr>
                <w:rFonts w:ascii="Times New Roman" w:cs="Times New Roman" w:eastAsia="Times New Roman" w:hAnsi="Times New Roman"/>
                <w:sz w:val="18"/>
                <w:szCs w:val="18"/>
                <w:b w:val="1"/>
                <w:bCs w:val="1"/>
                <w:color w:val="auto"/>
              </w:rPr>
              <w:t>ZOOM VIDEO COMMUNICATIONS, INC.</w:t>
            </w:r>
          </w:p>
        </w:tc>
      </w:tr>
      <w:tr>
        <w:trPr>
          <w:trHeight w:val="459"/>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3, 2020</w:t>
            </w:r>
          </w:p>
        </w:tc>
        <w:tc>
          <w:tcPr>
            <w:tcW w:w="6840" w:type="dxa"/>
            <w:vAlign w:val="bottom"/>
            <w:gridSpan w:val="2"/>
          </w:tcPr>
          <w:p>
            <w:pPr>
              <w:ind w:left="2480"/>
              <w:spacing w:after="0"/>
              <w:rPr>
                <w:sz w:val="20"/>
                <w:szCs w:val="20"/>
                <w:color w:val="auto"/>
              </w:rPr>
            </w:pPr>
            <w:r>
              <w:rPr>
                <w:rFonts w:ascii="Times New Roman" w:cs="Times New Roman" w:eastAsia="Times New Roman" w:hAnsi="Times New Roman"/>
                <w:sz w:val="18"/>
                <w:szCs w:val="18"/>
                <w:color w:val="auto"/>
              </w:rPr>
              <w:t>By:  /s/ Eric S. Yuan</w:t>
            </w:r>
          </w:p>
        </w:tc>
      </w:tr>
      <w:tr>
        <w:trPr>
          <w:trHeight w:val="218"/>
        </w:trPr>
        <w:tc>
          <w:tcPr>
            <w:tcW w:w="42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39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Eric S. Yuan</w:t>
            </w:r>
          </w:p>
        </w:tc>
      </w:tr>
      <w:tr>
        <w:trPr>
          <w:trHeight w:val="228"/>
        </w:trPr>
        <w:tc>
          <w:tcPr>
            <w:tcW w:w="424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6"/>
        </w:trPr>
        <w:tc>
          <w:tcPr>
            <w:tcW w:w="424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39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 Kelly Steckelberg, certify, pursuant to 18 U.S.C. Section 1350, as adopted pursuant to Section 906 of the Sarbanes-Oxley Act of 2002, that the Quarterly Report on Form 10-Q of Zoom Video Communications, Inc. for the fiscal quarter ended October 31, 2020 fully complies with the requirements of Section 13(a) or 15(d) of the Securities Exchange Act of 1934 and that information contained in such Quarterly Report on Form 10-Q fairly presents, in all material respects, the financial condition and results of operations of Zoom Video Communications, Inc.</w:t>
      </w:r>
    </w:p>
    <w:tbl>
      <w:tblPr>
        <w:tblLayout w:type="fixed"/>
        <w:tblInd w:w="20" w:type="dxa"/>
        <w:tblCellMar>
          <w:top w:w="0" w:type="dxa"/>
          <w:left w:w="0" w:type="dxa"/>
          <w:bottom w:w="0" w:type="dxa"/>
          <w:right w:w="0" w:type="dxa"/>
        </w:tblCellMar>
      </w:tblPr>
      <w:tr>
        <w:trPr>
          <w:trHeight w:val="238"/>
        </w:trPr>
        <w:tc>
          <w:tcPr>
            <w:tcW w:w="4240" w:type="dxa"/>
            <w:vAlign w:val="bottom"/>
          </w:tcPr>
          <w:p>
            <w:pPr>
              <w:spacing w:after="0"/>
              <w:rPr>
                <w:sz w:val="20"/>
                <w:szCs w:val="20"/>
                <w:color w:val="auto"/>
              </w:rPr>
            </w:pPr>
          </w:p>
        </w:tc>
        <w:tc>
          <w:tcPr>
            <w:tcW w:w="6840" w:type="dxa"/>
            <w:vAlign w:val="bottom"/>
            <w:gridSpan w:val="2"/>
          </w:tcPr>
          <w:p>
            <w:pPr>
              <w:ind w:left="2480"/>
              <w:spacing w:after="0"/>
              <w:rPr>
                <w:sz w:val="20"/>
                <w:szCs w:val="20"/>
                <w:color w:val="auto"/>
              </w:rPr>
            </w:pPr>
            <w:r>
              <w:rPr>
                <w:rFonts w:ascii="Times New Roman" w:cs="Times New Roman" w:eastAsia="Times New Roman" w:hAnsi="Times New Roman"/>
                <w:sz w:val="18"/>
                <w:szCs w:val="18"/>
                <w:b w:val="1"/>
                <w:bCs w:val="1"/>
                <w:color w:val="auto"/>
              </w:rPr>
              <w:t>ZOOM VIDEO COMMUNICATIONS, INC.</w:t>
            </w:r>
          </w:p>
        </w:tc>
      </w:tr>
      <w:tr>
        <w:trPr>
          <w:trHeight w:val="459"/>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3, 2020</w:t>
            </w:r>
          </w:p>
        </w:tc>
        <w:tc>
          <w:tcPr>
            <w:tcW w:w="6840" w:type="dxa"/>
            <w:vAlign w:val="bottom"/>
            <w:gridSpan w:val="2"/>
          </w:tcPr>
          <w:p>
            <w:pPr>
              <w:ind w:left="2480"/>
              <w:spacing w:after="0"/>
              <w:rPr>
                <w:sz w:val="20"/>
                <w:szCs w:val="20"/>
                <w:color w:val="auto"/>
              </w:rPr>
            </w:pPr>
            <w:r>
              <w:rPr>
                <w:rFonts w:ascii="Times New Roman" w:cs="Times New Roman" w:eastAsia="Times New Roman" w:hAnsi="Times New Roman"/>
                <w:sz w:val="18"/>
                <w:szCs w:val="18"/>
                <w:color w:val="auto"/>
              </w:rPr>
              <w:t>By:  /s/ Kelly Steckelberg</w:t>
            </w:r>
          </w:p>
        </w:tc>
      </w:tr>
      <w:tr>
        <w:trPr>
          <w:trHeight w:val="218"/>
        </w:trPr>
        <w:tc>
          <w:tcPr>
            <w:tcW w:w="42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39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Kelly Steckelberg</w:t>
            </w:r>
          </w:p>
        </w:tc>
      </w:tr>
      <w:tr>
        <w:trPr>
          <w:trHeight w:val="227"/>
        </w:trPr>
        <w:tc>
          <w:tcPr>
            <w:tcW w:w="424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424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39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1."/>
      <w:numFmt w:val="decimal"/>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1)"/>
      <w:numFmt w:val="decimal"/>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1"/>
      <w:numFmt w:val="decimal"/>
      <w:start w:val="104"/>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1."/>
      <w:numFmt w:val="decimal"/>
      <w:start w:val="1"/>
    </w:lvl>
    <w:lvl w:ilvl="1">
      <w:lvlJc w:val="left"/>
      <w:lvlText w:val="(%2)"/>
      <w:numFmt w:val="lowerLetter"/>
      <w:start w:val="1"/>
    </w:lvl>
  </w:abstractNum>
  <w:abstractNum w:abstractNumId="20">
    <w:nsid w:val="3A95F874"/>
    <w:multiLevelType w:val="hybridMultilevel"/>
    <w:lvl w:ilvl="0">
      <w:lvlJc w:val="left"/>
      <w:lvlText w:val="%1."/>
      <w:numFmt w:val="decimal"/>
      <w:start w:val="2"/>
    </w:lvl>
  </w:abstractNum>
  <w:abstractNum w:abstractNumId="21">
    <w:nsid w:val="8138641"/>
    <w:multiLevelType w:val="hybridMultilevel"/>
    <w:lvl w:ilvl="0">
      <w:lvlJc w:val="left"/>
      <w:lvlText w:val="%1."/>
      <w:numFmt w:val="decimal"/>
      <w:start w:val="3"/>
    </w:lvl>
    <w:lvl w:ilvl="1">
      <w:lvlJc w:val="left"/>
      <w:lvlText w:val="(%2)"/>
      <w:numFmt w:val="lowerLetter"/>
      <w:start w:val="1"/>
    </w:lvl>
  </w:abstractNum>
  <w:abstractNum w:abstractNumId="22">
    <w:nsid w:val="1E7FF521"/>
    <w:multiLevelType w:val="hybridMultilevel"/>
    <w:lvl w:ilvl="0">
      <w:lvlJc w:val="left"/>
      <w:lvlText w:val="(%1)"/>
      <w:numFmt w:val="lowerLetter"/>
      <w:start w:val="3"/>
    </w:lvl>
  </w:abstractNum>
  <w:abstractNum w:abstractNumId="23">
    <w:nsid w:val="7C3DBD3D"/>
    <w:multiLevelType w:val="hybridMultilevel"/>
    <w:lvl w:ilvl="0">
      <w:lvlJc w:val="left"/>
      <w:lvlText w:val="%1"/>
      <w:numFmt w:val="decimal"/>
      <w:start w:val="1"/>
    </w:lvl>
    <w:lvl w:ilvl="1">
      <w:lvlJc w:val="left"/>
      <w:lvlText w:val="(%2)"/>
      <w:numFmt w:val="lowerLetter"/>
      <w:start w:val="7"/>
    </w:lvl>
  </w:abstractNum>
  <w:abstractNum w:abstractNumId="24">
    <w:nsid w:val="737B8DDC"/>
    <w:multiLevelType w:val="hybridMultilevel"/>
    <w:lvl w:ilvl="0">
      <w:lvlJc w:val="left"/>
      <w:lvlText w:val="%1."/>
      <w:numFmt w:val="decimal"/>
      <w:start w:val="5"/>
    </w:lvl>
    <w:lvl w:ilvl="1">
      <w:lvlJc w:val="left"/>
      <w:lvlText w:val="(%2)"/>
      <w:numFmt w:val="lowerLetter"/>
      <w:start w:val="1"/>
    </w:lvl>
  </w:abstractNum>
  <w:abstractNum w:abstractNumId="25">
    <w:nsid w:val="6CEAF087"/>
    <w:multiLevelType w:val="hybridMultilevel"/>
    <w:lvl w:ilvl="0">
      <w:lvlJc w:val="left"/>
      <w:lvlText w:val="%1"/>
      <w:numFmt w:val="decimal"/>
      <w:start w:val="1"/>
    </w:lvl>
    <w:lvl w:ilvl="1">
      <w:lvlJc w:val="left"/>
      <w:lvlText w:val="(%2)"/>
      <w:numFmt w:val="lowerLetter"/>
      <w:start w:val="4"/>
    </w:lvl>
  </w:abstractNum>
  <w:abstractNum w:abstractNumId="26">
    <w:nsid w:val="22221A70"/>
    <w:multiLevelType w:val="hybridMultilevel"/>
    <w:lvl w:ilvl="0">
      <w:lvlJc w:val="left"/>
      <w:lvlText w:val="%1."/>
      <w:numFmt w:val="decimal"/>
      <w:start w:val="6"/>
    </w:lvl>
    <w:lvl w:ilvl="1">
      <w:lvlJc w:val="left"/>
      <w:lvlText w:val="(%2)"/>
      <w:numFmt w:val="lowerLetter"/>
      <w:start w:val="1"/>
    </w:lvl>
  </w:abstractNum>
  <w:abstractNum w:abstractNumId="27">
    <w:nsid w:val="4516DDE9"/>
    <w:multiLevelType w:val="hybridMultilevel"/>
    <w:lvl w:ilvl="0">
      <w:lvlJc w:val="left"/>
      <w:lvlText w:val="%1"/>
      <w:numFmt w:val="decimal"/>
      <w:start w:val="1"/>
    </w:lvl>
    <w:lvl w:ilvl="1">
      <w:lvlJc w:val="left"/>
      <w:lvlText w:val="(%2)"/>
      <w:numFmt w:val="lowerLetter"/>
      <w:start w:val="11"/>
    </w:lvl>
  </w:abstractNum>
  <w:abstractNum w:abstractNumId="28">
    <w:nsid w:val="3006C83E"/>
    <w:multiLevelType w:val="hybridMultilevel"/>
    <w:lvl w:ilvl="0">
      <w:lvlJc w:val="left"/>
      <w:lvlText w:val="%1."/>
      <w:numFmt w:val="decimal"/>
      <w:start w:val="7"/>
    </w:lvl>
    <w:lvl w:ilvl="1">
      <w:lvlJc w:val="left"/>
      <w:lvlText w:val="%2"/>
      <w:numFmt w:val="lowerLetter"/>
      <w:start w:val="1"/>
    </w:lvl>
  </w:abstractNum>
  <w:abstractNum w:abstractNumId="29">
    <w:nsid w:val="614FD4A1"/>
    <w:multiLevelType w:val="hybridMultilevel"/>
    <w:lvl w:ilvl="0">
      <w:lvlJc w:val="left"/>
      <w:lvlText w:val="%1."/>
      <w:numFmt w:val="decimal"/>
      <w:start w:val="11"/>
    </w:lvl>
    <w:lvl w:ilvl="1">
      <w:lvlJc w:val="left"/>
      <w:lvlText w:val="(%2)"/>
      <w:numFmt w:val="lowerLetter"/>
      <w:start w:val="1"/>
    </w:lvl>
  </w:abstractNum>
  <w:abstractNum w:abstractNumId="30">
    <w:nsid w:val="419AC241"/>
    <w:multiLevelType w:val="hybridMultilevel"/>
    <w:lvl w:ilvl="0">
      <w:lvlJc w:val="left"/>
      <w:lvlText w:val="(%1)"/>
      <w:numFmt w:val="lowerLetter"/>
      <w:start w:val="3"/>
    </w:lvl>
  </w:abstractNum>
  <w:abstractNum w:abstractNumId="31">
    <w:nsid w:val="5577F8E1"/>
    <w:multiLevelType w:val="hybridMultilevel"/>
    <w:lvl w:ilvl="0">
      <w:lvlJc w:val="left"/>
      <w:lvlText w:val="%1"/>
      <w:numFmt w:val="decimal"/>
      <w:start w:val="1"/>
    </w:lvl>
    <w:lvl w:ilvl="1">
      <w:lvlJc w:val="left"/>
      <w:lvlText w:val="(%2)"/>
      <w:numFmt w:val="lowerLetter"/>
      <w:start w:val="7"/>
    </w:lvl>
  </w:abstractNum>
  <w:abstractNum w:abstractNumId="32">
    <w:nsid w:val="440BADFC"/>
    <w:multiLevelType w:val="hybridMultilevel"/>
    <w:lvl w:ilvl="0">
      <w:lvlJc w:val="left"/>
      <w:lvlText w:val="%1."/>
      <w:numFmt w:val="decimal"/>
      <w:start w:val="15"/>
    </w:lvl>
    <w:lvl w:ilvl="1">
      <w:lvlJc w:val="left"/>
      <w:lvlText w:val="%2"/>
      <w:numFmt w:val="lowerLetter"/>
      <w:start w:val="1"/>
    </w:lvl>
  </w:abstractNum>
  <w:abstractNum w:abstractNumId="33">
    <w:nsid w:val="5072367"/>
    <w:multiLevelType w:val="hybridMultilevel"/>
    <w:lvl w:ilvl="0">
      <w:lvlJc w:val="left"/>
      <w:lvlText w:val="%1."/>
      <w:numFmt w:val="decimal"/>
      <w:start w:val="17"/>
    </w:lvl>
  </w:abstractNum>
  <w:abstractNum w:abstractNumId="34">
    <w:nsid w:val="3804823E"/>
    <w:multiLevelType w:val="hybridMultilevel"/>
    <w:lvl w:ilvl="0">
      <w:lvlJc w:val="left"/>
      <w:lvlText w:val="%1."/>
      <w:numFmt w:val="decimal"/>
      <w:start w:val="20"/>
    </w:lvl>
  </w:abstractNum>
  <w:abstractNum w:abstractNumId="35">
    <w:nsid w:val="77465F01"/>
    <w:multiLevelType w:val="hybridMultilevel"/>
    <w:lvl w:ilvl="0">
      <w:lvlJc w:val="left"/>
      <w:lvlText w:val="(%1)"/>
      <w:numFmt w:val="lowerLetter"/>
      <w:start w:val="10"/>
    </w:lvl>
  </w:abstractNum>
  <w:abstractNum w:abstractNumId="36">
    <w:nsid w:val="7724C67E"/>
    <w:multiLevelType w:val="hybridMultilevel"/>
    <w:lvl w:ilvl="0">
      <w:lvlJc w:val="left"/>
      <w:lvlText w:val="%1."/>
      <w:numFmt w:val="decimal"/>
      <w:start w:val="1"/>
    </w:lvl>
    <w:lvl w:ilvl="1">
      <w:lvlJc w:val="left"/>
      <w:lvlText w:val="%2."/>
      <w:numFmt w:val="lowerLetter"/>
      <w:start w:val="1"/>
    </w:lvl>
  </w:abstractNum>
  <w:abstractNum w:abstractNumId="37">
    <w:nsid w:val="5C482A9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95" Type="http://schemas.openxmlformats.org/officeDocument/2006/relationships/hyperlink" Target="http://www.sec.gov/Archives/edgar/data/1585521/000119312519115111/d736915dex31.htm" TargetMode="External"/><Relationship Id="rId96" Type="http://schemas.openxmlformats.org/officeDocument/2006/relationships/hyperlink" Target="http://www.sec.gov/Archives/edgar/data/1585521/000119312519099813/d642624dex3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2020-12-04T05:11:11Z</dcterms:created>
  <dcterms:modified xsi:type="dcterms:W3CDTF">2020-12-04T05:11:11Z</dcterms:modified>
</cp:coreProperties>
</file>