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408940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560" w:right="540" w:hanging="534"/>
        <w:spacing w:after="0" w:line="235" w:lineRule="auto"/>
        <w:tabs>
          <w:tab w:leader="none" w:pos="56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2023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500" w:hanging="534"/>
        <w:spacing w:after="0" w:line="235" w:lineRule="auto"/>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7480" w:type="dxa"/>
            <w:vAlign w:val="bottom"/>
            <w:gridSpan w:val="6"/>
          </w:tcPr>
          <w:p>
            <w:pPr>
              <w:ind w:left="3400"/>
              <w:spacing w:after="0"/>
              <w:rPr>
                <w:sz w:val="20"/>
                <w:szCs w:val="20"/>
                <w:color w:val="auto"/>
              </w:rPr>
            </w:pPr>
            <w:r>
              <w:rPr>
                <w:rFonts w:ascii="Arial" w:cs="Arial" w:eastAsia="Arial" w:hAnsi="Arial"/>
                <w:sz w:val="18"/>
                <w:szCs w:val="18"/>
                <w:b w:val="1"/>
                <w:bCs w:val="1"/>
                <w:color w:val="auto"/>
              </w:rPr>
              <w:t>FOR THE TRANSITION PERIOD FROM</w:t>
            </w: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TO</w:t>
            </w:r>
          </w:p>
        </w:tc>
      </w:tr>
      <w:tr>
        <w:trPr>
          <w:trHeight w:val="234"/>
        </w:trPr>
        <w:tc>
          <w:tcPr>
            <w:tcW w:w="3880" w:type="dxa"/>
            <w:vAlign w:val="bottom"/>
          </w:tcPr>
          <w:p>
            <w:pPr>
              <w:spacing w:after="0"/>
              <w:rPr>
                <w:sz w:val="20"/>
                <w:szCs w:val="20"/>
                <w:color w:val="auto"/>
              </w:rPr>
            </w:pPr>
          </w:p>
        </w:tc>
        <w:tc>
          <w:tcPr>
            <w:tcW w:w="36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Commission File Number 001-38865</w:t>
            </w:r>
          </w:p>
        </w:tc>
        <w:tc>
          <w:tcPr>
            <w:tcW w:w="3700" w:type="dxa"/>
            <w:vAlign w:val="bottom"/>
          </w:tcPr>
          <w:p>
            <w:pPr>
              <w:spacing w:after="0"/>
              <w:rPr>
                <w:sz w:val="20"/>
                <w:szCs w:val="20"/>
                <w:color w:val="auto"/>
              </w:rPr>
            </w:pPr>
          </w:p>
        </w:tc>
      </w:tr>
      <w:tr>
        <w:trPr>
          <w:trHeight w:val="186"/>
        </w:trPr>
        <w:tc>
          <w:tcPr>
            <w:tcW w:w="111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w:t>
            </w:r>
          </w:p>
        </w:tc>
      </w:tr>
      <w:tr>
        <w:trPr>
          <w:trHeight w:val="489"/>
        </w:trPr>
        <w:tc>
          <w:tcPr>
            <w:tcW w:w="11180" w:type="dxa"/>
            <w:vAlign w:val="bottom"/>
            <w:gridSpan w:val="7"/>
          </w:tcPr>
          <w:p>
            <w:pPr>
              <w:jc w:val="center"/>
              <w:spacing w:after="0"/>
              <w:rPr>
                <w:sz w:val="20"/>
                <w:szCs w:val="20"/>
                <w:color w:val="auto"/>
              </w:rPr>
            </w:pPr>
            <w:r>
              <w:rPr>
                <w:rFonts w:ascii="Arial" w:cs="Arial" w:eastAsia="Arial" w:hAnsi="Arial"/>
                <w:sz w:val="38"/>
                <w:szCs w:val="38"/>
                <w:b w:val="1"/>
                <w:bCs w:val="1"/>
                <w:color w:val="auto"/>
                <w:w w:val="90"/>
              </w:rPr>
              <w:t>Zoom Video Communications, Inc.</w:t>
            </w:r>
          </w:p>
        </w:tc>
      </w:tr>
      <w:tr>
        <w:trPr>
          <w:trHeight w:val="175"/>
        </w:trPr>
        <w:tc>
          <w:tcPr>
            <w:tcW w:w="3880" w:type="dxa"/>
            <w:vAlign w:val="bottom"/>
          </w:tcPr>
          <w:p>
            <w:pPr>
              <w:spacing w:after="0"/>
              <w:rPr>
                <w:sz w:val="15"/>
                <w:szCs w:val="15"/>
                <w:color w:val="auto"/>
              </w:rPr>
            </w:pPr>
          </w:p>
        </w:tc>
        <w:tc>
          <w:tcPr>
            <w:tcW w:w="3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700" w:type="dxa"/>
            <w:vAlign w:val="bottom"/>
          </w:tcPr>
          <w:p>
            <w:pPr>
              <w:spacing w:after="0"/>
              <w:rPr>
                <w:sz w:val="15"/>
                <w:szCs w:val="15"/>
                <w:color w:val="auto"/>
              </w:rPr>
            </w:pPr>
          </w:p>
        </w:tc>
      </w:tr>
      <w:tr>
        <w:trPr>
          <w:trHeight w:val="186"/>
        </w:trPr>
        <w:tc>
          <w:tcPr>
            <w:tcW w:w="111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w:t>
            </w:r>
          </w:p>
        </w:tc>
      </w:tr>
      <w:tr>
        <w:trPr>
          <w:trHeight w:val="259"/>
        </w:trPr>
        <w:tc>
          <w:tcPr>
            <w:tcW w:w="3880" w:type="dxa"/>
            <w:vAlign w:val="bottom"/>
          </w:tcPr>
          <w:p>
            <w:pPr>
              <w:jc w:val="center"/>
              <w:ind w:left="1592"/>
              <w:spacing w:after="0"/>
              <w:rPr>
                <w:sz w:val="20"/>
                <w:szCs w:val="20"/>
                <w:color w:val="auto"/>
              </w:rPr>
            </w:pPr>
            <w:r>
              <w:rPr>
                <w:rFonts w:ascii="Arial" w:cs="Arial" w:eastAsia="Arial" w:hAnsi="Arial"/>
                <w:sz w:val="18"/>
                <w:szCs w:val="18"/>
                <w:b w:val="1"/>
                <w:bCs w:val="1"/>
                <w:color w:val="auto"/>
                <w:w w:val="91"/>
              </w:rPr>
              <w:t>Delaware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61-1648780</w:t>
            </w:r>
          </w:p>
        </w:tc>
      </w:tr>
      <w:tr>
        <w:trPr>
          <w:trHeight w:val="144"/>
        </w:trPr>
        <w:tc>
          <w:tcPr>
            <w:tcW w:w="3880" w:type="dxa"/>
            <w:vAlign w:val="bottom"/>
          </w:tcPr>
          <w:p>
            <w:pPr>
              <w:jc w:val="center"/>
              <w:ind w:left="159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700" w:type="dxa"/>
            <w:vAlign w:val="bottom"/>
          </w:tcPr>
          <w:p>
            <w:pPr>
              <w:jc w:val="center"/>
              <w:ind w:right="181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80" w:type="dxa"/>
            <w:vAlign w:val="bottom"/>
          </w:tcPr>
          <w:p>
            <w:pPr>
              <w:jc w:val="center"/>
              <w:ind w:left="1592"/>
              <w:spacing w:after="0"/>
              <w:rPr>
                <w:sz w:val="20"/>
                <w:szCs w:val="20"/>
                <w:color w:val="auto"/>
              </w:rPr>
            </w:pPr>
            <w:r>
              <w:rPr>
                <w:rFonts w:ascii="Arial" w:cs="Arial" w:eastAsia="Arial" w:hAnsi="Arial"/>
                <w:sz w:val="14"/>
                <w:szCs w:val="14"/>
                <w:b w:val="1"/>
                <w:bCs w:val="1"/>
                <w:color w:val="auto"/>
                <w:w w:val="93"/>
              </w:rPr>
              <w:t>of incorporation or organization)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1"/>
              </w:rPr>
              <w:t>55 Almaden Boulevard, 6</w:t>
            </w:r>
            <w:r>
              <w:rPr>
                <w:rFonts w:ascii="Arial" w:cs="Arial" w:eastAsia="Arial" w:hAnsi="Arial"/>
                <w:sz w:val="16"/>
                <w:szCs w:val="16"/>
                <w:b w:val="1"/>
                <w:bCs w:val="1"/>
                <w:color w:val="auto"/>
                <w:w w:val="91"/>
              </w:rPr>
              <w:t>th</w:t>
            </w:r>
            <w:r>
              <w:rPr>
                <w:rFonts w:ascii="Arial" w:cs="Arial" w:eastAsia="Arial" w:hAnsi="Arial"/>
                <w:sz w:val="18"/>
                <w:szCs w:val="18"/>
                <w:b w:val="1"/>
                <w:bCs w:val="1"/>
                <w:color w:val="auto"/>
                <w:w w:val="91"/>
              </w:rPr>
              <w:t xml:space="preserve"> Floor</w:t>
            </w:r>
          </w:p>
        </w:tc>
        <w:tc>
          <w:tcPr>
            <w:tcW w:w="3700" w:type="dxa"/>
            <w:vAlign w:val="bottom"/>
          </w:tcPr>
          <w:p>
            <w:pPr>
              <w:spacing w:after="0"/>
              <w:rPr>
                <w:sz w:val="24"/>
                <w:szCs w:val="24"/>
                <w:color w:val="auto"/>
              </w:rPr>
            </w:pPr>
          </w:p>
        </w:tc>
      </w:tr>
      <w:tr>
        <w:trPr>
          <w:trHeight w:val="216"/>
        </w:trPr>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San Jose, California 95113</w:t>
            </w:r>
          </w:p>
        </w:tc>
        <w:tc>
          <w:tcPr>
            <w:tcW w:w="3700" w:type="dxa"/>
            <w:vAlign w:val="bottom"/>
          </w:tcPr>
          <w:p>
            <w:pPr>
              <w:spacing w:after="0"/>
              <w:rPr>
                <w:sz w:val="18"/>
                <w:szCs w:val="18"/>
                <w:color w:val="auto"/>
              </w:rPr>
            </w:pPr>
          </w:p>
        </w:tc>
      </w:tr>
      <w:tr>
        <w:trPr>
          <w:trHeight w:val="182"/>
        </w:trPr>
        <w:tc>
          <w:tcPr>
            <w:tcW w:w="3880" w:type="dxa"/>
            <w:vAlign w:val="bottom"/>
          </w:tcPr>
          <w:p>
            <w:pPr>
              <w:spacing w:after="0"/>
              <w:rPr>
                <w:sz w:val="15"/>
                <w:szCs w:val="15"/>
                <w:color w:val="auto"/>
              </w:rPr>
            </w:pPr>
          </w:p>
        </w:tc>
        <w:tc>
          <w:tcPr>
            <w:tcW w:w="3600" w:type="dxa"/>
            <w:vAlign w:val="bottom"/>
            <w:gridSpan w:val="5"/>
          </w:tcPr>
          <w:p>
            <w:pPr>
              <w:jc w:val="center"/>
              <w:ind w:right="180"/>
              <w:spacing w:after="0"/>
              <w:rPr>
                <w:sz w:val="20"/>
                <w:szCs w:val="20"/>
                <w:color w:val="auto"/>
              </w:rPr>
            </w:pPr>
            <w:r>
              <w:rPr>
                <w:rFonts w:ascii="Arial" w:cs="Arial" w:eastAsia="Arial" w:hAnsi="Arial"/>
                <w:sz w:val="14"/>
                <w:szCs w:val="14"/>
                <w:b w:val="1"/>
                <w:bCs w:val="1"/>
                <w:i w:val="1"/>
                <w:iCs w:val="1"/>
                <w:color w:val="auto"/>
                <w:w w:val="88"/>
              </w:rPr>
              <w:t>(Address of principal executive offices and Zip Code)</w:t>
            </w:r>
          </w:p>
        </w:tc>
        <w:tc>
          <w:tcPr>
            <w:tcW w:w="3700" w:type="dxa"/>
            <w:vAlign w:val="bottom"/>
          </w:tcPr>
          <w:p>
            <w:pPr>
              <w:spacing w:after="0"/>
              <w:rPr>
                <w:sz w:val="15"/>
                <w:szCs w:val="15"/>
                <w:color w:val="auto"/>
              </w:rPr>
            </w:pPr>
          </w:p>
        </w:tc>
      </w:tr>
      <w:tr>
        <w:trPr>
          <w:trHeight w:val="290"/>
        </w:trPr>
        <w:tc>
          <w:tcPr>
            <w:tcW w:w="3880" w:type="dxa"/>
            <w:vAlign w:val="bottom"/>
          </w:tcPr>
          <w:p>
            <w:pPr>
              <w:spacing w:after="0"/>
              <w:rPr>
                <w:sz w:val="24"/>
                <w:szCs w:val="24"/>
                <w:color w:val="auto"/>
              </w:rPr>
            </w:pPr>
          </w:p>
        </w:tc>
        <w:tc>
          <w:tcPr>
            <w:tcW w:w="2960" w:type="dxa"/>
            <w:vAlign w:val="bottom"/>
            <w:gridSpan w:val="3"/>
          </w:tcPr>
          <w:p>
            <w:pPr>
              <w:jc w:val="center"/>
              <w:ind w:left="361"/>
              <w:spacing w:after="0"/>
              <w:rPr>
                <w:sz w:val="20"/>
                <w:szCs w:val="20"/>
                <w:color w:val="auto"/>
              </w:rPr>
            </w:pPr>
            <w:r>
              <w:rPr>
                <w:rFonts w:ascii="Arial" w:cs="Arial" w:eastAsia="Arial" w:hAnsi="Arial"/>
                <w:sz w:val="18"/>
                <w:szCs w:val="18"/>
                <w:b w:val="1"/>
                <w:bCs w:val="1"/>
                <w:color w:val="auto"/>
                <w:w w:val="90"/>
              </w:rPr>
              <w:t>(888) 799-9666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72"/>
        </w:trPr>
        <w:tc>
          <w:tcPr>
            <w:tcW w:w="3880" w:type="dxa"/>
            <w:vAlign w:val="bottom"/>
          </w:tcPr>
          <w:p>
            <w:pPr>
              <w:spacing w:after="0"/>
              <w:rPr>
                <w:sz w:val="14"/>
                <w:szCs w:val="14"/>
                <w:color w:val="auto"/>
              </w:rPr>
            </w:pPr>
          </w:p>
        </w:tc>
        <w:tc>
          <w:tcPr>
            <w:tcW w:w="3600" w:type="dxa"/>
            <w:vAlign w:val="bottom"/>
            <w:gridSpan w:val="5"/>
          </w:tcPr>
          <w:p>
            <w:pPr>
              <w:jc w:val="center"/>
              <w:ind w:right="200"/>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3700" w:type="dxa"/>
            <w:vAlign w:val="bottom"/>
          </w:tcPr>
          <w:p>
            <w:pPr>
              <w:spacing w:after="0"/>
              <w:rPr>
                <w:sz w:val="14"/>
                <w:szCs w:val="14"/>
                <w:color w:val="auto"/>
              </w:rPr>
            </w:pPr>
          </w:p>
        </w:tc>
      </w:tr>
      <w:tr>
        <w:trPr>
          <w:trHeight w:val="186"/>
        </w:trPr>
        <w:tc>
          <w:tcPr>
            <w:tcW w:w="111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___________________________________________________________________</w:t>
            </w:r>
          </w:p>
        </w:tc>
      </w:tr>
      <w:tr>
        <w:trPr>
          <w:trHeight w:val="262"/>
        </w:trPr>
        <w:tc>
          <w:tcPr>
            <w:tcW w:w="7480" w:type="dxa"/>
            <w:vAlign w:val="bottom"/>
            <w:gridSpan w:val="6"/>
          </w:tcPr>
          <w:p>
            <w:pPr>
              <w:jc w:val="center"/>
              <w:ind w:left="3612"/>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00" w:type="dxa"/>
            <w:vAlign w:val="bottom"/>
          </w:tcPr>
          <w:p>
            <w:pPr>
              <w:spacing w:after="0"/>
              <w:rPr>
                <w:sz w:val="22"/>
                <w:szCs w:val="22"/>
                <w:color w:val="auto"/>
              </w:rPr>
            </w:pPr>
          </w:p>
        </w:tc>
      </w:tr>
      <w:tr>
        <w:trPr>
          <w:trHeight w:val="233"/>
        </w:trPr>
        <w:tc>
          <w:tcPr>
            <w:tcW w:w="388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w w:val="87"/>
              </w:rPr>
              <w:t>Title of each class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880" w:type="dxa"/>
            <w:vAlign w:val="bottom"/>
          </w:tcPr>
          <w:p>
            <w:pPr>
              <w:jc w:val="center"/>
              <w:ind w:left="232"/>
              <w:spacing w:after="0"/>
              <w:rPr>
                <w:sz w:val="20"/>
                <w:szCs w:val="20"/>
                <w:color w:val="auto"/>
              </w:rPr>
            </w:pPr>
            <w:r>
              <w:rPr>
                <w:rFonts w:ascii="Arial" w:cs="Arial" w:eastAsia="Arial" w:hAnsi="Arial"/>
                <w:sz w:val="16"/>
                <w:szCs w:val="16"/>
                <w:color w:val="auto"/>
                <w:w w:val="91"/>
              </w:rPr>
              <w:t>Class A Common Stock, $0.001 par value per share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gridSpan w:val="3"/>
          </w:tcPr>
          <w:p>
            <w:pPr>
              <w:jc w:val="center"/>
              <w:ind w:right="640"/>
              <w:spacing w:after="0"/>
              <w:rPr>
                <w:sz w:val="20"/>
                <w:szCs w:val="20"/>
                <w:color w:val="auto"/>
              </w:rPr>
            </w:pPr>
            <w:r>
              <w:rPr>
                <w:rFonts w:ascii="Arial" w:cs="Arial" w:eastAsia="Arial" w:hAnsi="Arial"/>
                <w:sz w:val="16"/>
                <w:szCs w:val="16"/>
                <w:color w:val="auto"/>
              </w:rPr>
              <w:t>ZM</w:t>
            </w:r>
          </w:p>
        </w:tc>
        <w:tc>
          <w:tcPr>
            <w:tcW w:w="3700" w:type="dxa"/>
            <w:vAlign w:val="bottom"/>
          </w:tcPr>
          <w:p>
            <w:pPr>
              <w:jc w:val="center"/>
              <w:ind w:right="459"/>
              <w:spacing w:after="0"/>
              <w:rPr>
                <w:sz w:val="20"/>
                <w:szCs w:val="20"/>
                <w:color w:val="auto"/>
              </w:rPr>
            </w:pPr>
            <w:r>
              <w:rPr>
                <w:rFonts w:ascii="Arial" w:cs="Arial" w:eastAsia="Arial" w:hAnsi="Arial"/>
                <w:sz w:val="16"/>
                <w:szCs w:val="16"/>
                <w:color w:val="auto"/>
                <w:w w:val="91"/>
              </w:rPr>
              <w:t>The Nasdaq Global Select Market</w:t>
            </w:r>
          </w:p>
        </w:tc>
      </w:tr>
    </w:tbl>
    <w:p>
      <w:pPr>
        <w:spacing w:after="0" w:line="145"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40"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2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As of November 10, 2023, the number of shares of the registrant’s Class A common stock outstanding was 257,786,492 and the number of shares of the registrant’s Class B common stock outstanding was 46,637,009.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760" w:type="dxa"/>
            <w:vAlign w:val="bottom"/>
            <w:gridSpan w:val="26"/>
          </w:tcPr>
          <w:p>
            <w:pPr>
              <w:spacing w:after="0"/>
              <w:rPr>
                <w:sz w:val="20"/>
                <w:szCs w:val="20"/>
                <w:color w:val="auto"/>
              </w:rPr>
            </w:pPr>
            <w:r>
              <w:rPr>
                <w:rFonts w:ascii="Arial" w:cs="Arial" w:eastAsia="Arial" w:hAnsi="Arial"/>
                <w:sz w:val="18"/>
                <w:szCs w:val="18"/>
                <w:color w:val="0000FF"/>
              </w:rPr>
              <w:t>Table of Contents</w:t>
            </w: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9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Arial" w:cs="Arial" w:eastAsia="Arial" w:hAnsi="Arial"/>
                <w:sz w:val="18"/>
                <w:szCs w:val="18"/>
                <w:b w:val="1"/>
                <w:bCs w:val="1"/>
                <w:color w:val="auto"/>
                <w:w w:val="90"/>
              </w:rPr>
              <w:t>Zoom Video Communications,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Arial" w:cs="Arial" w:eastAsia="Arial" w:hAnsi="Arial"/>
                <w:sz w:val="18"/>
                <w:szCs w:val="18"/>
                <w:b w:val="1"/>
                <w:bCs w:val="1"/>
                <w:color w:val="auto"/>
                <w:w w:val="93"/>
              </w:rPr>
              <w:t>Quarterly Report on Form 10-Q</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60"/>
              <w:spacing w:after="0"/>
              <w:rPr>
                <w:sz w:val="20"/>
                <w:szCs w:val="20"/>
                <w:color w:val="auto"/>
              </w:rPr>
            </w:pPr>
            <w:r>
              <w:rPr>
                <w:rFonts w:ascii="Arial" w:cs="Arial" w:eastAsia="Arial" w:hAnsi="Arial"/>
                <w:sz w:val="18"/>
                <w:szCs w:val="18"/>
                <w:b w:val="1"/>
                <w:bCs w:val="1"/>
                <w:color w:val="auto"/>
                <w:w w:val="91"/>
              </w:rPr>
              <w:t>For the Quarterly Period Ended October 31, 2023</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1"/>
          </w:tcPr>
          <w:p>
            <w:pPr>
              <w:jc w:val="center"/>
              <w:ind w:right="1880"/>
              <w:spacing w:after="0"/>
              <w:rPr>
                <w:sz w:val="20"/>
                <w:szCs w:val="20"/>
                <w:color w:val="auto"/>
              </w:rPr>
            </w:pPr>
            <w:r>
              <w:rPr>
                <w:rFonts w:ascii="Arial" w:cs="Arial" w:eastAsia="Arial" w:hAnsi="Arial"/>
                <w:sz w:val="18"/>
                <w:szCs w:val="18"/>
                <w:b w:val="1"/>
                <w:bCs w:val="1"/>
                <w:color w:val="auto"/>
                <w:w w:val="98"/>
              </w:rPr>
              <w:t>TABLE OF CONTENTS</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3880" w:type="dxa"/>
            <w:vAlign w:val="bottom"/>
            <w:gridSpan w:val="15"/>
            <w:vMerge w:val="restart"/>
          </w:tcPr>
          <w:p>
            <w:pPr>
              <w:spacing w:after="0"/>
              <w:rPr>
                <w:sz w:val="20"/>
                <w:szCs w:val="20"/>
                <w:color w:val="auto"/>
              </w:rPr>
            </w:pPr>
            <w:r>
              <w:rPr>
                <w:rFonts w:ascii="Arial" w:cs="Arial" w:eastAsia="Arial" w:hAnsi="Arial"/>
                <w:sz w:val="18"/>
                <w:szCs w:val="18"/>
                <w:color w:val="0000FF"/>
                <w:w w:val="90"/>
              </w:rPr>
              <w:t>Special Note Regarding Forward-Looking Statements</w:t>
            </w:r>
          </w:p>
        </w:tc>
        <w:tc>
          <w:tcPr>
            <w:tcW w:w="4940" w:type="dxa"/>
            <w:vAlign w:val="bottom"/>
            <w:gridSpan w:val="10"/>
            <w:vMerge w:val="restart"/>
          </w:tcPr>
          <w:p>
            <w:pPr>
              <w:spacing w:after="0"/>
              <w:rPr>
                <w:sz w:val="22"/>
                <w:szCs w:val="22"/>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940" w:type="dxa"/>
            <w:vAlign w:val="bottom"/>
          </w:tcPr>
          <w:p>
            <w:pPr>
              <w:spacing w:after="0"/>
              <w:rPr>
                <w:sz w:val="14"/>
                <w:szCs w:val="14"/>
                <w:color w:val="auto"/>
              </w:rPr>
            </w:pPr>
          </w:p>
        </w:tc>
        <w:tc>
          <w:tcPr>
            <w:tcW w:w="3880" w:type="dxa"/>
            <w:vAlign w:val="bottom"/>
            <w:tcBorders>
              <w:bottom w:val="single" w:sz="8" w:color="0000FF"/>
            </w:tcBorders>
            <w:gridSpan w:val="15"/>
            <w:vMerge w:val="continue"/>
          </w:tcPr>
          <w:p>
            <w:pPr>
              <w:spacing w:after="0"/>
              <w:rPr>
                <w:sz w:val="14"/>
                <w:szCs w:val="14"/>
                <w:color w:val="auto"/>
              </w:rPr>
            </w:pPr>
          </w:p>
        </w:tc>
        <w:tc>
          <w:tcPr>
            <w:tcW w:w="4940" w:type="dxa"/>
            <w:vAlign w:val="bottom"/>
            <w:gridSpan w:val="10"/>
            <w:vMerge w:val="continue"/>
          </w:tcPr>
          <w:p>
            <w:pPr>
              <w:spacing w:after="0"/>
              <w:rPr>
                <w:sz w:val="14"/>
                <w:szCs w:val="14"/>
                <w:color w:val="auto"/>
              </w:rPr>
            </w:pPr>
          </w:p>
        </w:tc>
        <w:tc>
          <w:tcPr>
            <w:tcW w:w="14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rPr>
              <w:t>Summary Risk Factors</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rPr>
              <w:t>PART I – Financial Information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40" w:type="dxa"/>
            <w:vAlign w:val="bottom"/>
          </w:tcPr>
          <w:p>
            <w:pPr>
              <w:ind w:left="80"/>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Financial Statements (Unaudited)</w:t>
            </w:r>
          </w:p>
        </w:tc>
        <w:tc>
          <w:tcPr>
            <w:tcW w:w="6400" w:type="dxa"/>
            <w:vAlign w:val="bottom"/>
            <w:gridSpan w:val="11"/>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rPr>
              <w:t>Condensed Consolidated Balance Sheets as of October 31, 2023 and January 31, 2023</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w w:val="93"/>
              </w:rPr>
              <w:t>Condensed Consolidated Statements of Operations for the Three and Nine Months Ended October 31, 2023 and 2022</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w w:val="91"/>
              </w:rPr>
              <w:t>Condensed Consolidated Statements of Comprehensive Income for the Three and Nine Months Ended October 31, 2023</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8660" w:type="dxa"/>
            <w:vAlign w:val="bottom"/>
            <w:tcBorders>
              <w:top w:val="single" w:sz="8" w:color="0000FF"/>
            </w:tcBorders>
            <w:gridSpan w:val="23"/>
          </w:tcPr>
          <w:p>
            <w:pPr>
              <w:spacing w:after="0" w:line="169" w:lineRule="exact"/>
              <w:rPr>
                <w:sz w:val="20"/>
                <w:szCs w:val="20"/>
                <w:color w:val="auto"/>
              </w:rPr>
            </w:pPr>
            <w:r>
              <w:rPr>
                <w:rFonts w:ascii="Arial" w:cs="Arial" w:eastAsia="Arial" w:hAnsi="Arial"/>
                <w:sz w:val="18"/>
                <w:szCs w:val="18"/>
                <w:color w:val="0000FF"/>
              </w:rPr>
              <w:t>and 2022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4"/>
                <w:szCs w:val="24"/>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w w:val="90"/>
              </w:rPr>
              <w:t>Condensed Consolidated Statements of Stockholders’ Equity for the Three and Nine Months Ended October 31, 2023 and</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4"/>
              </w:rPr>
              <w:t>2022</w:t>
            </w: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spacing w:after="0"/>
              <w:rPr>
                <w:sz w:val="18"/>
                <w:szCs w:val="18"/>
                <w:color w:val="auto"/>
              </w:rPr>
            </w:pPr>
          </w:p>
        </w:tc>
        <w:tc>
          <w:tcPr>
            <w:tcW w:w="77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October 31, 2023 and 2022</w:t>
            </w:r>
          </w:p>
        </w:tc>
        <w:tc>
          <w:tcPr>
            <w:tcW w:w="1080" w:type="dxa"/>
            <w:vAlign w:val="bottom"/>
            <w:gridSpan w:val="4"/>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0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820" w:type="dxa"/>
            <w:vAlign w:val="bottom"/>
            <w:gridSpan w:val="9"/>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60" w:type="dxa"/>
            <w:vAlign w:val="bottom"/>
            <w:gridSpan w:val="5"/>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460" w:type="dxa"/>
            <w:vAlign w:val="bottom"/>
            <w:gridSpan w:val="7"/>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Controls and Procedures</w:t>
            </w:r>
          </w:p>
        </w:tc>
        <w:tc>
          <w:tcPr>
            <w:tcW w:w="7040" w:type="dxa"/>
            <w:vAlign w:val="bottom"/>
            <w:gridSpan w:val="15"/>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8820" w:type="dxa"/>
            <w:vAlign w:val="bottom"/>
            <w:gridSpan w:val="25"/>
          </w:tcPr>
          <w:p>
            <w:pPr>
              <w:spacing w:after="0"/>
              <w:rPr>
                <w:sz w:val="20"/>
                <w:szCs w:val="20"/>
                <w:color w:val="auto"/>
              </w:rPr>
            </w:pPr>
            <w:r>
              <w:rPr>
                <w:rFonts w:ascii="Arial" w:cs="Arial" w:eastAsia="Arial" w:hAnsi="Arial"/>
                <w:sz w:val="18"/>
                <w:szCs w:val="18"/>
                <w:color w:val="0000FF"/>
              </w:rPr>
              <w:t>PART II – Other Information</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40" w:type="dxa"/>
            <w:vAlign w:val="bottom"/>
          </w:tcPr>
          <w:p>
            <w:pPr>
              <w:ind w:left="80"/>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Legal Proceedings</w:t>
            </w:r>
          </w:p>
        </w:tc>
        <w:tc>
          <w:tcPr>
            <w:tcW w:w="740" w:type="dxa"/>
            <w:vAlign w:val="bottom"/>
            <w:tcBorders>
              <w:top w:val="single" w:sz="8" w:color="0000FF"/>
            </w:tcBorders>
            <w:gridSpan w:val="4"/>
          </w:tcPr>
          <w:p>
            <w:pPr>
              <w:spacing w:after="0"/>
              <w:rPr>
                <w:sz w:val="22"/>
                <w:szCs w:val="22"/>
                <w:color w:val="auto"/>
              </w:rPr>
            </w:pPr>
          </w:p>
        </w:tc>
        <w:tc>
          <w:tcPr>
            <w:tcW w:w="6740" w:type="dxa"/>
            <w:vAlign w:val="bottom"/>
            <w:gridSpan w:val="14"/>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Arial" w:cs="Arial" w:eastAsia="Arial" w:hAnsi="Arial"/>
                <w:sz w:val="18"/>
                <w:szCs w:val="18"/>
                <w:color w:val="auto"/>
              </w:rPr>
              <w:t>Item 1A</w:t>
            </w:r>
          </w:p>
        </w:tc>
        <w:tc>
          <w:tcPr>
            <w:tcW w:w="8820" w:type="dxa"/>
            <w:vAlign w:val="bottom"/>
            <w:gridSpan w:val="25"/>
          </w:tcPr>
          <w:p>
            <w:pPr>
              <w:spacing w:after="0"/>
              <w:rPr>
                <w:sz w:val="20"/>
                <w:szCs w:val="20"/>
                <w:color w:val="auto"/>
              </w:rPr>
            </w:pPr>
            <w:r>
              <w:rPr>
                <w:rFonts w:ascii="Arial" w:cs="Arial" w:eastAsia="Arial" w:hAnsi="Arial"/>
                <w:sz w:val="18"/>
                <w:szCs w:val="18"/>
                <w:color w:val="0000FF"/>
              </w:rPr>
              <w:t>Risk Factors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80"/>
              <w:spacing w:after="0"/>
              <w:rPr>
                <w:sz w:val="20"/>
                <w:szCs w:val="20"/>
                <w:color w:val="auto"/>
              </w:rPr>
            </w:pPr>
            <w:r>
              <w:rPr>
                <w:rFonts w:ascii="Arial" w:cs="Arial" w:eastAsia="Arial" w:hAnsi="Arial"/>
                <w:sz w:val="18"/>
                <w:szCs w:val="18"/>
                <w:color w:val="auto"/>
              </w:rPr>
              <w:t>Item 2.</w:t>
            </w:r>
          </w:p>
        </w:tc>
        <w:tc>
          <w:tcPr>
            <w:tcW w:w="8820" w:type="dxa"/>
            <w:vAlign w:val="bottom"/>
            <w:gridSpan w:val="25"/>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Defaults Upon Senior Securities</w:t>
            </w:r>
          </w:p>
        </w:tc>
        <w:tc>
          <w:tcPr>
            <w:tcW w:w="4480" w:type="dxa"/>
            <w:vAlign w:val="bottom"/>
            <w:gridSpan w:val="8"/>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Mine Safety Disclosures</w:t>
            </w:r>
          </w:p>
        </w:tc>
        <w:tc>
          <w:tcPr>
            <w:tcW w:w="6500" w:type="dxa"/>
            <w:vAlign w:val="bottom"/>
            <w:gridSpan w:val="12"/>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8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18"/>
                <w:szCs w:val="18"/>
                <w:color w:val="auto"/>
              </w:rPr>
            </w:pPr>
          </w:p>
        </w:tc>
        <w:tc>
          <w:tcPr>
            <w:tcW w:w="7060" w:type="dxa"/>
            <w:vAlign w:val="bottom"/>
            <w:gridSpan w:val="16"/>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ind w:left="80"/>
              <w:spacing w:after="0"/>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Exhibits</w:t>
            </w:r>
          </w:p>
        </w:tc>
        <w:tc>
          <w:tcPr>
            <w:tcW w:w="8160" w:type="dxa"/>
            <w:vAlign w:val="bottom"/>
            <w:gridSpan w:val="22"/>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Signatures</w:t>
            </w:r>
          </w:p>
        </w:tc>
        <w:tc>
          <w:tcPr>
            <w:tcW w:w="8060" w:type="dxa"/>
            <w:vAlign w:val="bottom"/>
            <w:gridSpan w:val="21"/>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8"/>
        </w:trPr>
        <w:tc>
          <w:tcPr>
            <w:tcW w:w="940" w:type="dxa"/>
            <w:vAlign w:val="bottom"/>
          </w:tcPr>
          <w:p>
            <w:pPr>
              <w:spacing w:after="0"/>
              <w:rPr>
                <w:sz w:val="24"/>
                <w:szCs w:val="24"/>
                <w:color w:val="auto"/>
              </w:rPr>
            </w:pPr>
          </w:p>
        </w:tc>
        <w:tc>
          <w:tcPr>
            <w:tcW w:w="6200" w:type="dxa"/>
            <w:vAlign w:val="bottom"/>
            <w:gridSpan w:val="19"/>
          </w:tcPr>
          <w:p>
            <w:pPr>
              <w:jc w:val="center"/>
              <w:ind w:left="307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our product strategy; our efforts to enhance the security and privacy of our platform; our ability to operate our business and effectively manage our growth under evolving macroeconomic conditions, such as high inflation, recessionary environments and fluctuations in foreign currency exchange rates;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spacing w:after="0" w:line="7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spacing w:after="0" w:line="76" w:lineRule="exact"/>
        <w:rPr>
          <w:sz w:val="20"/>
          <w:szCs w:val="20"/>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growth rate has fluctuated in prior periods, and may decline in future periods.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spacing w:after="0" w:line="8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may be significantly affected by changes in the economy, including any resulting effect on consumer or business spending.</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we increase sales to large organizations, our sales cycles have and could continue to lengthen, and we could experience greater deployment challenges.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net losses in the past and there are no assurances we will be able to maintain or increase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1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at the current scale of our business, which makes it difficult to evaluate our prospects and future results of operations.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were to lose the services of our Chief Executive Officer or other members of our senior management team, we may not be able to execute our business strategy.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and expanding operations outside the United States, which may subject us to increased business, regulatory and economic risks that could harm our business.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October 31,</w:t>
            </w:r>
          </w:p>
        </w:tc>
        <w:tc>
          <w:tcPr>
            <w:tcW w:w="300" w:type="dxa"/>
            <w:vAlign w:val="bottom"/>
          </w:tcPr>
          <w:p>
            <w:pPr>
              <w:spacing w:after="0"/>
              <w:rPr>
                <w:sz w:val="11"/>
                <w:szCs w:val="11"/>
                <w:color w:val="auto"/>
              </w:rPr>
            </w:pPr>
          </w:p>
        </w:tc>
        <w:tc>
          <w:tcPr>
            <w:tcW w:w="1360" w:type="dxa"/>
            <w:vAlign w:val="bottom"/>
          </w:tcPr>
          <w:p>
            <w:pPr>
              <w:jc w:val="right"/>
              <w:ind w:right="380"/>
              <w:spacing w:after="0" w:line="129"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80"/>
              <w:spacing w:after="0"/>
              <w:rPr>
                <w:sz w:val="20"/>
                <w:szCs w:val="20"/>
                <w:color w:val="auto"/>
              </w:rPr>
            </w:pPr>
            <w:r>
              <w:rPr>
                <w:rFonts w:ascii="Arial" w:cs="Arial" w:eastAsia="Arial" w:hAnsi="Arial"/>
                <w:sz w:val="16"/>
                <w:szCs w:val="16"/>
                <w:color w:val="auto"/>
                <w:w w:val="93"/>
              </w:rPr>
              <w:t>(unaudited)</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1,086,830</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5,001,507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4,325,836</w:t>
            </w:r>
          </w:p>
        </w:tc>
        <w:tc>
          <w:tcPr>
            <w:tcW w:w="0" w:type="dxa"/>
            <w:vAlign w:val="bottom"/>
          </w:tcPr>
          <w:p>
            <w:pPr>
              <w:spacing w:after="0"/>
              <w:rPr>
                <w:sz w:val="1"/>
                <w:szCs w:val="1"/>
                <w:color w:val="auto"/>
              </w:rPr>
            </w:pPr>
          </w:p>
        </w:tc>
      </w:tr>
      <w:tr>
        <w:trPr>
          <w:trHeight w:val="169"/>
        </w:trPr>
        <w:tc>
          <w:tcPr>
            <w:tcW w:w="77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6"/>
              </w:rPr>
              <w:t>Accounts receivable, net of allowances of $39,652 and $33,206 as of October 31, 2023 and January 31, 2023,</w:t>
            </w:r>
          </w:p>
        </w:tc>
        <w:tc>
          <w:tcPr>
            <w:tcW w:w="2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514,045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557,404</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Deferred contract acquisition costs, 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205,169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223,250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163,092</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7,484,759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6,356,412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179,991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291,844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252,821</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80,906</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Strategic investments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353,022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398,992</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122,641</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531,677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558,428</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177,874</w:t>
            </w:r>
          </w:p>
        </w:tc>
        <w:tc>
          <w:tcPr>
            <w:tcW w:w="0" w:type="dxa"/>
            <w:vAlign w:val="bottom"/>
          </w:tcPr>
          <w:p>
            <w:pPr>
              <w:spacing w:after="0"/>
              <w:rPr>
                <w:sz w:val="1"/>
                <w:szCs w:val="1"/>
                <w:color w:val="auto"/>
              </w:rPr>
            </w:pPr>
          </w:p>
        </w:tc>
      </w:tr>
      <w:tr>
        <w:trPr>
          <w:trHeight w:val="207"/>
        </w:trPr>
        <w:tc>
          <w:tcPr>
            <w:tcW w:w="7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9,317,472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8,128,065</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14,414</w:t>
            </w:r>
          </w:p>
        </w:tc>
        <w:tc>
          <w:tcPr>
            <w:tcW w:w="0" w:type="dxa"/>
            <w:vAlign w:val="bottom"/>
          </w:tcPr>
          <w:p>
            <w:pPr>
              <w:spacing w:after="0"/>
              <w:rPr>
                <w:sz w:val="1"/>
                <w:szCs w:val="1"/>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441,472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457,716</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 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1,266,514</w:t>
            </w:r>
          </w:p>
        </w:tc>
        <w:tc>
          <w:tcPr>
            <w:tcW w:w="0" w:type="dxa"/>
            <w:vAlign w:val="bottom"/>
          </w:tcPr>
          <w:p>
            <w:pPr>
              <w:spacing w:after="0"/>
              <w:rPr>
                <w:sz w:val="1"/>
                <w:szCs w:val="1"/>
                <w:color w:val="auto"/>
              </w:rPr>
            </w:pPr>
          </w:p>
        </w:tc>
      </w:tr>
      <w:tr>
        <w:trPr>
          <w:trHeight w:val="207"/>
        </w:trPr>
        <w:tc>
          <w:tcPr>
            <w:tcW w:w="778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1,753,005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1,738,644</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41,932</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55,409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73,687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67,195</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1,904,071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1,921,458</w:t>
            </w:r>
          </w:p>
        </w:tc>
        <w:tc>
          <w:tcPr>
            <w:tcW w:w="0" w:type="dxa"/>
            <w:vAlign w:val="bottom"/>
          </w:tcPr>
          <w:p>
            <w:pPr>
              <w:spacing w:after="0"/>
              <w:rPr>
                <w:sz w:val="1"/>
                <w:szCs w:val="1"/>
                <w:color w:val="auto"/>
              </w:rPr>
            </w:pPr>
          </w:p>
        </w:tc>
      </w:tr>
      <w:tr>
        <w:trPr>
          <w:trHeight w:val="19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89"/>
              </w:rPr>
              <w:t>Preferred stock, $0.001 par value per share, 200,000,000 shares authorized as of October 31, 2023 and January 31,</w:t>
            </w:r>
          </w:p>
        </w:tc>
        <w:tc>
          <w:tcPr>
            <w:tcW w:w="28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2023; zero shares issued and outstanding as of October 31, 2023 and January 31, 2023</w:t>
            </w:r>
          </w:p>
        </w:tc>
        <w:tc>
          <w:tcPr>
            <w:tcW w:w="28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780" w:type="dxa"/>
            <w:vAlign w:val="bottom"/>
          </w:tcPr>
          <w:p>
            <w:pPr>
              <w:ind w:left="340"/>
              <w:spacing w:after="0" w:line="166" w:lineRule="exact"/>
              <w:rPr>
                <w:sz w:val="20"/>
                <w:szCs w:val="20"/>
                <w:color w:val="auto"/>
              </w:rPr>
            </w:pPr>
            <w:r>
              <w:rPr>
                <w:rFonts w:ascii="Arial" w:cs="Arial" w:eastAsia="Arial" w:hAnsi="Arial"/>
                <w:sz w:val="16"/>
                <w:szCs w:val="16"/>
                <w:color w:val="auto"/>
                <w:w w:val="91"/>
              </w:rPr>
              <w:t>Common stock, $0.001 par value per share, 2,000,000,000 Class A shares authorized as of October 31, 2023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Arial" w:cs="Arial" w:eastAsia="Arial" w:hAnsi="Arial"/>
                <w:sz w:val="16"/>
                <w:szCs w:val="16"/>
                <w:color w:val="auto"/>
                <w:w w:val="96"/>
              </w:rPr>
              <w:t>January 31, 2023; 257,699,235 and 247,151,956 shares issued and outstanding as of October 31, 2023 and</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Arial" w:cs="Arial" w:eastAsia="Arial" w:hAnsi="Arial"/>
                <w:sz w:val="16"/>
                <w:szCs w:val="16"/>
                <w:color w:val="auto"/>
                <w:w w:val="93"/>
              </w:rPr>
              <w:t>January 31, 2023, respectively; 300,000,000 Class B shares authorized as of October 31, 2023 and January 31,</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ind w:left="340"/>
              <w:spacing w:after="0" w:line="162" w:lineRule="exact"/>
              <w:rPr>
                <w:sz w:val="20"/>
                <w:szCs w:val="20"/>
                <w:color w:val="auto"/>
              </w:rPr>
            </w:pPr>
            <w:r>
              <w:rPr>
                <w:rFonts w:ascii="Arial" w:cs="Arial" w:eastAsia="Arial" w:hAnsi="Arial"/>
                <w:sz w:val="16"/>
                <w:szCs w:val="16"/>
                <w:color w:val="auto"/>
                <w:w w:val="93"/>
              </w:rPr>
              <w:t>2023; 46,638,730 and 46,670,894 shares issued and outstanding as of October 31, 2023 and January 31, 2023,</w:t>
            </w:r>
          </w:p>
        </w:tc>
        <w:tc>
          <w:tcPr>
            <w:tcW w:w="2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9"/>
        </w:trPr>
        <w:tc>
          <w:tcPr>
            <w:tcW w:w="778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4,104,880</w:t>
            </w:r>
          </w:p>
        </w:tc>
        <w:tc>
          <w:tcPr>
            <w:tcW w:w="0" w:type="dxa"/>
            <w:vAlign w:val="bottom"/>
          </w:tcPr>
          <w:p>
            <w:pPr>
              <w:spacing w:after="0"/>
              <w:rPr>
                <w:sz w:val="1"/>
                <w:szCs w:val="1"/>
                <w:color w:val="auto"/>
              </w:rPr>
            </w:pPr>
          </w:p>
        </w:tc>
      </w:tr>
      <w:tr>
        <w:trPr>
          <w:trHeight w:val="213"/>
        </w:trPr>
        <w:tc>
          <w:tcPr>
            <w:tcW w:w="778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(50,385)</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2,490,448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2,151,818</w:t>
            </w:r>
          </w:p>
        </w:tc>
        <w:tc>
          <w:tcPr>
            <w:tcW w:w="0" w:type="dxa"/>
            <w:vAlign w:val="bottom"/>
          </w:tcPr>
          <w:p>
            <w:pPr>
              <w:spacing w:after="0"/>
              <w:rPr>
                <w:sz w:val="1"/>
                <w:szCs w:val="1"/>
                <w:color w:val="auto"/>
              </w:rPr>
            </w:pPr>
          </w:p>
        </w:tc>
      </w:tr>
      <w:tr>
        <w:trPr>
          <w:trHeight w:val="20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7,413,401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6,206,607</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9,317,472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8,128,065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October 31,</w:t>
            </w:r>
          </w:p>
        </w:tc>
        <w:tc>
          <w:tcPr>
            <w:tcW w:w="360" w:type="dxa"/>
            <w:vAlign w:val="bottom"/>
          </w:tcPr>
          <w:p>
            <w:pPr>
              <w:spacing w:after="0"/>
              <w:rPr>
                <w:sz w:val="16"/>
                <w:szCs w:val="16"/>
                <w:color w:val="auto"/>
              </w:rPr>
            </w:pPr>
          </w:p>
        </w:tc>
        <w:tc>
          <w:tcPr>
            <w:tcW w:w="29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3,275,157</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806,097</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2,469,060</w:t>
            </w: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512,801</w:t>
            </w: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374,378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1,170,255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1,191,004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389,939</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2,222,524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2,093,744</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375,316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(Losses) gains on strategic investments, net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(78,014)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288,820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81,059</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141,212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207,761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Undistributed earnings attributable to participating securities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141,212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338,630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207,744</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w w:val="97"/>
              </w:rPr>
              <w:t>Net income per share attributable to common stockholders:</w:t>
            </w: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5"/>
              </w:rPr>
              <w:t>Weighted-average shares used in computing net income per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share attributable to common stockholders: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302,493,182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295,537,026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299,037,999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297,765,848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310,389,905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301,986,341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306,852,190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305,273,812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October 31,</w:t>
            </w:r>
          </w:p>
        </w:tc>
        <w:tc>
          <w:tcPr>
            <w:tcW w:w="360" w:type="dxa"/>
            <w:vAlign w:val="bottom"/>
          </w:tcPr>
          <w:p>
            <w:pPr>
              <w:spacing w:after="0"/>
              <w:rPr>
                <w:sz w:val="16"/>
                <w:szCs w:val="16"/>
                <w:color w:val="auto"/>
              </w:rPr>
            </w:pPr>
          </w:p>
        </w:tc>
        <w:tc>
          <w:tcPr>
            <w:tcW w:w="286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 October 31,</w:t>
            </w:r>
          </w:p>
        </w:tc>
      </w:tr>
      <w:tr>
        <w:trPr>
          <w:trHeight w:val="26"/>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7"/>
              </w:rPr>
              <w:t>48,353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207,761</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76"/>
        </w:trPr>
        <w:tc>
          <w:tcPr>
            <w:tcW w:w="4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Unrealized gain (loss) on available-for-sale marketable</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8"/>
        </w:trPr>
        <w:tc>
          <w:tcPr>
            <w:tcW w:w="4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7"/>
              </w:rPr>
              <w:t>securities, net of income tax (expense) benefit of $(2,892)</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76"/>
        </w:trPr>
        <w:tc>
          <w:tcPr>
            <w:tcW w:w="4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and $7,802 for the three months ended October 31, 2023 and</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6"/>
        </w:trPr>
        <w:tc>
          <w:tcPr>
            <w:tcW w:w="4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2022, respectively, and $(7,013) and $17,417 for the nine</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months ended October 31, 2023 and 2022, respectively</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435"/>
              <w:spacing w:after="0"/>
              <w:rPr>
                <w:sz w:val="20"/>
                <w:szCs w:val="20"/>
                <w:color w:val="auto"/>
              </w:rPr>
            </w:pPr>
            <w:r>
              <w:rPr>
                <w:rFonts w:ascii="Arial" w:cs="Arial" w:eastAsia="Arial" w:hAnsi="Arial"/>
                <w:sz w:val="18"/>
                <w:szCs w:val="18"/>
                <w:color w:val="auto"/>
                <w:w w:val="92"/>
              </w:rPr>
              <w:t>(24,555)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2"/>
              </w:rPr>
              <w:t>(54,814)</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87"/>
              </w:rPr>
              <w:t>23,798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8"/>
              </w:rPr>
              <w:t>152,947</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ind w:left="140"/>
              <w:spacing w:after="0"/>
              <w:rPr>
                <w:sz w:val="20"/>
                <w:szCs w:val="20"/>
                <w:color w:val="auto"/>
              </w:rPr>
            </w:pPr>
            <w:r>
              <w:rPr>
                <w:rFonts w:ascii="Arial" w:cs="Arial" w:eastAsia="Arial" w:hAnsi="Arial"/>
                <w:sz w:val="14"/>
                <w:szCs w:val="14"/>
                <w:b w:val="1"/>
                <w:bCs w:val="1"/>
                <w:color w:val="auto"/>
                <w:w w:val="95"/>
              </w:rPr>
              <w:t>Three Months Ended October 31, 2023</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ind w:left="140"/>
              <w:spacing w:after="0" w:line="12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9"/>
                <w:szCs w:val="9"/>
                <w:color w:val="auto"/>
              </w:rPr>
            </w:pPr>
          </w:p>
        </w:tc>
        <w:tc>
          <w:tcPr>
            <w:tcW w:w="1020" w:type="dxa"/>
            <w:vAlign w:val="bottom"/>
            <w:gridSpan w:val="2"/>
            <w:vMerge w:val="restart"/>
          </w:tcPr>
          <w:p>
            <w:pPr>
              <w:ind w:left="60"/>
              <w:spacing w:after="0" w:line="12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July 31, 2023</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300,956,027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4,689,521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(36,707)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2,349,236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7,002,352</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169,610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3,212,328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for employee stock purchase plan</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259,589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259,589</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9,598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9,598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141,212</w:t>
            </w:r>
          </w:p>
        </w:tc>
        <w:tc>
          <w:tcPr>
            <w:tcW w:w="0" w:type="dxa"/>
            <w:vAlign w:val="bottom"/>
          </w:tcPr>
          <w:p>
            <w:pPr>
              <w:spacing w:after="0"/>
              <w:rPr>
                <w:sz w:val="1"/>
                <w:szCs w:val="1"/>
                <w:color w:val="auto"/>
              </w:rPr>
            </w:pPr>
          </w:p>
        </w:tc>
      </w:tr>
      <w:tr>
        <w:trPr>
          <w:trHeight w:val="176"/>
        </w:trPr>
        <w:tc>
          <w:tcPr>
            <w:tcW w:w="4120" w:type="dxa"/>
            <w:vAlign w:val="bottom"/>
          </w:tcPr>
          <w:p>
            <w:pPr>
              <w:ind w:left="20"/>
              <w:spacing w:after="0"/>
              <w:rPr>
                <w:sz w:val="20"/>
                <w:szCs w:val="20"/>
                <w:color w:val="auto"/>
              </w:rPr>
            </w:pPr>
            <w:r>
              <w:rPr>
                <w:rFonts w:ascii="Arial" w:cs="Arial" w:eastAsia="Arial" w:hAnsi="Arial"/>
                <w:sz w:val="14"/>
                <w:szCs w:val="14"/>
                <w:color w:val="auto"/>
              </w:rPr>
              <w:t>Balance as of October 31, 2023</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304,337,965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4,949,757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(27,109)</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2,490,448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7,413,401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ind w:left="140"/>
              <w:spacing w:after="0"/>
              <w:rPr>
                <w:sz w:val="20"/>
                <w:szCs w:val="20"/>
                <w:color w:val="auto"/>
              </w:rPr>
            </w:pPr>
            <w:r>
              <w:rPr>
                <w:rFonts w:ascii="Arial" w:cs="Arial" w:eastAsia="Arial" w:hAnsi="Arial"/>
                <w:sz w:val="14"/>
                <w:szCs w:val="14"/>
                <w:b w:val="1"/>
                <w:bCs w:val="1"/>
                <w:color w:val="auto"/>
                <w:w w:val="95"/>
              </w:rPr>
              <w:t>Three Months Ended October 31, 2022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ind w:left="140"/>
              <w:spacing w:after="0" w:line="129" w:lineRule="exact"/>
              <w:rPr>
                <w:sz w:val="20"/>
                <w:szCs w:val="20"/>
                <w:color w:val="auto"/>
              </w:rPr>
            </w:pPr>
            <w:r>
              <w:rPr>
                <w:rFonts w:ascii="Arial" w:cs="Arial" w:eastAsia="Arial" w:hAnsi="Arial"/>
                <w:sz w:val="14"/>
                <w:szCs w:val="14"/>
                <w:b w:val="1"/>
                <w:bCs w:val="1"/>
                <w:color w:val="auto"/>
              </w:rPr>
              <w:t>Paid-In</w:t>
            </w:r>
          </w:p>
        </w:tc>
        <w:tc>
          <w:tcPr>
            <w:tcW w:w="1440" w:type="dxa"/>
            <w:vAlign w:val="bottom"/>
            <w:gridSpan w:val="3"/>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9"/>
                <w:szCs w:val="9"/>
                <w:color w:val="auto"/>
              </w:rPr>
            </w:pPr>
          </w:p>
        </w:tc>
        <w:tc>
          <w:tcPr>
            <w:tcW w:w="1020" w:type="dxa"/>
            <w:vAlign w:val="bottom"/>
            <w:gridSpan w:val="2"/>
            <w:vMerge w:val="restart"/>
          </w:tcPr>
          <w:p>
            <w:pPr>
              <w:ind w:left="60"/>
              <w:spacing w:after="0" w:line="12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Comprehensive Loss</w:t>
            </w:r>
          </w:p>
        </w:tc>
        <w:tc>
          <w:tcPr>
            <w:tcW w:w="22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3"/>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July 31, 2022</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298,086,507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3,830,745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(48,161)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2,207,515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5,990,397</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229,183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959,192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60" w:type="dxa"/>
            <w:vAlign w:val="bottom"/>
          </w:tcPr>
          <w:p>
            <w:pPr>
              <w:jc w:val="right"/>
              <w:spacing w:after="0"/>
              <w:rPr>
                <w:sz w:val="20"/>
                <w:szCs w:val="20"/>
                <w:color w:val="auto"/>
              </w:rPr>
            </w:pPr>
            <w:r>
              <w:rPr>
                <w:rFonts w:ascii="Arial" w:cs="Arial" w:eastAsia="Arial" w:hAnsi="Arial"/>
                <w:sz w:val="14"/>
                <w:szCs w:val="14"/>
                <w:color w:val="auto"/>
              </w:rPr>
              <w:t>(6,955,529)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(564,825)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(564,832)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304,640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304,640</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(24,555)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(24,555)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48,353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48,353</w:t>
            </w:r>
          </w:p>
        </w:tc>
        <w:tc>
          <w:tcPr>
            <w:tcW w:w="0" w:type="dxa"/>
            <w:vAlign w:val="bottom"/>
          </w:tcPr>
          <w:p>
            <w:pPr>
              <w:spacing w:after="0"/>
              <w:rPr>
                <w:sz w:val="1"/>
                <w:szCs w:val="1"/>
                <w:color w:val="auto"/>
              </w:rPr>
            </w:pPr>
          </w:p>
        </w:tc>
      </w:tr>
      <w:tr>
        <w:trPr>
          <w:trHeight w:val="176"/>
        </w:trPr>
        <w:tc>
          <w:tcPr>
            <w:tcW w:w="4120" w:type="dxa"/>
            <w:vAlign w:val="bottom"/>
          </w:tcPr>
          <w:p>
            <w:pPr>
              <w:ind w:left="20"/>
              <w:spacing w:after="0"/>
              <w:rPr>
                <w:sz w:val="20"/>
                <w:szCs w:val="20"/>
                <w:color w:val="auto"/>
              </w:rPr>
            </w:pPr>
            <w:r>
              <w:rPr>
                <w:rFonts w:ascii="Arial" w:cs="Arial" w:eastAsia="Arial" w:hAnsi="Arial"/>
                <w:sz w:val="14"/>
                <w:szCs w:val="14"/>
                <w:color w:val="auto"/>
              </w:rPr>
              <w:t>Balance as of October 31, 2022</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292,319,353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3,572,368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(72,716)</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2,255,868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5,755,812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rPr>
              <w:t>Nine Months Ended October 31, 2023</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9"/>
                <w:szCs w:val="9"/>
                <w:color w:val="auto"/>
              </w:rPr>
            </w:pPr>
          </w:p>
        </w:tc>
        <w:tc>
          <w:tcPr>
            <w:tcW w:w="1040" w:type="dxa"/>
            <w:vAlign w:val="bottom"/>
            <w:gridSpan w:val="2"/>
            <w:vMerge w:val="restart"/>
          </w:tcPr>
          <w:p>
            <w:pPr>
              <w:ind w:left="80"/>
              <w:spacing w:after="0" w:line="12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2"/>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2023</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293,822,850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4,104,880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(50,385)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2,151,818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6,206,607</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1,214,532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8,747,679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Arial" w:cs="Arial" w:eastAsia="Arial" w:hAnsi="Arial"/>
                <w:sz w:val="14"/>
                <w:szCs w:val="14"/>
                <w:color w:val="auto"/>
              </w:rPr>
              <w:t>552,904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32,512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32,513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804,039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804,039</w:t>
            </w:r>
          </w:p>
        </w:tc>
        <w:tc>
          <w:tcPr>
            <w:tcW w:w="0" w:type="dxa"/>
            <w:vAlign w:val="bottom"/>
          </w:tcPr>
          <w:p>
            <w:pPr>
              <w:spacing w:after="0"/>
              <w:rPr>
                <w:sz w:val="1"/>
                <w:szCs w:val="1"/>
                <w:color w:val="auto"/>
              </w:rPr>
            </w:pPr>
          </w:p>
        </w:tc>
      </w:tr>
      <w:tr>
        <w:trPr>
          <w:trHeight w:val="182"/>
        </w:trPr>
        <w:tc>
          <w:tcPr>
            <w:tcW w:w="412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23,276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23,276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338,630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338,630</w:t>
            </w: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Balance as of October 31, 2023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304,337,965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4,949,757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(27,109)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2,490,448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7,413,401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4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rPr>
              <w:t>Nine Months Ended October 31, 2022</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120" w:type="dxa"/>
            <w:vAlign w:val="bottom"/>
          </w:tcPr>
          <w:p>
            <w:pPr>
              <w:spacing w:after="0"/>
              <w:rPr>
                <w:sz w:val="24"/>
                <w:szCs w:val="24"/>
                <w:color w:val="auto"/>
              </w:rPr>
            </w:pPr>
          </w:p>
        </w:tc>
        <w:tc>
          <w:tcPr>
            <w:tcW w:w="212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9"/>
        </w:trPr>
        <w:tc>
          <w:tcPr>
            <w:tcW w:w="412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1440" w:type="dxa"/>
            <w:vAlign w:val="bottom"/>
            <w:gridSpan w:val="3"/>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9"/>
                <w:szCs w:val="9"/>
                <w:color w:val="auto"/>
              </w:rPr>
            </w:pPr>
          </w:p>
        </w:tc>
        <w:tc>
          <w:tcPr>
            <w:tcW w:w="1040" w:type="dxa"/>
            <w:vAlign w:val="bottom"/>
            <w:gridSpan w:val="2"/>
            <w:vMerge w:val="restart"/>
          </w:tcPr>
          <w:p>
            <w:pPr>
              <w:ind w:left="80"/>
              <w:spacing w:after="0" w:line="12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9"/>
                <w:szCs w:val="9"/>
                <w:color w:val="auto"/>
              </w:rPr>
            </w:pPr>
          </w:p>
        </w:tc>
        <w:tc>
          <w:tcPr>
            <w:tcW w:w="1120" w:type="dxa"/>
            <w:vAlign w:val="bottom"/>
            <w:vMerge w:val="restart"/>
          </w:tcPr>
          <w:p>
            <w:pPr>
              <w:jc w:val="center"/>
              <w:ind w:right="88"/>
              <w:spacing w:after="0" w:line="12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Comprehensive Loss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3"/>
        </w:trPr>
        <w:tc>
          <w:tcPr>
            <w:tcW w:w="41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January 31, 2022</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299,037,805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3,749,514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(17,902)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2,048,107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5,780,018</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60" w:type="dxa"/>
            <w:vAlign w:val="bottom"/>
          </w:tcPr>
          <w:p>
            <w:pPr>
              <w:jc w:val="right"/>
              <w:spacing w:after="0"/>
              <w:rPr>
                <w:sz w:val="20"/>
                <w:szCs w:val="20"/>
                <w:color w:val="auto"/>
              </w:rPr>
            </w:pPr>
            <w:r>
              <w:rPr>
                <w:rFonts w:ascii="Arial" w:cs="Arial" w:eastAsia="Arial" w:hAnsi="Arial"/>
                <w:sz w:val="14"/>
                <w:szCs w:val="14"/>
                <w:color w:val="auto"/>
              </w:rPr>
              <w:t>1,087,238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7,052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 upon release of restricted stock units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2,865,551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Issuance of common stock for employee stock purchase plan</w:t>
            </w:r>
          </w:p>
        </w:tc>
        <w:tc>
          <w:tcPr>
            <w:tcW w:w="1060" w:type="dxa"/>
            <w:vAlign w:val="bottom"/>
          </w:tcPr>
          <w:p>
            <w:pPr>
              <w:jc w:val="right"/>
              <w:spacing w:after="0"/>
              <w:rPr>
                <w:sz w:val="20"/>
                <w:szCs w:val="20"/>
                <w:color w:val="auto"/>
              </w:rPr>
            </w:pPr>
            <w:r>
              <w:rPr>
                <w:rFonts w:ascii="Arial" w:cs="Arial" w:eastAsia="Arial" w:hAnsi="Arial"/>
                <w:sz w:val="14"/>
                <w:szCs w:val="14"/>
                <w:color w:val="auto"/>
              </w:rPr>
              <w:t>373,259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34,604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34,604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(11,044,500)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(990,767)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(990,778)</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771,969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771,969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(54,814)</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(54,814)</w:t>
            </w: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207,761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207,761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October 31,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292,319,353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3,572,368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(72,716)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2,255,868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5,755,812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 October 31,</w:t>
            </w:r>
          </w:p>
        </w:tc>
      </w:tr>
      <w:tr>
        <w:trPr>
          <w:trHeight w:val="26"/>
        </w:trPr>
        <w:tc>
          <w:tcPr>
            <w:tcW w:w="8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338,630</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207,761</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802,788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767,693</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deferred contract acquisition costs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203,908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186,626</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77,179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57,921</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20,056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(Gains) losses on strategic investments, net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(8,474)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78,014</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accounts receivable allowances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29,062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39,580</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Unrealized foreign exchange losses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23,281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40,884</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Non-cash operating lease cost</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15,841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16,949</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Amortization of discount/premium on marketable securities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(33,307)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4,156</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(5,251)</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Accounts receivable</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71,993</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(238,020)</w:t>
            </w:r>
          </w:p>
        </w:tc>
      </w:tr>
      <w:tr>
        <w:trPr>
          <w:trHeight w:val="182"/>
        </w:trPr>
        <w:tc>
          <w:tcPr>
            <w:tcW w:w="8160" w:type="dxa"/>
            <w:vAlign w:val="bottom"/>
          </w:tcPr>
          <w:p>
            <w:pPr>
              <w:ind w:left="48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(124,455)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(163,721)</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Deferred contract acquisition costs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(146,354)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(217,822)</w:t>
            </w:r>
          </w:p>
        </w:tc>
      </w:tr>
      <w:tr>
        <w:trPr>
          <w:trHeight w:val="182"/>
        </w:trPr>
        <w:tc>
          <w:tcPr>
            <w:tcW w:w="816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24,561</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116,391</w:t>
            </w:r>
          </w:p>
        </w:tc>
      </w:tr>
      <w:tr>
        <w:trPr>
          <w:trHeight w:val="182"/>
        </w:trPr>
        <w:tc>
          <w:tcPr>
            <w:tcW w:w="8160" w:type="dxa"/>
            <w:vAlign w:val="bottom"/>
          </w:tcPr>
          <w:p>
            <w:pPr>
              <w:ind w:left="48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174,325</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8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Operating lease liabilities, net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(16,931)</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(17,668)</w:t>
            </w:r>
          </w:p>
        </w:tc>
      </w:tr>
      <w:tr>
        <w:trPr>
          <w:trHeight w:val="176"/>
        </w:trPr>
        <w:tc>
          <w:tcPr>
            <w:tcW w:w="8160" w:type="dxa"/>
            <w:vAlign w:val="bottom"/>
          </w:tcPr>
          <w:p>
            <w:pPr>
              <w:ind w:left="78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1,247,611</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1,078,674</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Purchases of marketable securities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(2,963,597)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(1,927,049)</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Maturities of marketable securities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2,358,078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2,137,875</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(108,413)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(75,568)</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Purchases of strategic investments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(52,800)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(65,050)</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Proceeds from strategic investments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107,244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paid for acquisition, net of cash acquired</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(204,918)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(120,553)</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Purchases of intangible assets</w:t>
            </w:r>
          </w:p>
        </w:tc>
        <w:tc>
          <w:tcPr>
            <w:tcW w:w="3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(10,568)</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8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(864,406)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(60,613)</w:t>
            </w: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6,815</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Proceeds from issuance of common stock for employee stock purchase plan</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32,513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34,605</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employee equity transactions (remitted) to be remitted to employees and tax authorities, net</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Cash paid for repurchases of common stock</w:t>
            </w:r>
          </w:p>
        </w:tc>
        <w:tc>
          <w:tcPr>
            <w:tcW w:w="3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(990,778)</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35,952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(948,687)</w:t>
            </w:r>
          </w:p>
        </w:tc>
      </w:tr>
      <w:tr>
        <w:trPr>
          <w:trHeight w:val="176"/>
        </w:trPr>
        <w:tc>
          <w:tcPr>
            <w:tcW w:w="81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(21,273)</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(36,639)</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397,884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32,735</w:t>
            </w: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 beginning of period</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1,100,243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1,073,353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1,498,127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1,106,088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8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39"/>
        </w:trPr>
        <w:tc>
          <w:tcPr>
            <w:tcW w:w="81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w w:val="90"/>
              </w:rPr>
              <w:t>Reconciliation of cash, cash equivalents, and restricted cash within the condensed consolidated balance sheets to the amounts shown</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98"/>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the condensed consolidated statements of cash flows above: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1,492,910</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1,096,174</w:t>
            </w:r>
          </w:p>
        </w:tc>
      </w:tr>
      <w:tr>
        <w:trPr>
          <w:trHeight w:val="20"/>
        </w:trPr>
        <w:tc>
          <w:tcPr>
            <w:tcW w:w="8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Restricted cash, current included in prepaid expenses and other current assets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4,972</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9,668</w:t>
            </w:r>
          </w:p>
        </w:tc>
      </w:tr>
      <w:tr>
        <w:trPr>
          <w:trHeight w:val="182"/>
        </w:trPr>
        <w:tc>
          <w:tcPr>
            <w:tcW w:w="8160" w:type="dxa"/>
            <w:vAlign w:val="bottom"/>
          </w:tcPr>
          <w:p>
            <w:pPr>
              <w:ind w:left="220"/>
              <w:spacing w:after="0"/>
              <w:rPr>
                <w:sz w:val="20"/>
                <w:szCs w:val="20"/>
                <w:color w:val="auto"/>
              </w:rPr>
            </w:pPr>
            <w:r>
              <w:rPr>
                <w:rFonts w:ascii="Arial" w:cs="Arial" w:eastAsia="Arial" w:hAnsi="Arial"/>
                <w:sz w:val="14"/>
                <w:szCs w:val="14"/>
                <w:color w:val="auto"/>
              </w:rPr>
              <w:t>Restricted cash, noncurrent included in other assets, noncurrent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1"/>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cash, cash equivalents, and restricted cash</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1,498,127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1,106,088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ZOOM VIDEO COMMUNICATIONS, INC. NOTES TO CONDENSED CONSOLIDATED FINANCIAL STATEMENTS (unaudited)</w:t>
      </w:r>
    </w:p>
    <w:p>
      <w:pPr>
        <w:spacing w:after="0" w:line="39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Zoom Video Communications, Inc. and its subsidiaries (collectively, “Zoom,” the “Company,” “we,” “us,” or “our”) connect people through our core unified communications and collaboration platform, which frictionlessly brings together video, phone, chat, webinars events, and contact center, and enables meaningful experiences across disparate devices and locations. We were incorporated in the state of Delaware in April 2011, and are headquartered in San Jose, California.</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fiscal year ends on January 31. References to fiscal year 2024, for example, refer to the fiscal year ending January 31, 2024.</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its subsidiaries, and variable interest entities for which we are the primary beneficiary. All intercompany balances and transactions have been eliminated in consolidation.</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condensed consolidated balance sheet as of January 31, 2023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spacing w:after="0" w:line="8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unaudited condensed consolidated financial statements should be read in conjunction with the audited consolidated financial statements and notes included in our Annual Report on Form 10-K for the year ended January 31, 2023, filed with the SEC on March 3, 2023.</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stock-based compensation expense, the fair value of marketable securities, acquired intangible assets and goodwill, the valuation of deferred income tax assets and uncertain tax positions, and accruals and contingencies. Actual results could materially differ from those estimates.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significant accounting policies are discussed in Note 1. “Summary of Business and Significant Accounting Policies” in the notes to consolidated financial statements included in our Annual Report on Form 10-K for the year ended January 31, 2023, filed with the SEC on March 3, 2023. There have been no significant changes to these policies during the nine months ended October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 Recognition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October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44"/>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44"/>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84"/>
              <w:spacing w:after="0" w:line="139" w:lineRule="exact"/>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ind w:left="160"/>
              <w:spacing w:after="0" w:line="139"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104"/>
              <w:spacing w:after="0" w:line="139"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102"/>
              <w:spacing w:after="0" w:line="139"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433"/>
        </w:trPr>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ind w:left="180"/>
              <w:spacing w:after="0"/>
              <w:rPr>
                <w:sz w:val="20"/>
                <w:szCs w:val="20"/>
                <w:color w:val="auto"/>
              </w:rPr>
            </w:pPr>
            <w:r>
              <w:rPr>
                <w:rFonts w:ascii="Arial" w:cs="Arial" w:eastAsia="Arial" w:hAnsi="Arial"/>
                <w:sz w:val="14"/>
                <w:szCs w:val="14"/>
                <w:b w:val="1"/>
                <w:bCs w:val="1"/>
                <w:color w:val="auto"/>
                <w:w w:val="88"/>
              </w:rPr>
              <w:t>(in thousands, except percentages)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814,311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773,576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2,407,333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2,264,647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337"/>
        </w:trPr>
        <w:tc>
          <w:tcPr>
            <w:tcW w:w="15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20" w:type="dxa"/>
            <w:vAlign w:val="bottom"/>
          </w:tcPr>
          <w:p>
            <w:pPr>
              <w:ind w:left="2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143,917</w:t>
            </w:r>
          </w:p>
        </w:tc>
        <w:tc>
          <w:tcPr>
            <w:tcW w:w="1320" w:type="dxa"/>
            <w:vAlign w:val="bottom"/>
            <w:gridSpan w:val="3"/>
          </w:tcPr>
          <w:p>
            <w:pPr>
              <w:jc w:val="right"/>
              <w:ind w:right="14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146,196</w:t>
            </w:r>
          </w:p>
        </w:tc>
        <w:tc>
          <w:tcPr>
            <w:tcW w:w="1340" w:type="dxa"/>
            <w:vAlign w:val="bottom"/>
            <w:gridSpan w:val="3"/>
          </w:tcPr>
          <w:p>
            <w:pPr>
              <w:jc w:val="right"/>
              <w:ind w:right="14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429,703</w:t>
            </w:r>
          </w:p>
        </w:tc>
        <w:tc>
          <w:tcPr>
            <w:tcW w:w="1340" w:type="dxa"/>
            <w:vAlign w:val="bottom"/>
            <w:gridSpan w:val="3"/>
          </w:tcPr>
          <w:p>
            <w:pPr>
              <w:jc w:val="right"/>
              <w:ind w:right="14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444,372</w:t>
            </w:r>
          </w:p>
        </w:tc>
        <w:tc>
          <w:tcPr>
            <w:tcW w:w="1340" w:type="dxa"/>
            <w:vAlign w:val="bottom"/>
            <w:gridSpan w:val="3"/>
          </w:tcPr>
          <w:p>
            <w:pPr>
              <w:jc w:val="right"/>
              <w:ind w:right="14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337"/>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 Middle</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 and Africa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178,499</w:t>
            </w:r>
          </w:p>
        </w:tc>
        <w:tc>
          <w:tcPr>
            <w:tcW w:w="132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182,127</w:t>
            </w:r>
          </w:p>
        </w:tc>
        <w:tc>
          <w:tcPr>
            <w:tcW w:w="134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543,731</w:t>
            </w:r>
          </w:p>
        </w:tc>
        <w:tc>
          <w:tcPr>
            <w:tcW w:w="1340" w:type="dxa"/>
            <w:vAlign w:val="bottom"/>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566,138</w:t>
            </w:r>
          </w:p>
        </w:tc>
        <w:tc>
          <w:tcPr>
            <w:tcW w:w="134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152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1,136,727</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1,101,899</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3,380,767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3,275,157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$132.3 million and $91.6 million as of October 31, 2023 and January 31, 2023, respectively, and the amount of unbilled accounts receivable included within other assets, noncurrent was immaterial as of October 31, 2023 and January 31, 2023.</w:t>
      </w:r>
    </w:p>
    <w:p>
      <w:pPr>
        <w:spacing w:after="0" w:line="6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three months ended October 31, 2023 and 2022 that was included in deferred revenue at the beginning of each period was $600.8 million and $586.1 million, respectively, and $1,159.6 million and $1,058.7 million during the nine months ended October 31, 2023 and 2022, respectively.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quarterly, or monthly basis, depending on the billing terms with customers. As of October 31, 2023, the aggregate amount of the transaction price allocated to our remaining performance obligations was $3,571.7 million, which consists of both billed consideration in the amount of $1,315.9 million and unbilled consideration in the amount of $2,255.8 million that we expect to recognize as revenue. We expect to recognize 58% of our remaining performance obligations as revenue over the next 12 months and the remainder thereafter.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Investments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31, 2023 and January 31, 2023, our marketable securities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As of October 31, 2023</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4"/>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7"/>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1,608,658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1,596,783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586,787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2,731,636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2,711,776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50,063</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5,037,437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5,001,507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As of January 31, 2023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00" w:type="dxa"/>
            <w:vAlign w:val="bottom"/>
          </w:tcPr>
          <w:p>
            <w:pPr>
              <w:jc w:val="center"/>
              <w:ind w:right="156"/>
              <w:spacing w:after="0" w:line="12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0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810,650</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550,894</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2,910,572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2,861,215</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4,392,058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4,325,836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Unrealized losses for securities that have been in an unrealized loss position for less than 12 months were $22.1 million and $24.8 million as of October 31, 2023 and January 31, 2023, respectively. Unrealized losses for securities that have been in an unrealized loss position for 12 months or longer were $13.9 million and $42.0 million as of October 31, 2023 and January 31, 2023, respectively. 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loss for the three and nine months ended October 31, 2023 and 2022.</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contractual maturities of our marketable securities as of October 31, 2023 and January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9"/>
              </w:rPr>
              <w:t>October 31, 2023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9"/>
              </w:rPr>
              <w:t>January 31, 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3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one year</w:t>
            </w:r>
          </w:p>
        </w:tc>
        <w:tc>
          <w:tcPr>
            <w:tcW w:w="4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2,774,308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2,743,677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Due in one to five years</w:t>
            </w:r>
          </w:p>
        </w:tc>
        <w:tc>
          <w:tcPr>
            <w:tcW w:w="4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2,227,199</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5,001,507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4,325,836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160" w:type="dxa"/>
            <w:vAlign w:val="bottom"/>
            <w:tcBorders>
              <w:top w:val="single" w:sz="8" w:color="CFF0FC"/>
              <w:bottom w:val="single" w:sz="8" w:color="CFF0FC"/>
            </w:tcBorders>
            <w:vMerge w:val="restart"/>
          </w:tcPr>
          <w:p>
            <w:pPr>
              <w:jc w:val="right"/>
              <w:ind w:right="199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investments by form and measurement category as of October 31,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4"/>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Total</w:t>
            </w:r>
          </w:p>
        </w:tc>
      </w:tr>
      <w:tr>
        <w:trPr>
          <w:trHeight w:val="218"/>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349,231</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3,791</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353,022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investments by form and measurement category as of January 31,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4"/>
              </w:rPr>
              <w:t>Measurement Category</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4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4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Measurement Alternative</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Equity Method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Total</w:t>
            </w:r>
          </w:p>
        </w:tc>
      </w:tr>
      <w:tr>
        <w:trPr>
          <w:trHeight w:val="218"/>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
        </w:trPr>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384,592</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14,400</w:t>
            </w:r>
          </w:p>
        </w:tc>
      </w:tr>
      <w:tr>
        <w:trPr>
          <w:trHeight w:val="248"/>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Strategic investments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398,992</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nine months ended October 31, 2023, we made a total of $52.8 million of strategic investments in equity securities of private companies. Based on the terms of these privately-held securities, we determined that we do not have a controlling interest nor the ability to exercise significant influence over the operating and financial policies of the investees. Therefore these investments are currently accounted for under the measurement alternative method.</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second quarter of fiscal year 2024, we sold a total of $107.2 million of strategic investments in equity securities of public companies. The gains on sale, which were not material, were recorded through gains (losses) on strategic investments, net in the condensed consolidated statements of operations.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October 31, 2023</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r>
      <w:tr>
        <w:trPr>
          <w:trHeight w:val="218"/>
        </w:trPr>
        <w:tc>
          <w:tcPr>
            <w:tcW w:w="5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
        </w:trPr>
        <w:tc>
          <w:tcPr>
            <w:tcW w:w="5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865,017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865,017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Cash equivalents</w:t>
            </w: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1,029,975</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865,017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164,958</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1,596,783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1,596,783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2,711,776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2,711,776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Marketable securities</w:t>
            </w:r>
          </w:p>
        </w:tc>
        <w:tc>
          <w:tcPr>
            <w:tcW w:w="5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5,001,507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5,001,507</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Publicly held equity securities included in strategic investments</w:t>
            </w:r>
          </w:p>
        </w:tc>
        <w:tc>
          <w:tcPr>
            <w:tcW w:w="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Privately held debt securities included in strategic investments</w:t>
            </w:r>
          </w:p>
        </w:tc>
        <w:tc>
          <w:tcPr>
            <w:tcW w:w="5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5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6,101,242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930,741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5,166,710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r>
      <w:tr>
        <w:trPr>
          <w:trHeight w:val="20"/>
        </w:trPr>
        <w:tc>
          <w:tcPr>
            <w:tcW w:w="5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30"/>
        </w:trPr>
        <w:tc>
          <w:tcPr>
            <w:tcW w:w="5080" w:type="dxa"/>
            <w:vAlign w:val="bottom"/>
          </w:tcPr>
          <w:p>
            <w:pPr>
              <w:spacing w:after="0"/>
              <w:rPr>
                <w:sz w:val="24"/>
                <w:szCs w:val="24"/>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January 31, 2023</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r>
      <w:tr>
        <w:trPr>
          <w:trHeight w:val="217"/>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6"/>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310,571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310,571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310,571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310,571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550,894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4,325,836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4,325,836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Publicly held equity securities included in strategic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held debt securities included in strategic investments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14,400</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classify our highly liquid money market funds and publicly held equity securities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Business Combinations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Solvvy, Inc.</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May 19, 2022, we acquired 100% of the issued and outstanding share capital of Solvvy, Inc., a private technology company specializing in customer support automation, for an all-cash purchase consideration of $121.2 million. The acquisition adds to our customer service capabilities and enhances our integrated platform by providing conversational AI capabilities. The acquisition has been accounted for as a business combination.</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allocating the purchase consideration, $95.0 million was attributed to goodwill, $26.7 million to intangible assets (consisting of $12.0 million to developed technology and $14.7 million to customer relationships), and $0.5 million to other net liabilities acquired. The goodwill amount represents synergies related to our existing products expected to be realized from the acquisition and assembled workforce. The associated goodwill is not deductible for tax purposes.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the date of the acquisition, the developed technology and customer relationships both had an estimated useful life of 5.0 years, and both are amortized using the straight-line method over their respective estimated useful lives. As of October 31, 2023, the developed technology and customer relationships both had a remaining useful life of 3.5 years.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Transaction costs incurred in connection with the acquisition were immaterial. The results of operations of Solvvy, Inc.,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Workvivo Limited</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On April 21, 2023, we acquired 100% of the issued and outstanding share capital of Workvivo Limited (“Workvivo”), a private technology company that provides an employee experience platform, for an all-cash purchase consideration of $221.8 million. The acquisition extends our platform and offers our customers new ways to keep employees informed, engaged, and connected. The acquisition has been accounted for as a business combination.</w:t>
      </w:r>
    </w:p>
    <w:p>
      <w:pPr>
        <w:spacing w:after="0" w:line="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allocating the purchase consideration, $184.7 million was attributed to goodwill, $28.0 million to intangible assets (primarily consisting of $10.8 million to developed technology and $17.0 million to customer relationships), and $9.1 million to other net assets acquired. The goodwill amount represents synergies related to our existing products expected to be realized from the acquisition and assembled workforce. The associated goodwill is not deductible for tax purposes.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At the date of the acquisition, the developed technology and customer relationships both had an estimated useful life of 5.0 years, and both are amortized using the straight-line method over their respective estimated useful lives. As of October 31, 2023, the developed technology and customer relationships both had a remaining useful life of 4.5 years.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Transaction costs incurred in connection with the acquisition were immaterial. The results of operations of Workvivo, which are not material, have been included in our condensed consolidated financial statements from the date of the acquisition. Pro forma and historical results of operations of the company have not been presented, as the results do not have a material effect on any of the periods presented in our condensed consolidated statements of operations.</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Uncertain tax positions are initially established in connection with the acquisition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80" w:lineRule="exact"/>
        <w:rPr>
          <w:sz w:val="20"/>
          <w:szCs w:val="20"/>
          <w:color w:val="auto"/>
        </w:rPr>
      </w:pPr>
    </w:p>
    <w:p>
      <w:pPr>
        <w:jc w:val="right"/>
        <w:ind w:left="500" w:right="8820" w:hanging="492"/>
        <w:spacing w:after="0" w:line="453" w:lineRule="auto"/>
        <w:tabs>
          <w:tab w:leader="none" w:pos="329"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Components </w:t>
      </w:r>
      <w:r>
        <w:rPr>
          <w:rFonts w:ascii="Arial" w:cs="Arial" w:eastAsia="Arial" w:hAnsi="Arial"/>
          <w:sz w:val="15"/>
          <w:szCs w:val="15"/>
          <w:b w:val="1"/>
          <w:bCs w:val="1"/>
          <w:i w:val="1"/>
          <w:iCs w:val="1"/>
          <w:color w:val="auto"/>
        </w:rPr>
        <w:t>Accounts Receivable, Net</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are recorded for invoiced amounts and amounts for which revenue has been recognized, but not invoiced, net of allowances.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short-term accounts receivable consist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16"/>
                <w:szCs w:val="16"/>
                <w:color w:val="auto"/>
              </w:rPr>
            </w:pPr>
          </w:p>
        </w:tc>
      </w:tr>
      <w:tr>
        <w:trPr>
          <w:trHeight w:val="26"/>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7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9"/>
              </w:rPr>
              <w:t>October 31,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January 31, 2023</w:t>
            </w:r>
          </w:p>
        </w:tc>
      </w:tr>
      <w:tr>
        <w:trPr>
          <w:trHeight w:val="217"/>
        </w:trPr>
        <w:tc>
          <w:tcPr>
            <w:tcW w:w="7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gross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590,610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Less: allowance for credit losses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(33,329)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returns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r>
      <w:tr>
        <w:trPr>
          <w:trHeight w:val="223"/>
        </w:trPr>
        <w:tc>
          <w:tcPr>
            <w:tcW w:w="78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557,404</w:t>
            </w:r>
          </w:p>
        </w:tc>
      </w:tr>
      <w:tr>
        <w:trPr>
          <w:trHeight w:val="21"/>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Below is a rollforward of our allowance for credit losses for the nine months ended October 31,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w:t>
            </w:r>
          </w:p>
        </w:tc>
        <w:tc>
          <w:tcPr>
            <w:tcW w:w="5120" w:type="dxa"/>
            <w:vAlign w:val="bottom"/>
            <w:gridSpan w:val="2"/>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24,900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74"/>
              <w:spacing w:after="0"/>
              <w:rPr>
                <w:sz w:val="20"/>
                <w:szCs w:val="20"/>
                <w:color w:val="auto"/>
              </w:rPr>
            </w:pPr>
            <w:r>
              <w:rPr>
                <w:rFonts w:ascii="Arial" w:cs="Arial" w:eastAsia="Arial" w:hAnsi="Arial"/>
                <w:sz w:val="18"/>
                <w:szCs w:val="18"/>
                <w:color w:val="auto"/>
                <w:w w:val="87"/>
              </w:rPr>
              <w:t>17,000</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39,397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center"/>
              <w:ind w:left="374"/>
              <w:spacing w:after="0"/>
              <w:rPr>
                <w:sz w:val="20"/>
                <w:szCs w:val="20"/>
                <w:color w:val="auto"/>
              </w:rPr>
            </w:pPr>
            <w:r>
              <w:rPr>
                <w:rFonts w:ascii="Arial" w:cs="Arial" w:eastAsia="Arial" w:hAnsi="Arial"/>
                <w:sz w:val="18"/>
                <w:szCs w:val="18"/>
                <w:color w:val="auto"/>
                <w:w w:val="87"/>
              </w:rPr>
              <w:t>34,610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1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(30,968)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2"/>
              </w:rPr>
              <w:t>(27,265)</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Balance as of October 31</w:t>
            </w:r>
          </w:p>
        </w:tc>
        <w:tc>
          <w:tcPr>
            <w:tcW w:w="4140" w:type="dxa"/>
            <w:vAlign w:val="bottom"/>
          </w:tcPr>
          <w:p>
            <w:pPr>
              <w:spacing w:after="0"/>
              <w:rPr>
                <w:sz w:val="19"/>
                <w:szCs w:val="19"/>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33,329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74"/>
              <w:spacing w:after="0"/>
              <w:rPr>
                <w:sz w:val="20"/>
                <w:szCs w:val="20"/>
                <w:color w:val="auto"/>
              </w:rPr>
            </w:pPr>
            <w:r>
              <w:rPr>
                <w:rFonts w:ascii="Arial" w:cs="Arial" w:eastAsia="Arial" w:hAnsi="Arial"/>
                <w:sz w:val="18"/>
                <w:szCs w:val="18"/>
                <w:color w:val="auto"/>
                <w:w w:val="87"/>
              </w:rPr>
              <w:t>24,345</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4140" w:type="dxa"/>
            <w:vAlign w:val="bottom"/>
            <w:vMerge w:val="restart"/>
          </w:tcPr>
          <w:p>
            <w:pPr>
              <w:jc w:val="right"/>
              <w:ind w:right="2050"/>
              <w:spacing w:after="0"/>
              <w:rPr>
                <w:sz w:val="20"/>
                <w:szCs w:val="20"/>
                <w:color w:val="auto"/>
              </w:rPr>
            </w:pPr>
            <w:r>
              <w:rPr>
                <w:rFonts w:ascii="Arial" w:cs="Arial" w:eastAsia="Arial" w:hAnsi="Arial"/>
                <w:sz w:val="18"/>
                <w:szCs w:val="18"/>
                <w:color w:val="auto"/>
              </w:rPr>
              <w:t>17</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7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October 31,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2023</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17,142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from international employee stock sales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163,092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Arial" w:cs="Arial" w:eastAsia="Arial" w:hAnsi="Arial"/>
                <w:sz w:val="18"/>
                <w:szCs w:val="18"/>
                <w:color w:val="auto"/>
              </w:rPr>
              <w:t>Property and equipment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October 31,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January 31, 2023</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249,776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92,055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35,785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25,948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Property and equipment, gross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508,709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412,503</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(159,682)</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252,821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Depreciation and amortization expense was $23.5 million and $19.9 million for the three months ended October 31, 2023 and 2022, respectively, and $68.1 million and $54.6 million for the nine months ended October 31, 2023 and 2022, respectively.</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 Noncurrent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noncurrent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October 31, 2023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January 31, 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43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noncurrent</w:t>
            </w:r>
          </w:p>
        </w:tc>
        <w:tc>
          <w:tcPr>
            <w:tcW w:w="3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3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Prepaid expenses, noncurrent</w:t>
            </w: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60"/>
              <w:spacing w:after="0"/>
              <w:rPr>
                <w:sz w:val="20"/>
                <w:szCs w:val="20"/>
                <w:color w:val="auto"/>
              </w:rPr>
            </w:pPr>
            <w:r>
              <w:rPr>
                <w:rFonts w:ascii="Arial" w:cs="Arial" w:eastAsia="Arial" w:hAnsi="Arial"/>
                <w:sz w:val="18"/>
                <w:szCs w:val="18"/>
                <w:color w:val="auto"/>
              </w:rPr>
              <w:t>Other assets, noncurrent</w:t>
            </w:r>
          </w:p>
        </w:tc>
        <w:tc>
          <w:tcPr>
            <w:tcW w:w="34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143,292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420" w:type="dxa"/>
            <w:vAlign w:val="bottom"/>
            <w:vMerge w:val="restart"/>
          </w:tcPr>
          <w:p>
            <w:pPr>
              <w:jc w:val="right"/>
              <w:ind w:right="199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3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October 31,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January 31, 2023</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160,189</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163,768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139,105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46,441</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Sales and other non-income tax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33,859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 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23,904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22,790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457,716</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Arial" w:cs="Arial" w:eastAsia="Arial" w:hAnsi="Arial"/>
                <w:sz w:val="18"/>
                <w:szCs w:val="18"/>
                <w:color w:val="auto"/>
              </w:rPr>
              <w:t>Other liabilities, noncurrent consisted of the following:</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October 31,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January 31, 2023</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other non-income tax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42,321</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October 31, 2023, we had outstanding non-cancelable purchase obligations with a term of 12 months or longer of approximately $520.0 million in addition to the corresponding amount disclosed in our Annual Report on Form 10-K for the year ended January 31, 2023 filed with the SEC on March 3, 2023, mainly related to third-party cloud hosting.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reputational harm.</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On October 27, 2021, a third substantially identical lawsuit was filed in the same court against the same defendants, seeking unspecified monetary damages and governance reforms. On November 17, 2021, all three derivative lawsuits were consolidated. The consolidated case was stayed pending resolution of the motion to dismiss the securities class action. On April 11, 2023, the court entered a stipulated order that requires defendants to answer, move, or otherwise respond to the operative complaint by June 12, 2023. On June 12, 2023, defendants filed a motion to dismiss the consolidated case. On August 11, 2023, the plaintiff in the consolidated case filed an amended complaint. On October 18, 2023, defendants filed their motion to dismiss the amended complaint.</w:t>
      </w:r>
    </w:p>
    <w:p>
      <w:pPr>
        <w:spacing w:after="0" w:line="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vigorously defending ourselves against these lawsuits.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76"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Beginning on March 30, 2020, multiple putative class actions were filed against us in various U.S. federal district courts and state courts relating to our alleged privacy and security practices, including alleged data sharing with third parties (the “U.S. Privacy Class Actions”).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NDCA with our consent; lead plaintiffs’ counsel have been appointed; and plaintiffs filed their first amended consolidated class action complaint on October 28, 2020. On March 11, 2021, the court granted in part, and denied in part, our motion to dismiss, and gave plaintiffs leave to amend. On July 30, 2021, we entered into a settlement agreement with plaintiffs to settle the action on a classwide basis, and plaintiffs filed a motion for preliminary approval of the settlement with the court on July 31, 2021. On October 21, 2021, the Court preliminarily approved the settlement. Under the terms of the settlement, we have paid $85.0 million into an escrow account that will be used to pay claims filed by settlement class members, attorneys’ fees and expenses, administrative costs, and service payments to plaintiffs. On April 21, 2022, the Court granted final approval of the settlement. On May 19, 2022, two objectors to the settlement appealed the Court's final approval order. On May 20, 2022, a third objector appealed the Court’s final approval order. On October 17, 2022, we, plaintiffs, and all three objector-appellants agreed to settle the appeals, and on October 27, 2022, we and plaintiffs initiated proceedings in the district court to obtain Court approval of the settlements, which the district court approved on December 16, 2022. On January 13, 2023, a new objector appealed the court’s December 16, 2022 approval of the settlements of the prior appeals, and on March 31, 2023, the Ninth Circuit dismissed the new appeal. With the appeals resolved, the class action settlement is final and the settlement administrator is in the process of making payments to claimants.</w:t>
      </w:r>
    </w:p>
    <w:p>
      <w:pPr>
        <w:spacing w:after="0" w:line="66"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On April 7, 2020 and April 8, 2020, securities class action complaints were filed against us and two of our officers in the United States District Court for the NDCA. The plaintiffs are purported stockholders of ours. The complaints allege, among other things, that we violated Sections 10(b) and 20(a) of the Exchange Act,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We filed a motion to dismiss the consolidated complaint on May 20, 2021. Plaintiff filed an opposition to our motion to dismiss on July 9, 2021. Our reply in support of the motion to dismiss was filed on August 9, 2021. On February 16, 2022, the court granted in part, and denied in part, our motion to dismiss. On March 14, 2022, we moved for reconsideration of the court’s ruling on the motion to dismiss. On March 22, 2022, the court ordered plaintiff to respond to our motion, which plaintiff did on March 29, 2022. On April 22, 2022, we answered the complaint. On March 8, 2023, the court denied our motion for reconsideration. On April 6, 2023, the court entered a scheduling order. On July 17, 2023, the parties entered into a stipulation and agreement of settlement (the “Stipulation”) to resolve this matter. Under the terms of the stipulation, in exchange for the release and dismissal with prejudice of all claims against all defendants in the matter, we have agreed to pay and/or cause our insurance carriers to pay a total of $150.0 million. The Stipulation and settlement remain subject to preliminary and final approval by the court. On July 25, 2023, the court entered an order staying further proceedings in the matter pending the filing of a motion for preliminary approval of the settlement. On October 17, 2023, lead plaintiff filed a motion for preliminary approval of the settlement. A hearing on the motion for preliminary approval of the settlement has been scheduled for December 7, 2023. As a result of the settlement, we made net payments of $60.0 million ($150.0 million for the settlement net of $90.0 million covered by insurance) during the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three months ended July 31, 2023, of which $7.5 million had been accrued during the year ended January 31, 2023 and $52.5 million was recorded as a general and administrative expense in our condensed consolidated statement of operations for the nine months ended October 31, 2023. No additional legal settlement charges were recorded for the three months ended October 31, 2023.</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 and Equity Incentive Plans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Plan</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February 2022, our Board of Directors authorized a stock repurchase program of up to $1.0 billion of our Class A common stock, which was completed in December 2022. During the three and nine months ended October 31, 2022, we repurchased and subsequently retired 6,955,529 and 11,044,500 shares of our Class A common stock, respectively, for an aggregate amount of $564.8 million and $990.8 million, respectively.</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two equity incentive plans: the 2011 Global Share Plan (“2011 Plan”) and the 2019 Equity Incentive Plan (“2019 Plan”). All shares that remain available for future grants are under the 2019 Plan.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Stock Options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56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6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8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Exercise</w:t>
            </w:r>
          </w:p>
        </w:tc>
        <w:tc>
          <w:tcPr>
            <w:tcW w:w="15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1"/>
                <w:szCs w:val="11"/>
                <w:color w:val="auto"/>
              </w:rPr>
            </w:pPr>
          </w:p>
        </w:tc>
        <w:tc>
          <w:tcPr>
            <w:tcW w:w="1180" w:type="dxa"/>
            <w:vAlign w:val="bottom"/>
          </w:tcPr>
          <w:p>
            <w:pPr>
              <w:jc w:val="center"/>
              <w:ind w:right="17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7"/>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(in thousands, except share, life, and per share data)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4,800,616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322,929</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(1,214,532)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75,266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Canceled/forfeited/expired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Outstanding and exercisable as of October 31,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3,563,854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188,163</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October 31, 2023, all options have vested and there is no unrecognized stock-based compensation expense remaining.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restricted stock unit (“RSU”) activity under our equity incentive plan and related information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860" w:type="dxa"/>
            <w:vAlign w:val="bottom"/>
            <w:gridSpan w:val="3"/>
          </w:tcPr>
          <w:p>
            <w:pPr>
              <w:ind w:left="1520"/>
              <w:spacing w:after="0"/>
              <w:rPr>
                <w:sz w:val="20"/>
                <w:szCs w:val="20"/>
                <w:color w:val="auto"/>
              </w:rPr>
            </w:pPr>
            <w:r>
              <w:rPr>
                <w:rFonts w:ascii="Arial" w:cs="Arial" w:eastAsia="Arial" w:hAnsi="Arial"/>
                <w:sz w:val="14"/>
                <w:szCs w:val="14"/>
                <w:b w:val="1"/>
                <w:bCs w:val="1"/>
                <w:color w:val="auto"/>
                <w:w w:val="85"/>
              </w:rPr>
              <w:t>RSUs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4"/>
        </w:trPr>
        <w:tc>
          <w:tcPr>
            <w:tcW w:w="7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7860" w:type="dxa"/>
            <w:vAlign w:val="bottom"/>
          </w:tcPr>
          <w:p>
            <w:pPr>
              <w:spacing w:after="0"/>
              <w:rPr>
                <w:sz w:val="12"/>
                <w:szCs w:val="12"/>
                <w:color w:val="auto"/>
              </w:rPr>
            </w:pPr>
          </w:p>
        </w:tc>
        <w:tc>
          <w:tcPr>
            <w:tcW w:w="16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58"/>
              <w:spacing w:after="0" w:line="13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6"/>
        </w:trPr>
        <w:tc>
          <w:tcPr>
            <w:tcW w:w="78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6"/>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January 31, 2023</w:t>
            </w:r>
          </w:p>
        </w:tc>
        <w:tc>
          <w:tcPr>
            <w:tcW w:w="16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5"/>
              </w:rPr>
              <w:t>21,868,533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0" w:type="dxa"/>
            <w:vAlign w:val="bottom"/>
          </w:tcPr>
          <w:p>
            <w:pPr>
              <w:spacing w:after="0"/>
              <w:rPr>
                <w:sz w:val="1"/>
                <w:szCs w:val="1"/>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40" w:type="dxa"/>
            <w:vAlign w:val="bottom"/>
          </w:tcPr>
          <w:p>
            <w:pPr>
              <w:ind w:left="760"/>
              <w:spacing w:after="0"/>
              <w:rPr>
                <w:sz w:val="20"/>
                <w:szCs w:val="20"/>
                <w:color w:val="auto"/>
              </w:rPr>
            </w:pPr>
            <w:r>
              <w:rPr>
                <w:rFonts w:ascii="Arial" w:cs="Arial" w:eastAsia="Arial" w:hAnsi="Arial"/>
                <w:sz w:val="18"/>
                <w:szCs w:val="18"/>
                <w:color w:val="auto"/>
                <w:w w:val="95"/>
              </w:rPr>
              <w:t>17,141,593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(8,747,679)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Canceled/forfeited</w:t>
            </w:r>
          </w:p>
        </w:tc>
        <w:tc>
          <w:tcPr>
            <w:tcW w:w="16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1"/>
              </w:rPr>
              <w:t>(3,772,653)</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October 31, 2023</w:t>
            </w:r>
          </w:p>
        </w:tc>
        <w:tc>
          <w:tcPr>
            <w:tcW w:w="16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5"/>
              </w:rPr>
              <w:t>26,489,794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October 31, 2023, unrecognized stock-based compensation expense related to RSUs was $1,927.5 million, which is expected to be recognized over a weighted-average period of 2.6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In April 2019, we adopted the 2019 Employee Stock Purchase Plan (“ESPP”). As of October 31, 2023, unrecognized stock-based compensation expense related to the ESPP was $46.9 million, which is expected to be recognized over a weighted-average period of 1.2 years.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stock-based compensation expense by line item in the accompanying condensed consolidated statements of operations is summarized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4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 October 31,</w:t>
            </w:r>
          </w:p>
        </w:tc>
        <w:tc>
          <w:tcPr>
            <w:tcW w:w="540" w:type="dxa"/>
            <w:vAlign w:val="bottom"/>
          </w:tcPr>
          <w:p>
            <w:pPr>
              <w:spacing w:after="0"/>
              <w:rPr>
                <w:sz w:val="16"/>
                <w:szCs w:val="16"/>
                <w:color w:val="auto"/>
              </w:rPr>
            </w:pPr>
          </w:p>
        </w:tc>
        <w:tc>
          <w:tcPr>
            <w:tcW w:w="28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34"/>
        </w:trPr>
        <w:tc>
          <w:tcPr>
            <w:tcW w:w="4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9"/>
              </w:rPr>
              <w:t>109,776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86,662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250,165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center"/>
              <w:ind w:left="412"/>
              <w:spacing w:after="0"/>
              <w:rPr>
                <w:sz w:val="20"/>
                <w:szCs w:val="20"/>
                <w:color w:val="auto"/>
              </w:rPr>
            </w:pPr>
            <w:r>
              <w:rPr>
                <w:rFonts w:ascii="Arial" w:cs="Arial" w:eastAsia="Arial" w:hAnsi="Arial"/>
                <w:sz w:val="18"/>
                <w:szCs w:val="18"/>
                <w:color w:val="auto"/>
                <w:w w:val="89"/>
              </w:rPr>
              <w:t>208,654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9"/>
              </w:rPr>
              <w:t>329,100</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w w:val="89"/>
              </w:rPr>
              <w:t>120,163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258,934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302,815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9"/>
              </w:rPr>
              <w:t>767,693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Benefit from income taxes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(48,646)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3"/>
              </w:rPr>
              <w:t>(151,027)</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0"/>
              </w:rPr>
              <w:t>Total stock-based compensation expense recorded to net</w:t>
            </w:r>
          </w:p>
        </w:tc>
        <w:tc>
          <w:tcPr>
            <w:tcW w:w="980" w:type="dxa"/>
            <w:vAlign w:val="bottom"/>
            <w:vMerge w:val="restart"/>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210,288</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248,820</w:t>
            </w: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655,699</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center"/>
              <w:ind w:left="412"/>
              <w:spacing w:after="0"/>
              <w:rPr>
                <w:sz w:val="20"/>
                <w:szCs w:val="20"/>
                <w:color w:val="auto"/>
              </w:rPr>
            </w:pPr>
            <w:r>
              <w:rPr>
                <w:rFonts w:ascii="Arial" w:cs="Arial" w:eastAsia="Arial" w:hAnsi="Arial"/>
                <w:sz w:val="18"/>
                <w:szCs w:val="18"/>
                <w:color w:val="auto"/>
                <w:w w:val="89"/>
              </w:rPr>
              <w:t>616,666</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w:t>
            </w: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Restructuring Activities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February 7, 2023, we announced a restructuring plan (the “Plan”) intended to reduce operating costs and continue advancing our ongoing commitment to profitable growth. The Plan included a reduction of our then-current workforce by approximately 15%.</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execution of the Plan was completed as of July 31, 2023, and therefore no restructuring expense was recorded for the three months ended October 31, 2023. For the nine months ended October 31, 2023, we recorded net restructuring costs of $73.0 million, which consisted of $54.4 million related to employee transition, severance payments, and employee benefits; $17.3 million related to stock-based compensation awards; and $1.3 million for other related expenses.</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our restructuring expenses that were recorded as an operating expense in the condensed consolidated statement of operations for the nine months ended October 31, 2023: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9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October 31, 2023</w:t>
            </w:r>
          </w:p>
        </w:tc>
      </w:tr>
      <w:tr>
        <w:trPr>
          <w:trHeight w:val="194"/>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(in thousands)</w:t>
            </w:r>
          </w:p>
        </w:tc>
      </w:tr>
      <w:tr>
        <w:trPr>
          <w:trHeight w:val="238"/>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19,629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13,315</w:t>
            </w:r>
          </w:p>
        </w:tc>
      </w:tr>
      <w:tr>
        <w:trPr>
          <w:trHeight w:val="248"/>
        </w:trPr>
        <w:tc>
          <w:tcPr>
            <w:tcW w:w="9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restructuring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our restructuring liability that is included in accrued expenses and other current liabilities on the condensed consolidated balance sheet: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ind w:right="98"/>
              <w:spacing w:after="0" w:line="149" w:lineRule="exact"/>
              <w:rPr>
                <w:sz w:val="20"/>
                <w:szCs w:val="20"/>
                <w:color w:val="auto"/>
              </w:rPr>
            </w:pPr>
            <w:r>
              <w:rPr>
                <w:rFonts w:ascii="Arial" w:cs="Arial" w:eastAsia="Arial" w:hAnsi="Arial"/>
                <w:sz w:val="14"/>
                <w:szCs w:val="14"/>
                <w:b w:val="1"/>
                <w:bCs w:val="1"/>
                <w:color w:val="auto"/>
                <w:w w:val="91"/>
              </w:rPr>
              <w:t>Severance and</w:t>
            </w: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termination benefits</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54,361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Balance as of October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compute our provision for income taxes by applying the estimated annual effective tax rate to year-to-date ordinary income and adjust the provision for discrete tax items recorded in the period. In each quarter, we update the estimated annual effective tax rate and make a year-to-date adjustment to the provision.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details of the provision for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 October 31,</w:t>
            </w:r>
          </w:p>
        </w:tc>
      </w:tr>
      <w:tr>
        <w:trPr>
          <w:trHeight w:val="25"/>
        </w:trPr>
        <w:tc>
          <w:tcPr>
            <w:tcW w:w="4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18"/>
        </w:trPr>
        <w:tc>
          <w:tcPr>
            <w:tcW w:w="4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185,826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54,749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479,429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288,820</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9"/>
                <w:szCs w:val="19"/>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color w:val="auto"/>
              </w:rPr>
              <w:t>44,614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140,799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81,059</w:t>
            </w: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r>
    </w:tbl>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year-over-year change in effective tax rate for the three and nine months ended October 31, 2023 was due primarily to changes in the valuation allowance, tax shortfalls and windfalls on stock-based compensation, and the foreign-derived intangible income deduction. For both the three and nine months ended October 31, 2023 and October 31, 2022, the effective tax rate differed from the U.S. federal statutory rate due primarily to the foreign-derived intangible income deduction and research credits, offset by tax shortfalls on stock-based compensation, the valuation allowance recorded on certain deferred tax assets, and other compensation-related permanent differences.</w:t>
      </w:r>
    </w:p>
    <w:p>
      <w:pPr>
        <w:spacing w:after="0" w:line="8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required by the 2017 Tax Cuts and Jobs Act, we started capitalizing research and development expenses incurred beginning in fiscal year 2023. These expenses are capitalized and amortized over five years for domestic research and fifteen years for international research. The mandatory capitalization requirement increases our cash tax liabilities but also decreases our effective tax rate due to increasing the foreign-derived intangible income deduction. The cash flow impact will decrease over time as capitalized research and development expenditures continue to amortize.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 Attributable to Common Stockholders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October 31,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October 31,</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2023</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Class A</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Class A</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B</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Class A</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94"/>
        </w:trPr>
        <w:tc>
          <w:tcPr>
            <w:tcW w:w="190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12"/>
          </w:tcPr>
          <w:p>
            <w:pPr>
              <w:ind w:left="7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285,778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32,926</w:t>
            </w:r>
          </w:p>
        </w:tc>
        <w:tc>
          <w:tcPr>
            <w:tcW w:w="0" w:type="dxa"/>
            <w:vAlign w:val="bottom"/>
          </w:tcPr>
          <w:p>
            <w:pPr>
              <w:spacing w:after="0"/>
              <w:rPr>
                <w:sz w:val="1"/>
                <w:szCs w:val="1"/>
                <w:color w:val="auto"/>
              </w:rPr>
            </w:pPr>
          </w:p>
        </w:tc>
      </w:tr>
      <w:tr>
        <w:trPr>
          <w:trHeight w:val="166"/>
        </w:trPr>
        <w:tc>
          <w:tcPr>
            <w:tcW w:w="1900" w:type="dxa"/>
            <w:vAlign w:val="bottom"/>
          </w:tcPr>
          <w:p>
            <w:pPr>
              <w:ind w:left="20"/>
              <w:spacing w:after="0" w:line="166" w:lineRule="exact"/>
              <w:rPr>
                <w:sz w:val="20"/>
                <w:szCs w:val="20"/>
                <w:color w:val="auto"/>
              </w:rPr>
            </w:pPr>
            <w:r>
              <w:rPr>
                <w:rFonts w:ascii="Arial" w:cs="Arial" w:eastAsia="Arial" w:hAnsi="Arial"/>
                <w:sz w:val="16"/>
                <w:szCs w:val="16"/>
                <w:color w:val="auto"/>
                <w:w w:val="92"/>
              </w:rPr>
              <w:t>Less: undistributed earnings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w w:val="99"/>
              </w:rPr>
              <w:t>attributable to participating</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Net income attributable to</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119,429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21,783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40,726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285,778</w:t>
            </w:r>
          </w:p>
        </w:tc>
        <w:tc>
          <w:tcPr>
            <w:tcW w:w="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52,852</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174,835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32,909</w:t>
            </w:r>
          </w:p>
        </w:tc>
        <w:tc>
          <w:tcPr>
            <w:tcW w:w="0" w:type="dxa"/>
            <w:vAlign w:val="bottom"/>
          </w:tcPr>
          <w:p>
            <w:pPr>
              <w:spacing w:after="0"/>
              <w:rPr>
                <w:sz w:val="1"/>
                <w:szCs w:val="1"/>
                <w:color w:val="auto"/>
              </w:rPr>
            </w:pPr>
          </w:p>
        </w:tc>
      </w:tr>
      <w:tr>
        <w:trPr>
          <w:trHeight w:val="20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common stockholders, basic $</w:t>
            </w: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Reallocation of 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attributable to common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stockholders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Net income attributable to</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common stockholders,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118,509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22,703</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40,158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8,195</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283,144</w:t>
            </w:r>
          </w:p>
        </w:tc>
        <w:tc>
          <w:tcPr>
            <w:tcW w:w="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55,486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172,319</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35,425</w:t>
            </w: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20" w:type="dxa"/>
            <w:vAlign w:val="bottom"/>
            <w:gridSpan w:val="3"/>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Weighted-average shares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used in computing net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income per share</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attributable to common</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255,832,539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46,660,643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248,917,590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46,619,436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252,365,545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46,672,454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250,595,877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47,169,971</w:t>
            </w:r>
          </w:p>
        </w:tc>
        <w:tc>
          <w:tcPr>
            <w:tcW w:w="0" w:type="dxa"/>
            <w:vAlign w:val="bottom"/>
          </w:tcPr>
          <w:p>
            <w:pPr>
              <w:spacing w:after="0"/>
              <w:rPr>
                <w:sz w:val="1"/>
                <w:szCs w:val="1"/>
                <w:color w:val="auto"/>
              </w:rPr>
            </w:pPr>
          </w:p>
        </w:tc>
      </w:tr>
      <w:tr>
        <w:trPr>
          <w:trHeight w:val="212"/>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basic</w:t>
            </w: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00" w:type="dxa"/>
            <w:vAlign w:val="bottom"/>
          </w:tcPr>
          <w:p>
            <w:pPr>
              <w:ind w:left="20"/>
              <w:spacing w:after="0" w:line="166" w:lineRule="exact"/>
              <w:rPr>
                <w:sz w:val="20"/>
                <w:szCs w:val="20"/>
                <w:color w:val="auto"/>
              </w:rPr>
            </w:pPr>
            <w:r>
              <w:rPr>
                <w:rFonts w:ascii="Arial" w:cs="Arial" w:eastAsia="Arial" w:hAnsi="Arial"/>
                <w:sz w:val="16"/>
                <w:szCs w:val="16"/>
                <w:color w:val="auto"/>
              </w:rPr>
              <w:t>Weighted-average shares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used in computing net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income per share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attributable to common</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w w:val="96"/>
              </w:rPr>
              <w:t>260,488,614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w w:val="99"/>
              </w:rPr>
              <w:t>49,901,291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250,803,759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9"/>
              </w:rPr>
              <w:t>51,182,582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w w:val="92"/>
              </w:rPr>
              <w:t>256,573,508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50,278,682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w w:val="94"/>
              </w:rPr>
              <w:t>253,217,436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52,056,376</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stockholders, diluted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Net income per share</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attributable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5"/>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basic</w:t>
            </w:r>
          </w:p>
        </w:tc>
        <w:tc>
          <w:tcPr>
            <w:tcW w:w="14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320" w:type="dxa"/>
            <w:vAlign w:val="bottom"/>
            <w:gridSpan w:val="3"/>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color w:val="auto"/>
              </w:rPr>
              <w:t>attributable to common</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4"/>
                <w:szCs w:val="14"/>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0.45</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3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0.68</w:t>
            </w:r>
          </w:p>
        </w:tc>
        <w:tc>
          <w:tcPr>
            <w:tcW w:w="0" w:type="dxa"/>
            <w:vAlign w:val="bottom"/>
          </w:tcPr>
          <w:p>
            <w:pPr>
              <w:spacing w:after="0"/>
              <w:rPr>
                <w:sz w:val="1"/>
                <w:szCs w:val="1"/>
                <w:color w:val="auto"/>
              </w:rPr>
            </w:pPr>
          </w:p>
        </w:tc>
      </w:tr>
      <w:tr>
        <w:trPr>
          <w:trHeight w:val="185"/>
        </w:trPr>
        <w:tc>
          <w:tcPr>
            <w:tcW w:w="1900" w:type="dxa"/>
            <w:vAlign w:val="bottom"/>
          </w:tcPr>
          <w:p>
            <w:pPr>
              <w:ind w:left="20"/>
              <w:spacing w:after="0"/>
              <w:rPr>
                <w:sz w:val="20"/>
                <w:szCs w:val="20"/>
                <w:color w:val="auto"/>
              </w:rPr>
            </w:pPr>
            <w:r>
              <w:rPr>
                <w:rFonts w:ascii="Arial" w:cs="Arial" w:eastAsia="Arial" w:hAnsi="Arial"/>
                <w:sz w:val="16"/>
                <w:szCs w:val="16"/>
                <w:color w:val="auto"/>
              </w:rPr>
              <w:t>stockholders, diluted</w:t>
            </w:r>
          </w:p>
        </w:tc>
        <w:tc>
          <w:tcPr>
            <w:tcW w:w="1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020" w:type="dxa"/>
            <w:vAlign w:val="bottom"/>
            <w:gridSpan w:val="24"/>
          </w:tcPr>
          <w:p>
            <w:pPr>
              <w:jc w:val="right"/>
              <w:spacing w:after="0"/>
              <w:rPr>
                <w:sz w:val="20"/>
                <w:szCs w:val="20"/>
                <w:color w:val="auto"/>
              </w:rPr>
            </w:pPr>
            <w:r>
              <w:rPr>
                <w:rFonts w:ascii="Arial" w:cs="Arial" w:eastAsia="Arial" w:hAnsi="Arial"/>
                <w:sz w:val="18"/>
                <w:szCs w:val="18"/>
                <w:color w:val="auto"/>
                <w:w w:val="93"/>
              </w:rPr>
              <w:t>The potential shares of common stock that were excluded from the computation of diluted net income per share attributable to common stockholders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4"/>
              </w:rPr>
              <w:t>for</w:t>
            </w:r>
          </w:p>
        </w:tc>
        <w:tc>
          <w:tcPr>
            <w:tcW w:w="900" w:type="dxa"/>
            <w:vAlign w:val="bottom"/>
          </w:tcPr>
          <w:p>
            <w:pPr>
              <w:ind w:left="380"/>
              <w:spacing w:after="0"/>
              <w:rPr>
                <w:sz w:val="20"/>
                <w:szCs w:val="20"/>
                <w:color w:val="auto"/>
              </w:rPr>
            </w:pPr>
            <w:r>
              <w:rPr>
                <w:rFonts w:ascii="Arial" w:cs="Arial" w:eastAsia="Arial" w:hAnsi="Arial"/>
                <w:sz w:val="18"/>
                <w:szCs w:val="18"/>
                <w:color w:val="auto"/>
              </w:rPr>
              <w:t>the</w:t>
            </w:r>
          </w:p>
        </w:tc>
        <w:tc>
          <w:tcPr>
            <w:tcW w:w="720" w:type="dxa"/>
            <w:vAlign w:val="bottom"/>
          </w:tcPr>
          <w:p>
            <w:pPr>
              <w:ind w:left="80"/>
              <w:spacing w:after="0"/>
              <w:rPr>
                <w:sz w:val="20"/>
                <w:szCs w:val="20"/>
                <w:color w:val="auto"/>
              </w:rPr>
            </w:pPr>
            <w:r>
              <w:rPr>
                <w:rFonts w:ascii="Arial" w:cs="Arial" w:eastAsia="Arial" w:hAnsi="Arial"/>
                <w:sz w:val="18"/>
                <w:szCs w:val="18"/>
                <w:color w:val="auto"/>
              </w:rPr>
              <w:t>periods</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presented,</w:t>
            </w:r>
          </w:p>
        </w:tc>
        <w:tc>
          <w:tcPr>
            <w:tcW w:w="1000" w:type="dxa"/>
            <w:vAlign w:val="bottom"/>
          </w:tcPr>
          <w:p>
            <w:pPr>
              <w:ind w:left="100"/>
              <w:spacing w:after="0"/>
              <w:rPr>
                <w:sz w:val="20"/>
                <w:szCs w:val="20"/>
                <w:color w:val="auto"/>
              </w:rPr>
            </w:pPr>
            <w:r>
              <w:rPr>
                <w:rFonts w:ascii="Arial" w:cs="Arial" w:eastAsia="Arial" w:hAnsi="Arial"/>
                <w:sz w:val="18"/>
                <w:szCs w:val="18"/>
                <w:color w:val="auto"/>
              </w:rPr>
              <w:t>because</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including</w:t>
            </w:r>
          </w:p>
        </w:tc>
        <w:tc>
          <w:tcPr>
            <w:tcW w:w="440" w:type="dxa"/>
            <w:vAlign w:val="bottom"/>
            <w:gridSpan w:val="3"/>
          </w:tcPr>
          <w:p>
            <w:pPr>
              <w:ind w:left="20"/>
              <w:spacing w:after="0"/>
              <w:rPr>
                <w:sz w:val="20"/>
                <w:szCs w:val="20"/>
                <w:color w:val="auto"/>
              </w:rPr>
            </w:pPr>
            <w:r>
              <w:rPr>
                <w:rFonts w:ascii="Arial" w:cs="Arial" w:eastAsia="Arial" w:hAnsi="Arial"/>
                <w:sz w:val="18"/>
                <w:szCs w:val="18"/>
                <w:color w:val="auto"/>
                <w:w w:val="99"/>
              </w:rPr>
              <w:t>them</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would</w:t>
            </w:r>
          </w:p>
        </w:tc>
        <w:tc>
          <w:tcPr>
            <w:tcW w:w="860" w:type="dxa"/>
            <w:vAlign w:val="bottom"/>
          </w:tcPr>
          <w:p>
            <w:pPr>
              <w:ind w:left="220"/>
              <w:spacing w:after="0"/>
              <w:rPr>
                <w:sz w:val="20"/>
                <w:szCs w:val="20"/>
                <w:color w:val="auto"/>
              </w:rPr>
            </w:pPr>
            <w:r>
              <w:rPr>
                <w:rFonts w:ascii="Arial" w:cs="Arial" w:eastAsia="Arial" w:hAnsi="Arial"/>
                <w:sz w:val="18"/>
                <w:szCs w:val="18"/>
                <w:color w:val="auto"/>
              </w:rPr>
              <w:t>have</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been</w:t>
            </w:r>
          </w:p>
        </w:tc>
        <w:tc>
          <w:tcPr>
            <w:tcW w:w="1320" w:type="dxa"/>
            <w:vAlign w:val="bottom"/>
            <w:gridSpan w:val="3"/>
          </w:tcPr>
          <w:p>
            <w:pPr>
              <w:ind w:left="340"/>
              <w:spacing w:after="0"/>
              <w:rPr>
                <w:sz w:val="20"/>
                <w:szCs w:val="20"/>
                <w:color w:val="auto"/>
              </w:rPr>
            </w:pPr>
            <w:r>
              <w:rPr>
                <w:rFonts w:ascii="Arial" w:cs="Arial" w:eastAsia="Arial" w:hAnsi="Arial"/>
                <w:sz w:val="18"/>
                <w:szCs w:val="18"/>
                <w:color w:val="auto"/>
                <w:w w:val="99"/>
              </w:rPr>
              <w:t>anti-dilutive,</w:t>
            </w:r>
          </w:p>
        </w:tc>
        <w:tc>
          <w:tcPr>
            <w:tcW w:w="820" w:type="dxa"/>
            <w:vAlign w:val="bottom"/>
          </w:tcPr>
          <w:p>
            <w:pPr>
              <w:jc w:val="right"/>
              <w:ind w:right="200"/>
              <w:spacing w:after="0"/>
              <w:rPr>
                <w:sz w:val="20"/>
                <w:szCs w:val="20"/>
                <w:color w:val="auto"/>
              </w:rPr>
            </w:pPr>
            <w:r>
              <w:rPr>
                <w:rFonts w:ascii="Arial" w:cs="Arial" w:eastAsia="Arial" w:hAnsi="Arial"/>
                <w:sz w:val="18"/>
                <w:szCs w:val="18"/>
                <w:color w:val="auto"/>
              </w:rPr>
              <w:t>are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as</w:t>
            </w:r>
          </w:p>
        </w:tc>
        <w:tc>
          <w:tcPr>
            <w:tcW w:w="880" w:type="dxa"/>
            <w:vAlign w:val="bottom"/>
          </w:tcPr>
          <w:p>
            <w:pPr>
              <w:jc w:val="right"/>
              <w:spacing w:after="0"/>
              <w:rPr>
                <w:sz w:val="20"/>
                <w:szCs w:val="20"/>
                <w:color w:val="auto"/>
              </w:rPr>
            </w:pPr>
            <w:r>
              <w:rPr>
                <w:rFonts w:ascii="Arial" w:cs="Arial" w:eastAsia="Arial" w:hAnsi="Arial"/>
                <w:sz w:val="18"/>
                <w:szCs w:val="18"/>
                <w:color w:val="auto"/>
              </w:rPr>
              <w:t>follows:</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 October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4"/>
              </w:rPr>
              <w:t>Nine Months Ended October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Class A</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6"/>
                <w:szCs w:val="16"/>
                <w:color w:val="auto"/>
              </w:rPr>
            </w:pPr>
          </w:p>
        </w:tc>
        <w:tc>
          <w:tcPr>
            <w:tcW w:w="1000" w:type="dxa"/>
            <w:vAlign w:val="bottom"/>
          </w:tcPr>
          <w:p>
            <w:pPr>
              <w:ind w:left="32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39"/>
              <w:spacing w:after="0"/>
              <w:rPr>
                <w:sz w:val="20"/>
                <w:szCs w:val="20"/>
                <w:color w:val="auto"/>
              </w:rPr>
            </w:pPr>
            <w:r>
              <w:rPr>
                <w:rFonts w:ascii="Arial" w:cs="Arial" w:eastAsia="Arial" w:hAnsi="Arial"/>
                <w:sz w:val="14"/>
                <w:szCs w:val="14"/>
                <w:b w:val="1"/>
                <w:bCs w:val="1"/>
                <w:color w:val="auto"/>
                <w:w w:val="97"/>
              </w:rPr>
              <w:t>Class B</w:t>
            </w:r>
          </w:p>
        </w:tc>
        <w:tc>
          <w:tcPr>
            <w:tcW w:w="80" w:type="dxa"/>
            <w:vAlign w:val="bottom"/>
          </w:tcPr>
          <w:p>
            <w:pPr>
              <w:spacing w:after="0"/>
              <w:rPr>
                <w:sz w:val="16"/>
                <w:szCs w:val="16"/>
                <w:color w:val="auto"/>
              </w:rPr>
            </w:pP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Class A</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20"/>
              <w:spacing w:after="0"/>
              <w:rPr>
                <w:sz w:val="20"/>
                <w:szCs w:val="20"/>
                <w:color w:val="auto"/>
              </w:rPr>
            </w:pPr>
            <w:r>
              <w:rPr>
                <w:rFonts w:ascii="Arial" w:cs="Arial" w:eastAsia="Arial" w:hAnsi="Arial"/>
                <w:sz w:val="14"/>
                <w:szCs w:val="14"/>
                <w:b w:val="1"/>
                <w:bCs w:val="1"/>
                <w:color w:val="auto"/>
                <w:w w:val="97"/>
              </w:rPr>
              <w:t>Class 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24"/>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Unvested RSUs</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7,869,069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12,741,748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9,345,635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7,656,321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1840" w:type="dxa"/>
            <w:vAlign w:val="bottom"/>
            <w:gridSpan w:val="3"/>
          </w:tcPr>
          <w:p>
            <w:pPr>
              <w:ind w:left="20"/>
              <w:spacing w:after="0" w:line="166" w:lineRule="exact"/>
              <w:rPr>
                <w:sz w:val="20"/>
                <w:szCs w:val="20"/>
                <w:color w:val="auto"/>
              </w:rPr>
            </w:pPr>
            <w:r>
              <w:rPr>
                <w:rFonts w:ascii="Arial" w:cs="Arial" w:eastAsia="Arial" w:hAnsi="Arial"/>
                <w:sz w:val="16"/>
                <w:szCs w:val="16"/>
                <w:color w:val="auto"/>
                <w:w w:val="95"/>
              </w:rPr>
              <w:t>Purchase rights committed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1,573,013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ind w:left="760"/>
              <w:spacing w:after="0"/>
              <w:rPr>
                <w:sz w:val="20"/>
                <w:szCs w:val="20"/>
                <w:color w:val="auto"/>
              </w:rPr>
            </w:pPr>
            <w:r>
              <w:rPr>
                <w:rFonts w:ascii="Arial" w:cs="Arial" w:eastAsia="Arial" w:hAnsi="Arial"/>
                <w:sz w:val="16"/>
                <w:szCs w:val="16"/>
                <w:color w:val="auto"/>
              </w:rPr>
              <w:t>—</w:t>
            </w: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color w:val="auto"/>
              </w:rPr>
              <w:t>2,395,761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1,996,477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vMerge w:val="restart"/>
          </w:tcPr>
          <w:p>
            <w:pPr>
              <w:ind w:left="7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1,462,148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120" w:type="dxa"/>
            <w:vAlign w:val="bottom"/>
            <w:gridSpan w:val="2"/>
          </w:tcPr>
          <w:p>
            <w:pPr>
              <w:ind w:left="20"/>
              <w:spacing w:after="0"/>
              <w:rPr>
                <w:sz w:val="20"/>
                <w:szCs w:val="20"/>
                <w:color w:val="auto"/>
              </w:rPr>
            </w:pPr>
            <w:r>
              <w:rPr>
                <w:rFonts w:ascii="Arial" w:cs="Arial" w:eastAsia="Arial" w:hAnsi="Arial"/>
                <w:sz w:val="16"/>
                <w:szCs w:val="16"/>
                <w:color w:val="auto"/>
                <w:w w:val="94"/>
              </w:rPr>
              <w:t>under the ESPP</w:t>
            </w:r>
          </w:p>
        </w:tc>
        <w:tc>
          <w:tcPr>
            <w:tcW w:w="7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7"/>
              </w:rPr>
              <w:t>Outstanding stock options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102,711</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124,547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111,803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75,984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6"/>
                <w:szCs w:val="16"/>
                <w:color w:val="auto"/>
              </w:rPr>
              <w:t>Total</w:t>
            </w: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9,544,793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15,262,056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11,453,915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9,194,453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above does not include 405,156 shares of issued Class A common stock held by us as of October 31, 2023 and 2022 that are reserved for the sole purpose of being transferred to nonprofit organizations.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mission is to make communications frictionless and secure.</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Zoom enables people to connect to others, share ideas, make plans, and build toward a future limited only by their imagination. Our frictionless communications and collaboration platform started with video as its foundation, and we have set the standard for innovation ever since. That is why Zoom is an intuitive, scalable, and secure choice for large enterprises, small businesses, and individuals alike. We provide a unified communications and collaboration platform that delivers happiness and fundamentally changes how people interact, connecting them through frictionless and secure meetings, phone, chat, content sharing and more. Our Developer Platform enables customers, developers, and service providers to easily build apps and integrations on top of Zoom’s industry-leading video communications and collaboration platform, with opportunities for global discovery and distribution. Our virtual and hybrid event solutions allow users to seamlessly create and manage engaging events.</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face-to-face communications build greater empathy and trust. We strive to live up to the trust our customers place in us by delivering a communications solution while prioritizing their privacy and security. Our 29 co-located data centers worldwide and the public cloud in conjunction with our proprietary adaptive rate codec enable us to provide both high-quality and high-definition, real-time video to our customers even in low-bandwidth environments.</w:t>
      </w:r>
    </w:p>
    <w:p>
      <w:pPr>
        <w:spacing w:after="0" w:line="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generate revenue from the sale of subscriptions to our unified communications and collaboration platform. Subscription revenue is driven primarily by the number of paid hosts as well as purchases of additional products, including Zoom Phone, Zoom Spaces, Zoom Events, Zoom Contact Center and Zoom Revenue Accelerator (formerly Zoom IQ for Sales). A host is any user of our unified communications and collaboration platform who initiates a Zoom Meeting and invites one or more participants to join that meeting. We refer to hosts who subscribe to a paid Zoom Meeting plan as “paid hosts.” We define a customer as a separate and distinct buying entity, which can be a single paid user or host or an organization of any size (including a distinct unit of an organization) that has multiple paid hosts. Our Zoom One Basic offering is free and gives hosts access to Zoom Meetings with core features but with the limitation that meetings time-out at 40 minutes. Our core paid offerings are available with our Zoom One bundles: Zoom One Pro, Business, Business Plus, Enterprise, and Enterprise Plus. The Zoom One bundles are designed for different business needs and are composed of Zoom Meetings, Zoom Team Chat, Zoom Whiteboard and Mail and Calendar as well as Zoom Phone, Zoom Webinars and Zoom Rooms for our Enterprise plans. We also offer vertical-specific plans for Education, Healthcare and Government which provide incremental features and functionality, such as different participant limits, administrative controls, and reporting.</w:t>
      </w:r>
    </w:p>
    <w:p>
      <w:pPr>
        <w:spacing w:after="0" w:line="7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four specific markets (Australia/New Zealand, Japan, United Kingdom/Ireland and United States/Canada). In addition, we introduced the Global Select plan in August 2020, which allows customers to select from local numbers and domestic calling in more than 45 countries and territories where Zoom has local public switched telephone network (“PSTN”) coverage.</w:t>
      </w:r>
    </w:p>
    <w:p>
      <w:pPr>
        <w:spacing w:after="0" w:line="8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revenue was $1,136.7 million and $1,101.9 million for the three months ended October 31, 2023 and 2022, respectively, representing period-over-period growth of 3.2%. We had net income of $141.2 million and $48.4 million for the three months ended October 31, 2023 and 2022, respectively. Our revenue was $3,380.8 million and $3,275.2 million for the nine months ended October 31, 2023 and 2022, respectively, representing period-over-period growth of 3.2%. We had net income of $338.6 million and $207.8 million for the nine months ended October 31, 2023 and 2022, respectively. Net cash provided by operating activities was $1,247.6 million and $1,078.7 million for the nine months ended October 31, 2023 and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 and Other Factors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Recent macroeconomic shifts, including high inflation, elevated interest rates, and the responses by central banking authorities, potential recessionary environments, and fluctuations in foreign currency exchange rates, have introduced uncertainty to our business. Additionally, the possibility of a U.S. federal government shutdown, resulting from budgetary challenges, may negatively impact global economic conditions, influencing corporate and consumer spending as well as capital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market liquidity. For the three and nine months ended October 31, 2023, compared to the three and nine months ended October 31, 2022, we continued to experience growth in total revenue and revenue from Enterprise customers. However, macroeconomic conditions have impacted and may continue to impact the future demand for subscriptions to our unified communications and collaboration platform. For example, we have recently experienced elongated sales cycles as well as a decrease in customers’ overall corporate spending. In addition, for the three and nine months ended October 31, 2023, we experienced unfavorable foreign currency impact as a result of the continued strengthening of the U.S. dollar compared to certain foreign jurisdictions where we do a significant amount of business, which resulted in a $3.9 million and $32.6 million negative impact on revenue during the three and nine months ended October 31, 2023, respectively. Many factors may contribute to declines in our growth rate as compared to prior fiscal years, among other things, higher market penetration, increased competition, slowing demand for our platform, a slower than anticipated capitalization on growth opportunities, and the maturation of our business.</w:t>
      </w:r>
    </w:p>
    <w:p>
      <w:pPr>
        <w:spacing w:after="0" w:line="7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are continuously monitoring the impact of these circumstances on our business and financial results, as well as the overall global economy and geopolitical landscape. The implications of macroeconomic conditions on our business, results of operations and overall financial position, particularly in the long term, remain uncertain. On February 7, 2023, as a result of the uncertain economic environment, we announced a restructuring plan intended to reduce operating costs and continue advancing our ongoing commitment to profitable growth. The restructuring plan included a reduction of our then-current workforce by approximately 15%. The execution of the restructuring plan was completed as of July 31, 2023.</w:t>
      </w:r>
    </w:p>
    <w:p>
      <w:pPr>
        <w:spacing w:after="0" w:line="6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addition, the global impacts stemming from the Russian invasion of Ukraine and the recent conflict in Israel and the surrounding area continue to present a high level of uncertainty. Our customers in these regions collectively represented approximately 1% of our net assets and total consolidated revenue as of and for the three and nine months ended October 31, 2023. If the conflicts in these regions persist or worsen, possibly leading to additional sanctions, tightened export restrictions, and greater global economic disruptions and uncertainty, our business and results of operations could be materially impacted. Refer to “Part II—Other Information, Item 1A. Risk Factors” of this Quarterly Report on Form 10-Q for further discussions of the potential impacts of the current macroeconomic conditions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Expansion of Zoom Across Existing Enterprise Customers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Spaces, Contact Center, Revenue Accelerator, Events and Developer Platform Solutions. In order for us to address this opportunity and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58.1% and 55.7% of total revenue for the three months ended October 31, 2023 and 2022, respectively, and 57.7% and 54.1% of total revenue for the nine months ended October 31, 2023 and 2022, respectively. Our net dollar expansion rate includes the increase in user adoption within our Enterprise customers, as our subscription revenue is primarily driven by the number of paid hosts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Enterprise customers. Our trailing 12-month net dollar expansion rate for Enterprise customers as of October 31, 2023 and 2022 was 105% and 117%, respectively.</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Retention of Online Customers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to Enterprise customers, we also have a significant number of customers that subscribe to our services directly through our website (“Online customers”). Online customers represent a diverse customer base, ranging from individual consumers to small and medium size businesses. We continue to focus on acquisition and retention of our Online customer base through various strategies to improve the features and functionalities of our products and services. Revenue from Online customers represented 41.9% and 44.3% of total revenue for the three months ended October 31, 2023 and 2022, respectively, and 42.3% and 45.9% of total revenue for the nine months ended October 31, 2023 and 2022, respectively. The ability to retain these Online customers will have an impact on our future revenue. The online monthly average churn for our Online customers was 3.0% and 3.1% per month for the three months ended October 31, 2023 and 2022, respectively, and 3.1% and 3.4% of total revenue for the nine months ended October 31, 2023 and 2022, respectively. One of the dynamics in the Online portion of the business is the MRR contribution from customers that have retained Zoom services for a certain portion of time as these customers tend to maintain their subscriptions and contribute meaningfully to the Online business. As of October 31, 2023 and 2022, the percentage of total Online MRR from Online customers with a continual term of service of at least 16 months was 73.2% and 70.7%, respectively.</w:t>
      </w:r>
    </w:p>
    <w:p>
      <w:pPr>
        <w:spacing w:after="0" w:line="7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calculate our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We then divided that amount by three to calculate the Online average monthly churn.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continue to invest resources to enhance the capabilities of our platform. For example, we have recently introduced a number of new products and enhancements including Zoom AI Companion (a generative AI digital assistant with key capabilities including Smart Recordings, meeting summary, in-meeting queries, team chat compose, team chat summary, email compose and whiteboard content generation), new features for Zoom Contact Center (Workforce Management and Quality Management), Zoom Notes (a collaborative notetaking tool), integration of Workvivo into the Zoom desktop client, and ongoing enhancements for Zoom Phone, Meetings, Zoom Rooms, Huddles, Webinars and Zoom Events. We also deliver Zoom Phone calling plans in more than 45 countries and territories as of October 31, 2023.</w:t>
      </w:r>
    </w:p>
    <w:p>
      <w:pPr>
        <w:spacing w:after="0" w:line="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also recently announced several upcoming products including Zoom Docs (an AI-powered, multi-purpose workspace that is designed to revolutionize how teams create and collaborate) and an enhanced version of AI Companion that is designed to allow the handling of complex tasks across Zoom using information from multiple sources including third party applications. These products are expected to be generally available in 2024.</w:t>
      </w:r>
    </w:p>
    <w:p>
      <w:pPr>
        <w:spacing w:after="0" w:line="4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April 2023, we acquired Workvivo, an employee experience platform that combines internal communication and engagement tools, a social intranet, and an employee app. With the acquisition, we continue our evolution to provide a collaboration platform that enables modern work and powers the digital-first workplace, offering our customers new ways to keep employees informed, engaged, and connected.</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and collaboration. We will need to expend additional resources to continue introducing new products, features, and functionality, and supporting the efforts of third parties to enhance the value of our platform with their own applications.</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 end-to-end encryption (“E2EE”) option is available to free and paid Zoom customers globally who host meetings with up to 200 participants as well as on Zoom Phone. Zoom’s E2EE uses the same AES-256-GCM encryption that secures Zoom meetings by default, but with Zoom’s E2EE, the meeting host, or originating caller in the case of Zoom Phone, 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opposed to Zoom's servers, generates encryption keys and uses public key cryptography to distribute these keys to the other meeting participants or call recipient.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International Opportunity</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platform addresses the communications and collaboration needs of users worldwide, and we see international expansion as a major opportunity. Our revenue from the rest of world (APAC and EMEA) represented 28.4% and 29.8% of our total revenue for the three months ended October 31, 2023 and 2022, respectively, and 28.8% and 30.9% of our total revenue for the nine months ended October 31, 2023 and 2022, respectively. The decrease in revenue from the rest of the world for the three months ended October 31, 2023 was due to the impact of the strengthening of the U.S dollar along with macroeconomic conditions in the APAC and EMEA regions.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Number of Enterprise Customers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our ability to increase the number of Enterprise customers is an indicator of our potential future business opportunities, the growth of our business, and an indicator of our market penetration. Increasing awareness of our platform and capabilities, coupled with the mainstream adoption of our technology, has expanded the diversity of our customer base to include organizations of all sizes across all industries. Over time, we expect Enterprise customers to represent a larger share of our business. As of October 31, 2023 and 2022, we had approximately 219,700 and 209,300 Enterprise customers, respectively.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Contributing More Than $100,000 of Trailing 12 Months Revenue</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focus on growing the number of customers that contribute more than $100,000 of trailing 12 months revenue as it is a measure of our ability to scale with our customers and attract larger organizations to Zoom. Revenue from these customers represented 29.0% and 27.0% of total revenue for the three months ended October 31, 2023 and 2022, respectively, and 29.0% and 26.3% of total revenue for the nine months ended October 31, 2023 and 2022, respectively. As of October 31, 2023 and 2022, we had 3,731 and 3,286 customers, respectively, that contributed more than $100,000 of trailing 12 months revenue, demonstrating our rapid penetration of larger organizations, including enterprises. These customers are a subset of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addition to our results determined in accordance with GAAP, we believe that free cash flow (“FCF”) is a non-GAAP financial measure that is useful in evaluating our liquidity.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and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the non-GAAP metric as a comparative measure.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a summary of our cash flows for the periods presented and a reconciliation of FCF to net cash provided by operating activities, the most directly comparable financial measure calculated in accordance with GAAP:</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1,078,674</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(75,568)</w:t>
            </w:r>
          </w:p>
        </w:tc>
        <w:tc>
          <w:tcPr>
            <w:tcW w:w="0" w:type="dxa"/>
            <w:vAlign w:val="bottom"/>
          </w:tcPr>
          <w:p>
            <w:pPr>
              <w:spacing w:after="0"/>
              <w:rPr>
                <w:sz w:val="1"/>
                <w:szCs w:val="1"/>
                <w:color w:val="auto"/>
              </w:rPr>
            </w:pPr>
          </w:p>
        </w:tc>
      </w:tr>
      <w:tr>
        <w:trPr>
          <w:trHeight w:val="221"/>
        </w:trPr>
        <w:tc>
          <w:tcPr>
            <w:tcW w:w="782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Free cash flow (non-GAAP)</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1,139,198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1,003,106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(864,406)</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(60,613)</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(948,687)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derive our revenue from subscription agreements with customers for access to our unified communications and collaboration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and collaboration platform. The amount of revenue recognized reflects the consideration that we expect to receive in exchange for these services over the contract term which can include a free period discount.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primarily consists of costs related to hosting our unified communications and collaboration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sales and amortization of deferred contract acquisition costs.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our finance and legal organizations; professional fees for external legal, accounting, and other consulting services; expected credit losses; insurance; certain indirect taxes; litigation settlements; corporate security and regulatory expenses; and allocated overhead.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(Losses) Gains on Strategic Investments,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(Losses) gains on strategic investments, net consist primarily of remeasurement gains or losses on our equity investments.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income (expense) income, net consists primarily of interest income and net accretion on our marketable securities and effect of changes in foreign currency exchange rates.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5" w:right="10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set forth selected condensed consolidated statements of operations data and such data as a percentage of revenue for each of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October 31,</w:t>
            </w:r>
          </w:p>
        </w:tc>
        <w:tc>
          <w:tcPr>
            <w:tcW w:w="540" w:type="dxa"/>
            <w:vAlign w:val="bottom"/>
          </w:tcPr>
          <w:p>
            <w:pPr>
              <w:spacing w:after="0"/>
              <w:rPr>
                <w:sz w:val="16"/>
                <w:szCs w:val="16"/>
                <w:color w:val="auto"/>
              </w:rPr>
            </w:pPr>
          </w:p>
        </w:tc>
        <w:tc>
          <w:tcPr>
            <w:tcW w:w="28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 October 31,</w:t>
            </w:r>
          </w:p>
        </w:tc>
      </w:tr>
      <w:tr>
        <w:trPr>
          <w:trHeight w:val="26"/>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4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r>
      <w:tr>
        <w:trPr>
          <w:trHeight w:val="218"/>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1,136,727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1,101,899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3,380,767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3,275,157</w:t>
            </w:r>
          </w:p>
        </w:tc>
      </w:tr>
      <w:tr>
        <w:trPr>
          <w:trHeight w:val="229"/>
        </w:trPr>
        <w:tc>
          <w:tcPr>
            <w:tcW w:w="44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270,665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806,097</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865,739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831,234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2,469,060</w:t>
            </w: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4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512,801</w:t>
            </w:r>
          </w:p>
        </w:tc>
      </w:tr>
      <w:tr>
        <w:trPr>
          <w:trHeight w:val="229"/>
        </w:trPr>
        <w:tc>
          <w:tcPr>
            <w:tcW w:w="44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374,378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427,747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1,170,255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1,191,004</w:t>
            </w:r>
          </w:p>
        </w:tc>
      </w:tr>
      <w:tr>
        <w:trPr>
          <w:trHeight w:val="229"/>
        </w:trPr>
        <w:tc>
          <w:tcPr>
            <w:tcW w:w="44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141,033</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389,939</w:t>
            </w:r>
          </w:p>
        </w:tc>
      </w:tr>
      <w:tr>
        <w:trPr>
          <w:trHeight w:val="223"/>
        </w:trPr>
        <w:tc>
          <w:tcPr>
            <w:tcW w:w="4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696,350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764,726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2,222,524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2,093,744</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375,316</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(Losses) gains on strategic investments,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(6,898)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(78,014)</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185,826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54,749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479,429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288,820</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81,059</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207,761</w:t>
            </w: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200" w:hanging="174"/>
        <w:spacing w:after="0"/>
        <w:tabs>
          <w:tab w:leader="none" w:pos="20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35,514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41,449</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111,138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center"/>
              <w:ind w:left="431"/>
              <w:spacing w:after="0"/>
              <w:rPr>
                <w:sz w:val="20"/>
                <w:szCs w:val="20"/>
                <w:color w:val="auto"/>
              </w:rPr>
            </w:pPr>
            <w:r>
              <w:rPr>
                <w:rFonts w:ascii="Arial" w:cs="Arial" w:eastAsia="Arial" w:hAnsi="Arial"/>
                <w:sz w:val="18"/>
                <w:szCs w:val="18"/>
                <w:color w:val="auto"/>
                <w:w w:val="89"/>
              </w:rPr>
              <w:t>109,776</w:t>
            </w: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86,662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83,202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250,165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ind w:left="431"/>
              <w:spacing w:after="0"/>
              <w:rPr>
                <w:sz w:val="20"/>
                <w:szCs w:val="20"/>
                <w:color w:val="auto"/>
              </w:rPr>
            </w:pPr>
            <w:r>
              <w:rPr>
                <w:rFonts w:ascii="Arial" w:cs="Arial" w:eastAsia="Arial" w:hAnsi="Arial"/>
                <w:sz w:val="18"/>
                <w:szCs w:val="18"/>
                <w:color w:val="auto"/>
                <w:w w:val="89"/>
              </w:rPr>
              <w:t>208,654</w:t>
            </w:r>
          </w:p>
        </w:tc>
      </w:tr>
      <w:tr>
        <w:trPr>
          <w:trHeight w:val="230"/>
        </w:trPr>
        <w:tc>
          <w:tcPr>
            <w:tcW w:w="44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86,593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125,144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293,104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center"/>
              <w:ind w:left="431"/>
              <w:spacing w:after="0"/>
              <w:rPr>
                <w:sz w:val="20"/>
                <w:szCs w:val="20"/>
                <w:color w:val="auto"/>
              </w:rPr>
            </w:pPr>
            <w:r>
              <w:rPr>
                <w:rFonts w:ascii="Arial" w:cs="Arial" w:eastAsia="Arial" w:hAnsi="Arial"/>
                <w:sz w:val="18"/>
                <w:szCs w:val="18"/>
                <w:color w:val="auto"/>
                <w:w w:val="89"/>
              </w:rPr>
              <w:t>329,100</w:t>
            </w:r>
          </w:p>
        </w:tc>
      </w:tr>
      <w:tr>
        <w:trPr>
          <w:trHeight w:val="229"/>
        </w:trPr>
        <w:tc>
          <w:tcPr>
            <w:tcW w:w="440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50,165</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53,020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148,381</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431"/>
              <w:spacing w:after="0"/>
              <w:rPr>
                <w:sz w:val="20"/>
                <w:szCs w:val="20"/>
                <w:color w:val="auto"/>
              </w:rPr>
            </w:pPr>
            <w:r>
              <w:rPr>
                <w:rFonts w:ascii="Arial" w:cs="Arial" w:eastAsia="Arial" w:hAnsi="Arial"/>
                <w:sz w:val="18"/>
                <w:szCs w:val="18"/>
                <w:color w:val="auto"/>
                <w:w w:val="89"/>
              </w:rPr>
              <w:t>120,163</w:t>
            </w:r>
          </w:p>
        </w:tc>
      </w:tr>
      <w:tr>
        <w:trPr>
          <w:trHeight w:val="248"/>
        </w:trPr>
        <w:tc>
          <w:tcPr>
            <w:tcW w:w="440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258,934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302,815</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802,788</w:t>
            </w:r>
          </w:p>
        </w:tc>
        <w:tc>
          <w:tcPr>
            <w:tcW w:w="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center"/>
              <w:ind w:left="431"/>
              <w:spacing w:after="0"/>
              <w:rPr>
                <w:sz w:val="20"/>
                <w:szCs w:val="20"/>
                <w:color w:val="auto"/>
              </w:rPr>
            </w:pPr>
            <w:r>
              <w:rPr>
                <w:rFonts w:ascii="Arial" w:cs="Arial" w:eastAsia="Arial" w:hAnsi="Arial"/>
                <w:sz w:val="18"/>
                <w:szCs w:val="18"/>
                <w:color w:val="auto"/>
                <w:w w:val="89"/>
              </w:rPr>
              <w:t>767,693</w:t>
            </w: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auto"/>
            </w:tcBorders>
            <w:gridSpan w:val="2"/>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gridSpan w:val="2"/>
          </w:tcPr>
          <w:p>
            <w:pPr>
              <w:spacing w:after="0" w:line="20" w:lineRule="exact"/>
              <w:rPr>
                <w:sz w:val="1"/>
                <w:szCs w:val="1"/>
                <w:color w:val="auto"/>
              </w:rPr>
            </w:pPr>
          </w:p>
        </w:tc>
      </w:tr>
      <w:tr>
        <w:trPr>
          <w:trHeight w:val="597"/>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10"/>
          </w:tcPr>
          <w:p>
            <w:pPr>
              <w:ind w:left="460"/>
              <w:spacing w:after="0"/>
              <w:rPr>
                <w:sz w:val="20"/>
                <w:szCs w:val="20"/>
                <w:color w:val="auto"/>
              </w:rPr>
            </w:pPr>
            <w:r>
              <w:rPr>
                <w:rFonts w:ascii="Arial" w:cs="Arial" w:eastAsia="Arial" w:hAnsi="Arial"/>
                <w:sz w:val="14"/>
                <w:szCs w:val="14"/>
                <w:b w:val="1"/>
                <w:bCs w:val="1"/>
                <w:color w:val="auto"/>
              </w:rPr>
              <w:t>Three Months Ended October 31,</w:t>
            </w:r>
          </w:p>
        </w:tc>
        <w:tc>
          <w:tcPr>
            <w:tcW w:w="360" w:type="dxa"/>
            <w:vAlign w:val="bottom"/>
          </w:tcPr>
          <w:p>
            <w:pPr>
              <w:spacing w:after="0"/>
              <w:rPr>
                <w:sz w:val="24"/>
                <w:szCs w:val="24"/>
                <w:color w:val="auto"/>
              </w:rPr>
            </w:pPr>
          </w:p>
        </w:tc>
        <w:tc>
          <w:tcPr>
            <w:tcW w:w="3020" w:type="dxa"/>
            <w:vAlign w:val="bottom"/>
            <w:gridSpan w:val="6"/>
          </w:tcPr>
          <w:p>
            <w:pPr>
              <w:jc w:val="right"/>
              <w:ind w:right="671"/>
              <w:spacing w:after="0"/>
              <w:rPr>
                <w:sz w:val="20"/>
                <w:szCs w:val="20"/>
                <w:color w:val="auto"/>
              </w:rPr>
            </w:pPr>
            <w:r>
              <w:rPr>
                <w:rFonts w:ascii="Arial" w:cs="Arial" w:eastAsia="Arial" w:hAnsi="Arial"/>
                <w:sz w:val="14"/>
                <w:szCs w:val="14"/>
                <w:b w:val="1"/>
                <w:bCs w:val="1"/>
                <w:color w:val="auto"/>
              </w:rPr>
              <w:t>Nine Months Ended October 31,</w:t>
            </w:r>
          </w:p>
        </w:tc>
      </w:tr>
      <w:tr>
        <w:trPr>
          <w:trHeight w:val="25"/>
        </w:trPr>
        <w:tc>
          <w:tcPr>
            <w:tcW w:w="4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r>
      <w:tr>
        <w:trPr>
          <w:trHeight w:val="218"/>
        </w:trPr>
        <w:tc>
          <w:tcPr>
            <w:tcW w:w="4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gridSpan w:val="9"/>
          </w:tcPr>
          <w:p>
            <w:pPr>
              <w:ind w:left="400"/>
              <w:spacing w:after="0"/>
              <w:rPr>
                <w:sz w:val="20"/>
                <w:szCs w:val="20"/>
                <w:color w:val="auto"/>
              </w:rPr>
            </w:pPr>
            <w:r>
              <w:rPr>
                <w:rFonts w:ascii="Arial" w:cs="Arial" w:eastAsia="Arial" w:hAnsi="Arial"/>
                <w:sz w:val="14"/>
                <w:szCs w:val="14"/>
                <w:b w:val="1"/>
                <w:bCs w:val="1"/>
                <w:color w:val="auto"/>
              </w:rPr>
              <w:t>(as a percentage of revenue)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4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7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24.6</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75.4</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76.3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75.4</w:t>
            </w:r>
          </w:p>
        </w:tc>
      </w:tr>
      <w:tr>
        <w:trPr>
          <w:trHeight w:val="210"/>
        </w:trPr>
        <w:tc>
          <w:tcPr>
            <w:tcW w:w="4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15.7</w:t>
            </w:r>
          </w:p>
        </w:tc>
      </w:tr>
      <w:tr>
        <w:trPr>
          <w:trHeight w:val="230"/>
        </w:trPr>
        <w:tc>
          <w:tcPr>
            <w:tcW w:w="440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36.4</w:t>
            </w:r>
          </w:p>
        </w:tc>
      </w:tr>
      <w:tr>
        <w:trPr>
          <w:trHeight w:val="230"/>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11.8</w:t>
            </w:r>
          </w:p>
        </w:tc>
      </w:tr>
      <w:tr>
        <w:trPr>
          <w:trHeight w:val="223"/>
        </w:trPr>
        <w:tc>
          <w:tcPr>
            <w:tcW w:w="41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65.7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63.9</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w:t>
            </w: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(Losses) gains on strategic investments, net</w:t>
            </w:r>
          </w:p>
        </w:tc>
        <w:tc>
          <w:tcPr>
            <w:tcW w:w="78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ind w:left="471"/>
              <w:spacing w:after="0"/>
              <w:rPr>
                <w:sz w:val="20"/>
                <w:szCs w:val="20"/>
                <w:color w:val="auto"/>
              </w:rPr>
            </w:pPr>
            <w:r>
              <w:rPr>
                <w:rFonts w:ascii="Arial" w:cs="Arial" w:eastAsia="Arial" w:hAnsi="Arial"/>
                <w:sz w:val="18"/>
                <w:szCs w:val="18"/>
                <w:color w:val="auto"/>
                <w:w w:val="91"/>
              </w:rPr>
              <w:t>(2.4)</w:t>
            </w: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1"/>
              </w:rPr>
              <w:t>(0.3)</w:t>
            </w: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8.8</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1"/>
        </w:trPr>
        <w:tc>
          <w:tcPr>
            <w:tcW w:w="4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October 31, 2023 and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Arial" w:cs="Arial" w:eastAsia="Arial" w:hAnsi="Arial"/>
                <w:sz w:val="14"/>
                <w:szCs w:val="14"/>
                <w:b w:val="1"/>
                <w:bCs w:val="1"/>
                <w:color w:val="auto"/>
                <w:w w:val="96"/>
              </w:rPr>
              <w:t>Three Months Ended October 31,</w:t>
            </w:r>
          </w:p>
        </w:tc>
        <w:tc>
          <w:tcPr>
            <w:tcW w:w="120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1,136,727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1,101,899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 xml:space="preserve">Revenue for the three months ended October 31, 2023, increased by $34.8 million, or 3.2%, compared to the three months ended October 31, 2022. The </w:t>
      </w:r>
      <w:r>
        <w:rPr>
          <w:rFonts w:ascii="Arial" w:cs="Arial" w:eastAsia="Arial" w:hAnsi="Arial"/>
          <w:sz w:val="18"/>
          <w:szCs w:val="18"/>
          <w:color w:val="000000"/>
        </w:rPr>
        <w:t>increase in revenue was due to a 7.5% increase in revenue from subscription services provided to Enterprise customers, of which 47.1% and 52.9%</w:t>
      </w:r>
      <w:r>
        <w:rPr>
          <w:rFonts w:ascii="Arial" w:cs="Arial" w:eastAsia="Arial" w:hAnsi="Arial"/>
          <w:sz w:val="18"/>
          <w:szCs w:val="18"/>
          <w:color w:val="231F20"/>
        </w:rPr>
        <w:t xml:space="preserve"> </w:t>
      </w:r>
      <w:r>
        <w:rPr>
          <w:rFonts w:ascii="Arial" w:cs="Arial" w:eastAsia="Arial" w:hAnsi="Arial"/>
          <w:sz w:val="18"/>
          <w:szCs w:val="18"/>
          <w:color w:val="000000"/>
        </w:rPr>
        <w:t>were from existing and new customers, respectively. This increase was partially offset by a 2.4% decline in revenue from subscription services provided to Online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October 31,</w:t>
            </w:r>
          </w:p>
        </w:tc>
        <w:tc>
          <w:tcPr>
            <w:tcW w:w="1240" w:type="dxa"/>
            <w:vAlign w:val="bottom"/>
          </w:tcPr>
          <w:p>
            <w:pPr>
              <w:spacing w:after="0"/>
              <w:rPr>
                <w:sz w:val="16"/>
                <w:szCs w:val="16"/>
                <w:color w:val="auto"/>
              </w:rPr>
            </w:pPr>
          </w:p>
        </w:tc>
      </w:tr>
      <w:tr>
        <w:trPr>
          <w:trHeight w:val="26"/>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
        </w:trPr>
        <w:tc>
          <w:tcPr>
            <w:tcW w:w="6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270,988</w:t>
            </w:r>
          </w:p>
        </w:tc>
        <w:tc>
          <w:tcPr>
            <w:tcW w:w="80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270,665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865,739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831,234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76.2 %</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75.4 %</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bl>
    <w:p>
      <w:pPr>
        <w:spacing w:after="0" w:line="28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231F20"/>
        </w:rPr>
        <w:t>Cost of revenue for the three months ended October 31, 2023, increased by $0.3 million, or 0.1%, compared to the three months ended October 31, 2022. Cost of revenue remained flat as increased hosting costs associated with the introduction of Zoom AI Companion were offset by the net impact of the transition from third-party cloud hosting to internal data centers and cloud optimization, and a decrease in stock-based compensation expense.</w:t>
      </w:r>
    </w:p>
    <w:p>
      <w:pPr>
        <w:spacing w:after="0" w:line="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Gross margin increased to 76.2% for the three months ended </w:t>
      </w:r>
      <w:r>
        <w:rPr>
          <w:rFonts w:ascii="Arial" w:cs="Arial" w:eastAsia="Arial" w:hAnsi="Arial"/>
          <w:sz w:val="18"/>
          <w:szCs w:val="18"/>
          <w:color w:val="231F20"/>
        </w:rPr>
        <w:t>October 31, 2023,</w:t>
      </w:r>
      <w:r>
        <w:rPr>
          <w:rFonts w:ascii="Arial" w:cs="Arial" w:eastAsia="Arial" w:hAnsi="Arial"/>
          <w:sz w:val="18"/>
          <w:szCs w:val="18"/>
          <w:color w:val="auto"/>
        </w:rPr>
        <w:t xml:space="preserve"> from 75.4% for the three months ended </w:t>
      </w:r>
      <w:r>
        <w:rPr>
          <w:rFonts w:ascii="Arial" w:cs="Arial" w:eastAsia="Arial" w:hAnsi="Arial"/>
          <w:sz w:val="18"/>
          <w:szCs w:val="18"/>
          <w:color w:val="231F20"/>
        </w:rPr>
        <w:t>October 31, 2022</w:t>
      </w:r>
      <w:r>
        <w:rPr>
          <w:rFonts w:ascii="Arial" w:cs="Arial" w:eastAsia="Arial" w:hAnsi="Arial"/>
          <w:sz w:val="18"/>
          <w:szCs w:val="18"/>
          <w:color w:val="auto"/>
        </w:rPr>
        <w:t>. The increase in gross margin was mainly due to increased efficiencies as we expanded our internal data center capacity.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Arial" w:cs="Arial" w:eastAsia="Arial" w:hAnsi="Arial"/>
                <w:sz w:val="14"/>
                <w:szCs w:val="14"/>
                <w:b w:val="1"/>
                <w:bCs w:val="1"/>
                <w:color w:val="auto"/>
                <w:w w:val="96"/>
              </w:rPr>
              <w:t>Three Months Ended October 31,</w:t>
            </w:r>
          </w:p>
        </w:tc>
        <w:tc>
          <w:tcPr>
            <w:tcW w:w="120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196,832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195,946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0.5 %</w:t>
            </w: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 xml:space="preserve">Research and development expense for the three months ended October 31, 2023, increased by $0.9 million, or 0.5%, compared to the three months ended October 31, 2022. Research and development expense remained flat </w:t>
      </w:r>
      <w:r>
        <w:rPr>
          <w:rFonts w:ascii="Arial" w:cs="Arial" w:eastAsia="Arial" w:hAnsi="Arial"/>
          <w:sz w:val="18"/>
          <w:szCs w:val="18"/>
          <w:color w:val="000000"/>
        </w:rPr>
        <w:t>due to a</w:t>
      </w:r>
      <w:r>
        <w:rPr>
          <w:rFonts w:ascii="Arial" w:cs="Arial" w:eastAsia="Arial" w:hAnsi="Arial"/>
          <w:sz w:val="18"/>
          <w:szCs w:val="18"/>
          <w:color w:val="231F20"/>
        </w:rPr>
        <w:t xml:space="preserve"> $3.5 million increase in stock-based compensation expense, offset by a $3.0 million decrease in salaries, payroll taxes and benefits.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Arial" w:cs="Arial" w:eastAsia="Arial" w:hAnsi="Arial"/>
                <w:sz w:val="14"/>
                <w:szCs w:val="14"/>
                <w:b w:val="1"/>
                <w:bCs w:val="1"/>
                <w:color w:val="auto"/>
                <w:w w:val="96"/>
              </w:rPr>
              <w:t>Three Months Ended October 31,</w:t>
            </w:r>
          </w:p>
        </w:tc>
        <w:tc>
          <w:tcPr>
            <w:tcW w:w="120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374,378</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427,747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Sales and marketing expense for the three months ended October 31, 2023, decreased by $53.4 million, or 12.5%, compared to the three months ended October 31, 2022. The decrease in sales and marketing expense was primarily due to 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$60.5 million decrease in personnel-related expenses, which includes a $38.6 million decrease in </w:t>
      </w:r>
      <w:r>
        <w:rPr>
          <w:rFonts w:ascii="Arial" w:cs="Arial" w:eastAsia="Arial" w:hAnsi="Arial"/>
          <w:sz w:val="18"/>
          <w:szCs w:val="18"/>
          <w:color w:val="000000"/>
        </w:rPr>
        <w:t>stock-based compensation expense, a</w:t>
      </w:r>
      <w:r>
        <w:rPr>
          <w:rFonts w:ascii="Arial" w:cs="Arial" w:eastAsia="Arial" w:hAnsi="Arial"/>
          <w:sz w:val="18"/>
          <w:szCs w:val="18"/>
          <w:color w:val="231F20"/>
        </w:rPr>
        <w:t xml:space="preserve"> $13.7 million </w:t>
      </w:r>
      <w:r>
        <w:rPr>
          <w:rFonts w:ascii="Arial" w:cs="Arial" w:eastAsia="Arial" w:hAnsi="Arial"/>
          <w:sz w:val="18"/>
          <w:szCs w:val="18"/>
          <w:color w:val="000000"/>
        </w:rPr>
        <w:t xml:space="preserve">decrease </w:t>
      </w:r>
      <w:r>
        <w:rPr>
          <w:rFonts w:ascii="Arial" w:cs="Arial" w:eastAsia="Arial" w:hAnsi="Arial"/>
          <w:sz w:val="18"/>
          <w:szCs w:val="18"/>
          <w:color w:val="231F20"/>
        </w:rPr>
        <w:t>in salaries, payroll taxes and benefits, and a $8.2 million decrease in commissions expense.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Arial" w:cs="Arial" w:eastAsia="Arial" w:hAnsi="Arial"/>
                <w:sz w:val="14"/>
                <w:szCs w:val="14"/>
                <w:b w:val="1"/>
                <w:bCs w:val="1"/>
                <w:color w:val="auto"/>
                <w:w w:val="96"/>
              </w:rPr>
              <w:t>Three Months Ended October 31,</w:t>
            </w:r>
          </w:p>
        </w:tc>
        <w:tc>
          <w:tcPr>
            <w:tcW w:w="120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125,140</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 xml:space="preserve">General and administrative expense for the three months ended October 31, 2023, decreased by $15.9 million, or 11.3%, compared to the three months ended October 31, 2022. The decrease in general and administrative expense was primarily </w:t>
      </w:r>
      <w:r>
        <w:rPr>
          <w:rFonts w:ascii="Arial" w:cs="Arial" w:eastAsia="Arial" w:hAnsi="Arial"/>
          <w:sz w:val="18"/>
          <w:szCs w:val="18"/>
          <w:color w:val="000000"/>
        </w:rPr>
        <w:t>due to a</w:t>
      </w:r>
      <w:r>
        <w:rPr>
          <w:rFonts w:ascii="Arial" w:cs="Arial" w:eastAsia="Arial" w:hAnsi="Arial"/>
          <w:sz w:val="18"/>
          <w:szCs w:val="18"/>
          <w:color w:val="231F20"/>
        </w:rPr>
        <w:t xml:space="preserve"> $4.3 million </w:t>
      </w:r>
      <w:r>
        <w:rPr>
          <w:rFonts w:ascii="Arial" w:cs="Arial" w:eastAsia="Arial" w:hAnsi="Arial"/>
          <w:sz w:val="18"/>
          <w:szCs w:val="18"/>
          <w:color w:val="000000"/>
        </w:rPr>
        <w:t>decrease in outside contractor</w:t>
      </w:r>
      <w:r>
        <w:rPr>
          <w:rFonts w:ascii="Arial" w:cs="Arial" w:eastAsia="Arial" w:hAnsi="Arial"/>
          <w:sz w:val="18"/>
          <w:szCs w:val="18"/>
          <w:color w:val="231F20"/>
        </w:rPr>
        <w:t xml:space="preserve"> </w:t>
      </w:r>
      <w:r>
        <w:rPr>
          <w:rFonts w:ascii="Arial" w:cs="Arial" w:eastAsia="Arial" w:hAnsi="Arial"/>
          <w:sz w:val="18"/>
          <w:szCs w:val="18"/>
          <w:color w:val="000000"/>
        </w:rPr>
        <w:t xml:space="preserve">expenses, a </w:t>
      </w:r>
      <w:r>
        <w:rPr>
          <w:rFonts w:ascii="Arial" w:cs="Arial" w:eastAsia="Arial" w:hAnsi="Arial"/>
          <w:sz w:val="18"/>
          <w:szCs w:val="18"/>
          <w:color w:val="231F20"/>
        </w:rPr>
        <w:t>$3.3 million</w:t>
      </w:r>
      <w:r>
        <w:rPr>
          <w:rFonts w:ascii="Arial" w:cs="Arial" w:eastAsia="Arial" w:hAnsi="Arial"/>
          <w:sz w:val="18"/>
          <w:szCs w:val="18"/>
          <w:color w:val="000000"/>
        </w:rPr>
        <w:t xml:space="preserve"> decrease </w:t>
      </w:r>
      <w:r>
        <w:rPr>
          <w:rFonts w:ascii="Arial" w:cs="Arial" w:eastAsia="Arial" w:hAnsi="Arial"/>
          <w:sz w:val="18"/>
          <w:szCs w:val="18"/>
          <w:color w:val="231F20"/>
        </w:rPr>
        <w:t>in legal expenses, and a $3.1 million decrease in bad debt expense.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(Losses) Gains on Strategic Investments,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ind w:left="940"/>
              <w:spacing w:after="0"/>
              <w:rPr>
                <w:sz w:val="20"/>
                <w:szCs w:val="20"/>
                <w:color w:val="auto"/>
              </w:rPr>
            </w:pPr>
            <w:r>
              <w:rPr>
                <w:rFonts w:ascii="Arial" w:cs="Arial" w:eastAsia="Arial" w:hAnsi="Arial"/>
                <w:sz w:val="14"/>
                <w:szCs w:val="14"/>
                <w:b w:val="1"/>
                <w:bCs w:val="1"/>
                <w:color w:val="auto"/>
                <w:w w:val="96"/>
              </w:rPr>
              <w:t>Three Months Ended October 31,</w:t>
            </w:r>
          </w:p>
        </w:tc>
        <w:tc>
          <w:tcPr>
            <w:tcW w:w="120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gains on strategic investments, net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269.3 %</w:t>
            </w: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Losses on strategic investments, net for the three months ended October 31, 2023, increased by $18.6 million, or 269.3%, compared to the three months ended October 31, 2022. The increase was mainly due to changes in the values of our publicly held securities.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80" w:type="dxa"/>
            <w:vAlign w:val="bottom"/>
            <w:gridSpan w:val="6"/>
          </w:tcPr>
          <w:p>
            <w:pPr>
              <w:ind w:left="440"/>
              <w:spacing w:after="0"/>
              <w:rPr>
                <w:sz w:val="20"/>
                <w:szCs w:val="20"/>
                <w:color w:val="auto"/>
              </w:rPr>
            </w:pPr>
            <w:r>
              <w:rPr>
                <w:rFonts w:ascii="Arial" w:cs="Arial" w:eastAsia="Arial" w:hAnsi="Arial"/>
                <w:sz w:val="14"/>
                <w:szCs w:val="14"/>
                <w:b w:val="1"/>
                <w:bCs w:val="1"/>
                <w:color w:val="auto"/>
                <w:w w:val="96"/>
              </w:rPr>
              <w:t>Three Months Ended October 31,</w:t>
            </w:r>
          </w:p>
        </w:tc>
        <w:tc>
          <w:tcPr>
            <w:tcW w:w="120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w w:val="87"/>
              </w:rPr>
              <w:t>41,908</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962.1 %</w:t>
            </w: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Other income (expense), net for the three months ended October 31, 2023, increased by $46.8 million, or 962.1%, compared to the three months ended October 31, 2022. The increase was mainly due to a $44.0 million increase in investment yield from cash and marketable securities and a $2.7 million increase related to changes in foreign currency exchange rates.</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60" w:type="dxa"/>
            <w:vAlign w:val="bottom"/>
            <w:gridSpan w:val="6"/>
          </w:tcPr>
          <w:p>
            <w:pPr>
              <w:ind w:left="420"/>
              <w:spacing w:after="0"/>
              <w:rPr>
                <w:sz w:val="20"/>
                <w:szCs w:val="20"/>
                <w:color w:val="auto"/>
              </w:rPr>
            </w:pPr>
            <w:r>
              <w:rPr>
                <w:rFonts w:ascii="Arial" w:cs="Arial" w:eastAsia="Arial" w:hAnsi="Arial"/>
                <w:sz w:val="14"/>
                <w:szCs w:val="14"/>
                <w:b w:val="1"/>
                <w:bCs w:val="1"/>
                <w:color w:val="auto"/>
                <w:w w:val="96"/>
              </w:rPr>
              <w:t>Three Months Ended October 31,</w:t>
            </w:r>
          </w:p>
        </w:tc>
        <w:tc>
          <w:tcPr>
            <w:tcW w:w="120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6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w w:val="83"/>
              </w:rPr>
              <w:t>44,614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597.5 %</w:t>
            </w: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Provision for income taxes for the three months ended October 31, 2023 increased by $38.2 million, or 597.5%, compared to the three months ended October 31, 2022. The year-over-year change was </w:t>
      </w:r>
      <w:r>
        <w:rPr>
          <w:rFonts w:ascii="Arial" w:cs="Arial" w:eastAsia="Arial" w:hAnsi="Arial"/>
          <w:sz w:val="18"/>
          <w:szCs w:val="18"/>
          <w:color w:val="231F20"/>
        </w:rPr>
        <w:t>due</w:t>
      </w:r>
      <w:r>
        <w:rPr>
          <w:rFonts w:ascii="Arial" w:cs="Arial" w:eastAsia="Arial" w:hAnsi="Arial"/>
          <w:sz w:val="18"/>
          <w:szCs w:val="18"/>
          <w:color w:val="auto"/>
        </w:rPr>
        <w:t xml:space="preserve"> primarily to the increase in income before taxes, tax shortfalls on stock-based compensation, the foreign-derived intangible income deduction, and other compensation-related permanent differences.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October 31, 2023 and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Arial" w:cs="Arial" w:eastAsia="Arial" w:hAnsi="Arial"/>
                <w:sz w:val="14"/>
                <w:szCs w:val="14"/>
                <w:b w:val="1"/>
                <w:bCs w:val="1"/>
                <w:color w:val="auto"/>
                <w:w w:val="97"/>
              </w:rPr>
              <w:t>Nine Months Ended October 31,</w:t>
            </w:r>
          </w:p>
        </w:tc>
        <w:tc>
          <w:tcPr>
            <w:tcW w:w="122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3,380,767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3,275,157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3.2 %</w:t>
            </w: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 xml:space="preserve">Revenue for the nine months ended October 31, 2023, increased by $105.6 million, or 3.2%, compared to the nine months ended October 31, 2022. The </w:t>
      </w:r>
      <w:r>
        <w:rPr>
          <w:rFonts w:ascii="Arial" w:cs="Arial" w:eastAsia="Arial" w:hAnsi="Arial"/>
          <w:sz w:val="18"/>
          <w:szCs w:val="18"/>
          <w:color w:val="000000"/>
        </w:rPr>
        <w:t>increase in revenue was due to a 10.0% increase in revenue from subscription services provided to Enterprise customers, of which 68.8% and 31.2%</w:t>
      </w:r>
      <w:r>
        <w:rPr>
          <w:rFonts w:ascii="Arial" w:cs="Arial" w:eastAsia="Arial" w:hAnsi="Arial"/>
          <w:sz w:val="18"/>
          <w:szCs w:val="18"/>
          <w:color w:val="231F20"/>
        </w:rPr>
        <w:t xml:space="preserve"> </w:t>
      </w:r>
      <w:r>
        <w:rPr>
          <w:rFonts w:ascii="Arial" w:cs="Arial" w:eastAsia="Arial" w:hAnsi="Arial"/>
          <w:sz w:val="18"/>
          <w:szCs w:val="18"/>
          <w:color w:val="000000"/>
        </w:rPr>
        <w:t>were from existing and new customers, respectively. This increase was partially offset by a 4.7% decline in revenue from subscription services provided to Online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2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October 31,</w:t>
            </w:r>
          </w:p>
        </w:tc>
        <w:tc>
          <w:tcPr>
            <w:tcW w:w="126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801,494</w:t>
            </w:r>
          </w:p>
        </w:tc>
        <w:tc>
          <w:tcPr>
            <w:tcW w:w="7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806,097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2,579,273</w:t>
            </w: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2,469,060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76.3 %</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75.4 %</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bl>
    <w:p>
      <w:pPr>
        <w:spacing w:after="0" w:line="28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231F20"/>
        </w:rPr>
        <w:t>Cost of revenue for the nine months ended October 31, 2023, decreased by $4.6 million, or 0.6%, compared to the nine months ended October 31, 2022. The savings realized from transitioning from third-party cloud hosting to internal data centers and cloud optimization were offset by an increase in hosting costs associated with the introduction of Zoom AI Companion along with personnel-related expenses associated with restructuring.</w:t>
      </w:r>
    </w:p>
    <w:p>
      <w:pPr>
        <w:spacing w:after="0" w:line="4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Gross margin increased to 76.3% for the nine months ended </w:t>
      </w:r>
      <w:r>
        <w:rPr>
          <w:rFonts w:ascii="Arial" w:cs="Arial" w:eastAsia="Arial" w:hAnsi="Arial"/>
          <w:sz w:val="18"/>
          <w:szCs w:val="18"/>
          <w:color w:val="231F20"/>
        </w:rPr>
        <w:t>October 31, 2023,</w:t>
      </w:r>
      <w:r>
        <w:rPr>
          <w:rFonts w:ascii="Arial" w:cs="Arial" w:eastAsia="Arial" w:hAnsi="Arial"/>
          <w:sz w:val="18"/>
          <w:szCs w:val="18"/>
          <w:color w:val="auto"/>
        </w:rPr>
        <w:t xml:space="preserve"> from 75.4% for the nine months ended </w:t>
      </w:r>
      <w:r>
        <w:rPr>
          <w:rFonts w:ascii="Arial" w:cs="Arial" w:eastAsia="Arial" w:hAnsi="Arial"/>
          <w:sz w:val="18"/>
          <w:szCs w:val="18"/>
          <w:color w:val="231F20"/>
        </w:rPr>
        <w:t>October 31, 2022</w:t>
      </w:r>
      <w:r>
        <w:rPr>
          <w:rFonts w:ascii="Arial" w:cs="Arial" w:eastAsia="Arial" w:hAnsi="Arial"/>
          <w:sz w:val="18"/>
          <w:szCs w:val="18"/>
          <w:color w:val="auto"/>
        </w:rPr>
        <w:t>. The increase in gross margin was mainly due to increased efficiencies as we expanded our internal data center capacity.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Arial" w:cs="Arial" w:eastAsia="Arial" w:hAnsi="Arial"/>
                <w:sz w:val="14"/>
                <w:szCs w:val="14"/>
                <w:b w:val="1"/>
                <w:bCs w:val="1"/>
                <w:color w:val="auto"/>
                <w:w w:val="97"/>
              </w:rPr>
              <w:t>Nine Months Ended October 31,</w:t>
            </w:r>
          </w:p>
        </w:tc>
        <w:tc>
          <w:tcPr>
            <w:tcW w:w="122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597,905</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512,801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16.6 %</w:t>
            </w: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 xml:space="preserve">Research and development expense for the nine months ended October 31, 2023, increased by $85.1 million, or 16.6%, compared to the nine months ended October 31, 2022. </w:t>
      </w:r>
      <w:r>
        <w:rPr>
          <w:rFonts w:ascii="Arial" w:cs="Arial" w:eastAsia="Arial" w:hAnsi="Arial"/>
          <w:sz w:val="18"/>
          <w:szCs w:val="18"/>
          <w:color w:val="000000"/>
        </w:rPr>
        <w:t>The increase was primarily due to a</w:t>
      </w:r>
      <w:r>
        <w:rPr>
          <w:rFonts w:ascii="Arial" w:cs="Arial" w:eastAsia="Arial" w:hAnsi="Arial"/>
          <w:sz w:val="18"/>
          <w:szCs w:val="18"/>
          <w:color w:val="231F20"/>
        </w:rPr>
        <w:t xml:space="preserve"> $77.2 million increase in </w:t>
      </w:r>
      <w:r>
        <w:rPr>
          <w:rFonts w:ascii="Arial" w:cs="Arial" w:eastAsia="Arial" w:hAnsi="Arial"/>
          <w:sz w:val="18"/>
          <w:szCs w:val="18"/>
          <w:color w:val="000000"/>
        </w:rPr>
        <w:t>personnel-related expenses</w:t>
      </w:r>
      <w:r>
        <w:rPr>
          <w:rFonts w:ascii="Arial" w:cs="Arial" w:eastAsia="Arial" w:hAnsi="Arial"/>
          <w:sz w:val="18"/>
          <w:szCs w:val="18"/>
          <w:color w:val="231F20"/>
        </w:rPr>
        <w:t xml:space="preserve">, which includes </w:t>
      </w:r>
      <w:r>
        <w:rPr>
          <w:rFonts w:ascii="Arial" w:cs="Arial" w:eastAsia="Arial" w:hAnsi="Arial"/>
          <w:sz w:val="18"/>
          <w:szCs w:val="18"/>
          <w:color w:val="000000"/>
        </w:rPr>
        <w:t>a</w:t>
      </w:r>
      <w:r>
        <w:rPr>
          <w:rFonts w:ascii="Arial" w:cs="Arial" w:eastAsia="Arial" w:hAnsi="Arial"/>
          <w:sz w:val="18"/>
          <w:szCs w:val="18"/>
          <w:color w:val="231F20"/>
        </w:rPr>
        <w:t xml:space="preserve"> $37.2 million </w:t>
      </w:r>
      <w:r>
        <w:rPr>
          <w:rFonts w:ascii="Arial" w:cs="Arial" w:eastAsia="Arial" w:hAnsi="Arial"/>
          <w:sz w:val="18"/>
          <w:szCs w:val="18"/>
          <w:color w:val="000000"/>
        </w:rPr>
        <w:t>increase</w:t>
      </w:r>
      <w:r>
        <w:rPr>
          <w:rFonts w:ascii="Arial" w:cs="Arial" w:eastAsia="Arial" w:hAnsi="Arial"/>
          <w:sz w:val="18"/>
          <w:szCs w:val="18"/>
          <w:color w:val="231F20"/>
        </w:rPr>
        <w:t xml:space="preserve"> </w:t>
      </w:r>
      <w:r>
        <w:rPr>
          <w:rFonts w:ascii="Arial" w:cs="Arial" w:eastAsia="Arial" w:hAnsi="Arial"/>
          <w:sz w:val="18"/>
          <w:szCs w:val="18"/>
          <w:color w:val="000000"/>
        </w:rPr>
        <w:t xml:space="preserve">in stock-based compensation expense, a </w:t>
      </w:r>
      <w:r>
        <w:rPr>
          <w:rFonts w:ascii="Arial" w:cs="Arial" w:eastAsia="Arial" w:hAnsi="Arial"/>
          <w:sz w:val="18"/>
          <w:szCs w:val="18"/>
          <w:color w:val="231F20"/>
        </w:rPr>
        <w:t>$20.3 million</w:t>
      </w:r>
      <w:r>
        <w:rPr>
          <w:rFonts w:ascii="Arial" w:cs="Arial" w:eastAsia="Arial" w:hAnsi="Arial"/>
          <w:sz w:val="18"/>
          <w:szCs w:val="18"/>
          <w:color w:val="000000"/>
        </w:rPr>
        <w:t xml:space="preserve"> increase in salaries, payroll taxes and benefits, and </w:t>
      </w:r>
      <w:r>
        <w:rPr>
          <w:rFonts w:ascii="Arial" w:cs="Arial" w:eastAsia="Arial" w:hAnsi="Arial"/>
          <w:sz w:val="18"/>
          <w:szCs w:val="18"/>
          <w:color w:val="231F20"/>
        </w:rPr>
        <w:t>$19.6 million in restructuring and related</w:t>
      </w:r>
      <w:r>
        <w:rPr>
          <w:rFonts w:ascii="Arial" w:cs="Arial" w:eastAsia="Arial" w:hAnsi="Arial"/>
          <w:sz w:val="18"/>
          <w:szCs w:val="18"/>
          <w:color w:val="000000"/>
        </w:rPr>
        <w:t xml:space="preserve"> </w:t>
      </w:r>
      <w:r>
        <w:rPr>
          <w:rFonts w:ascii="Arial" w:cs="Arial" w:eastAsia="Arial" w:hAnsi="Arial"/>
          <w:sz w:val="18"/>
          <w:szCs w:val="18"/>
          <w:color w:val="231F20"/>
        </w:rPr>
        <w:t>expenses.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Arial" w:cs="Arial" w:eastAsia="Arial" w:hAnsi="Arial"/>
                <w:sz w:val="14"/>
                <w:szCs w:val="14"/>
                <w:b w:val="1"/>
                <w:bCs w:val="1"/>
                <w:color w:val="auto"/>
                <w:w w:val="97"/>
              </w:rPr>
              <w:t>Nine Months Ended October 31,</w:t>
            </w:r>
          </w:p>
        </w:tc>
        <w:tc>
          <w:tcPr>
            <w:tcW w:w="122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1,170,255</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1,191,004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Sales and marketing expense for the nine months ended October 31, 2023, decreased by $20.7 million, or 1.7%, compared to the nine months ended October 31, 2022. The decrease in sales and marketing expense was primarily due to a $34.3 million decrease in personnel-related expenses, which includes a $44.2 million decrease in stock-based compensation expense, and a $32.7 million decrease in salaries, payroll taxes and benefits, partially offset by $32.9 million in restructuring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231F20"/>
        </w:rPr>
        <w:t>and related expenses, and a $9.6 million increase in commissions expense. Additionally, there was a $18.2 million increase in channel partner referral fees.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Arial" w:cs="Arial" w:eastAsia="Arial" w:hAnsi="Arial"/>
                <w:sz w:val="14"/>
                <w:szCs w:val="14"/>
                <w:b w:val="1"/>
                <w:bCs w:val="1"/>
                <w:color w:val="auto"/>
                <w:w w:val="97"/>
              </w:rPr>
              <w:t>Nine Months Ended October 31,</w:t>
            </w:r>
          </w:p>
        </w:tc>
        <w:tc>
          <w:tcPr>
            <w:tcW w:w="122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454,364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389,939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16.5 %</w:t>
            </w: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 xml:space="preserve">General and administrative expense for the nine months ended October 31, 2023 increased by $64.4 million, or 16.5%, compared to the nine months ended October 31, 2022. The increase in general and administrative expenses was primarily due to </w:t>
      </w:r>
      <w:r>
        <w:rPr>
          <w:rFonts w:ascii="Arial" w:cs="Arial" w:eastAsia="Arial" w:hAnsi="Arial"/>
          <w:sz w:val="18"/>
          <w:szCs w:val="18"/>
          <w:color w:val="000000"/>
        </w:rPr>
        <w:t>a</w:t>
      </w:r>
      <w:r>
        <w:rPr>
          <w:rFonts w:ascii="Arial" w:cs="Arial" w:eastAsia="Arial" w:hAnsi="Arial"/>
          <w:sz w:val="18"/>
          <w:szCs w:val="18"/>
          <w:color w:val="231F20"/>
        </w:rPr>
        <w:t xml:space="preserve"> $42.3 million </w:t>
      </w:r>
      <w:r>
        <w:rPr>
          <w:rFonts w:ascii="Arial" w:cs="Arial" w:eastAsia="Arial" w:hAnsi="Arial"/>
          <w:sz w:val="18"/>
          <w:szCs w:val="18"/>
          <w:color w:val="000000"/>
        </w:rPr>
        <w:t>increase in personnel-related expenses,</w:t>
      </w:r>
      <w:r>
        <w:rPr>
          <w:rFonts w:ascii="Arial" w:cs="Arial" w:eastAsia="Arial" w:hAnsi="Arial"/>
          <w:sz w:val="18"/>
          <w:szCs w:val="18"/>
          <w:color w:val="231F20"/>
        </w:rPr>
        <w:t xml:space="preserve"> which includes a $25.2 million </w:t>
      </w:r>
      <w:r>
        <w:rPr>
          <w:rFonts w:ascii="Arial" w:cs="Arial" w:eastAsia="Arial" w:hAnsi="Arial"/>
          <w:sz w:val="18"/>
          <w:szCs w:val="18"/>
          <w:color w:val="000000"/>
        </w:rPr>
        <w:t>increase in stock-based compensation expense and</w:t>
      </w:r>
      <w:r>
        <w:rPr>
          <w:rFonts w:ascii="Arial" w:cs="Arial" w:eastAsia="Arial" w:hAnsi="Arial"/>
          <w:sz w:val="18"/>
          <w:szCs w:val="18"/>
          <w:color w:val="231F20"/>
        </w:rPr>
        <w:t xml:space="preserve"> $13.3 million in restructuring expense. Additionally, there was a $33.5 million increase in legal expense, including litigation settlements.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(Losses) Gains on Strategic Investments,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00" w:type="dxa"/>
            <w:vAlign w:val="bottom"/>
            <w:gridSpan w:val="6"/>
          </w:tcPr>
          <w:p>
            <w:pPr>
              <w:ind w:left="420"/>
              <w:spacing w:after="0"/>
              <w:rPr>
                <w:sz w:val="20"/>
                <w:szCs w:val="20"/>
                <w:color w:val="auto"/>
              </w:rPr>
            </w:pPr>
            <w:r>
              <w:rPr>
                <w:rFonts w:ascii="Arial" w:cs="Arial" w:eastAsia="Arial" w:hAnsi="Arial"/>
                <w:sz w:val="14"/>
                <w:szCs w:val="14"/>
                <w:b w:val="1"/>
                <w:bCs w:val="1"/>
                <w:color w:val="auto"/>
                <w:w w:val="97"/>
              </w:rPr>
              <w:t>Nine Months Ended October 31,</w:t>
            </w:r>
          </w:p>
        </w:tc>
        <w:tc>
          <w:tcPr>
            <w:tcW w:w="122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7"/>
        </w:trPr>
        <w:tc>
          <w:tcPr>
            <w:tcW w:w="6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gains on strategic investments, net</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w w:val="93"/>
              </w:rPr>
              <w:t>8,474</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110.9 %</w:t>
            </w:r>
          </w:p>
        </w:tc>
      </w:tr>
    </w:tbl>
    <w:p>
      <w:pPr>
        <w:spacing w:after="0" w:line="2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Gains on strategic investments, net of $8.5 million recognized during the nine months ended October 31, 2023 was driven by net realized and unrealized gains recognized on our publicly and privately held securities, while losses on strategic investments, net, of $78.0 million recognized during the nine months ended October 31, 2022 was mainly driven by unrealized losses recognized on our publicly held securities.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Arial" w:cs="Arial" w:eastAsia="Arial" w:hAnsi="Arial"/>
                <w:sz w:val="14"/>
                <w:szCs w:val="14"/>
                <w:b w:val="1"/>
                <w:bCs w:val="1"/>
                <w:color w:val="auto"/>
                <w:w w:val="97"/>
              </w:rPr>
              <w:t>Nine Months Ended October 31,</w:t>
            </w:r>
          </w:p>
        </w:tc>
        <w:tc>
          <w:tcPr>
            <w:tcW w:w="122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114,206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1,446.5 %</w:t>
            </w: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Other income (expense), net for the nine months ended October 31, 2023, increased by $122.7 million, or 1,446.5%, compared to the nine months ended October 31, 2022. The increase was mainly due to a $108.2 million increase in investment yield from cash and marketable securities, and a $14.4 million increase related to changes in foreign currency exchange rates.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ind w:left="980"/>
              <w:spacing w:after="0"/>
              <w:rPr>
                <w:sz w:val="20"/>
                <w:szCs w:val="20"/>
                <w:color w:val="auto"/>
              </w:rPr>
            </w:pPr>
            <w:r>
              <w:rPr>
                <w:rFonts w:ascii="Arial" w:cs="Arial" w:eastAsia="Arial" w:hAnsi="Arial"/>
                <w:sz w:val="14"/>
                <w:szCs w:val="14"/>
                <w:b w:val="1"/>
                <w:bCs w:val="1"/>
                <w:color w:val="auto"/>
                <w:w w:val="97"/>
              </w:rPr>
              <w:t>Nine Months Ended October 31,</w:t>
            </w:r>
          </w:p>
        </w:tc>
        <w:tc>
          <w:tcPr>
            <w:tcW w:w="122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140,799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81,059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73.7 %</w:t>
            </w: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 xml:space="preserve">Provision for income taxes for the nine months ended October 31, 2023 increased by $59.7 million, or 73.7%, compared to the nine months ended October 31, 2022. </w:t>
      </w:r>
      <w:r>
        <w:rPr>
          <w:rFonts w:ascii="Arial" w:cs="Arial" w:eastAsia="Arial" w:hAnsi="Arial"/>
          <w:sz w:val="18"/>
          <w:szCs w:val="18"/>
          <w:color w:val="000000"/>
        </w:rPr>
        <w:t>The year-over-year change was</w:t>
      </w:r>
      <w:r>
        <w:rPr>
          <w:rFonts w:ascii="Arial" w:cs="Arial" w:eastAsia="Arial" w:hAnsi="Arial"/>
          <w:sz w:val="18"/>
          <w:szCs w:val="18"/>
          <w:color w:val="231F20"/>
        </w:rPr>
        <w:t xml:space="preserve"> due </w:t>
      </w:r>
      <w:r>
        <w:rPr>
          <w:rFonts w:ascii="Arial" w:cs="Arial" w:eastAsia="Arial" w:hAnsi="Arial"/>
          <w:sz w:val="18"/>
          <w:szCs w:val="18"/>
          <w:color w:val="000000"/>
        </w:rPr>
        <w:t>primarily to the increase in income before taxes, tax shortfalls on stock-based compensation, the</w:t>
      </w:r>
      <w:r>
        <w:rPr>
          <w:rFonts w:ascii="Arial" w:cs="Arial" w:eastAsia="Arial" w:hAnsi="Arial"/>
          <w:sz w:val="18"/>
          <w:szCs w:val="18"/>
          <w:color w:val="231F20"/>
        </w:rPr>
        <w:t xml:space="preserve"> </w:t>
      </w:r>
      <w:r>
        <w:rPr>
          <w:rFonts w:ascii="Arial" w:cs="Arial" w:eastAsia="Arial" w:hAnsi="Arial"/>
          <w:sz w:val="18"/>
          <w:szCs w:val="18"/>
          <w:color w:val="000000"/>
        </w:rPr>
        <w:t>foreign-derived intangible income deduction, and other compensation-related permanent differences.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October 31, 2023, our principal sources of liquidity were cash, cash equivalents, and marketable securities of $6.5 billion, which were held for working capital purposes and for investment in growth opportunities. Our marketable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securities generally consist of high-grade commercial paper, corporate bonds, agency bonds, corporate and other debt securities, U.S. government agency securities, and treasury bills.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have financed our operations primarily through income from operations and sales of equity securities. Cash from operations could also be affected by various risks and uncertainties, including, but not limited to, the recent macroeconomic shifts, such as high inflation, elevated interest rates, and the responses by central banking authorities, potential recessionary environments, and the fluctuations in foreign currency exchange rates, could impact the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Except for the additional outstanding non-cancelable purchase obligations disclosed in Footnote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on this Form 10-Q, there have been no material changes to our material cash requirements from known contractual and other obligations from those disclosed in our Management’s Discussion and Analysis of Financial Condition and Results of Operations, included in our Annual Report on Form 10-K for the year ended January 31, 2023, filed with the SEC on March 3, 2023.</w:t>
      </w: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 October 31,</w:t>
            </w:r>
          </w:p>
        </w:tc>
      </w:tr>
      <w:tr>
        <w:trPr>
          <w:trHeight w:val="25"/>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18"/>
        </w:trPr>
        <w:tc>
          <w:tcPr>
            <w:tcW w:w="7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8"/>
                <w:szCs w:val="18"/>
                <w:color w:val="auto"/>
              </w:rPr>
            </w:pPr>
          </w:p>
        </w:tc>
      </w:tr>
      <w:tr>
        <w:trPr>
          <w:trHeight w:val="25"/>
        </w:trPr>
        <w:tc>
          <w:tcPr>
            <w:tcW w:w="7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1,247,611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1,078,674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(864,406)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(60,613)</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(948,687)</w:t>
            </w:r>
          </w:p>
        </w:tc>
      </w:tr>
    </w:tbl>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7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Net cash provided by operating activities was $1,247.6 million for the nine months ended October 31, 2023, compared to $1,078.7 million for the nine months ended October 31, 2022. The increase in operating cash flow was primarily due to higher net income of $130.9 million.</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Net cash used in investing activities of $864.4 million for the nine months ended October 31, 2023 was due to net purchases of marketable securities of $605.5 million, cash paid for acquisition, net of cash acquired, of $204.9 million, purchases of property and equipment of $108.4 million, and purchases of strategic investments of $52.8 million, offset by proceeds from strategic investments of $107.2 million.</w:t>
      </w:r>
    </w:p>
    <w:p>
      <w:pPr>
        <w:spacing w:after="0" w:line="5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of $60.6 million for the nine months ended October 31, 2022 was primarily due to cash paid for acquisition, net of cash acquired, of $120.6 million, purchases of property and equipment of $75.6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of strategic investments of $65.1 million, and purchases of intangible assets of $10.6 million, partially offset by net maturities of marketable securities of $210.8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provided by financing activities of $36.0 million for the nine months ended October 31, 2023 was primarily due to proceeds from issuance of common stock under our ESPP of $32.5 million and proceeds from the exercise of stock options of $8.3 million.</w:t>
      </w:r>
    </w:p>
    <w:p>
      <w:pPr>
        <w:spacing w:after="0" w:line="6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Net cash used in financing activities of $948.7 million for the nine months ended October 31, 2022 was primarily due to cash paid for repurchases of common stock of $990.8 million, partially offset by proceeds from issuance of common stock under our ESPP of $34.6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There have been no material changes to our critical accounting estimates as compared to the critical accounting estimates described in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of Financial Condition and Results of Operations, included in our Annual Report on Form 10-K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January 31, 2023, filed with the SEC on March 3, 2023.</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QUALITATIVE AND QUANTITATIVE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The majority of our cash generated from revenue is denominated in U.S. dollars, with a portion of our revenue from amounts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For the nine months ended </w:t>
      </w:r>
      <w:r>
        <w:rPr>
          <w:rFonts w:ascii="Arial" w:cs="Arial" w:eastAsia="Arial" w:hAnsi="Arial"/>
          <w:sz w:val="17"/>
          <w:szCs w:val="17"/>
          <w:color w:val="231F20"/>
        </w:rPr>
        <w:t>October 31, 2023</w:t>
      </w:r>
      <w:r>
        <w:rPr>
          <w:rFonts w:ascii="Arial" w:cs="Arial" w:eastAsia="Arial" w:hAnsi="Arial"/>
          <w:sz w:val="17"/>
          <w:szCs w:val="17"/>
          <w:color w:val="auto"/>
        </w:rPr>
        <w:t xml:space="preserve"> and 2022, 19.3% and 20.3% of our revenue, respectively and 13.5% and 11.3%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and nine months ended October 31, 2023 and 2022.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had cash and cash equivalents of $1,492.9 million and marketable securities of $5,001.5 million as of October 31, 2023. Cash and cash equivalents consist of bank deposits, money market funds, and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nine months ended October 31, 2023 and 2022.</w:t>
      </w:r>
    </w:p>
    <w:p>
      <w:pPr>
        <w:spacing w:after="0" w:line="1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executive officer and principal financial officer have concluded that as of </w:t>
      </w:r>
      <w:r>
        <w:rPr>
          <w:rFonts w:ascii="Arial" w:cs="Arial" w:eastAsia="Arial" w:hAnsi="Arial"/>
          <w:sz w:val="18"/>
          <w:szCs w:val="18"/>
          <w:color w:val="231F20"/>
        </w:rPr>
        <w:t>October 31, 2023</w:t>
      </w:r>
      <w:r>
        <w:rPr>
          <w:rFonts w:ascii="Arial" w:cs="Arial" w:eastAsia="Arial" w:hAnsi="Arial"/>
          <w:sz w:val="18"/>
          <w:szCs w:val="18"/>
          <w:color w:val="auto"/>
        </w:rPr>
        <w:t>, our disclosure controls and procedures were effective at a reasonable assurance level.</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There has been no change in our internal control over financial reporting (as defined in Rules 13a-15(d) and 15d-15(d) under the Exchange Act) that occurred during the quarter ended </w:t>
      </w:r>
      <w:r>
        <w:rPr>
          <w:rFonts w:ascii="Arial" w:cs="Arial" w:eastAsia="Arial" w:hAnsi="Arial"/>
          <w:sz w:val="18"/>
          <w:szCs w:val="18"/>
          <w:color w:val="231F20"/>
        </w:rPr>
        <w:t>October 31, 2023</w:t>
      </w:r>
      <w:r>
        <w:rPr>
          <w:rFonts w:ascii="Arial" w:cs="Arial" w:eastAsia="Arial" w:hAnsi="Arial"/>
          <w:sz w:val="18"/>
          <w:szCs w:val="18"/>
          <w:color w:val="auto"/>
        </w:rPr>
        <w:t xml:space="preserve"> that has materially affected, or is reasonably likely to materially affect, our internal control over financial reporting.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 and Procedures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pacing w:after="0" w:line="28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retain and upsell additional products and new product categories to existing customers, and upgrade free hosts to our paid offerings. Any decline in new customers, renewals, or upgrades would harm our business.</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depends upon our ability to attract new customers, and maintain and expand our relationships with our existing customers, including upselling additional products and new product categories to our existing customers and upgrading hosts to a paid Zoom Meeting plan. A host is any user of our unified communications and collaboration platform who initiates a Zoom Meeting and invites one or more participants to join that meeting. We refer to hosts who subscribe to a paid Zoom Meeting plan as “paid hosts.”</w:t>
      </w:r>
    </w:p>
    <w:p>
      <w:pPr>
        <w:spacing w:after="0" w:line="7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have tapered, a reduction in customer information technology spending budgets, or a consolidation of spending budgets on our competitors' platforms, during periods of high inflation or recessionary or uncertain economic environments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largely from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7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our platform into other teams and departments within an organization. At the same time, we encourage hosts that subscribe to our free Zoom Meeting plan to upgrade to a paid Zoom Meeting plan. However, a majority of these hosts, including those that initially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our user growth rate may slow or decline in the future as our market penetration rates increase. If we are not able to continue to expand our user base, our revenue may grow more slowly than expected or decline. While we continue to add paid users to our customer base, we expect our user growth rate to continue to slow or decline during the COVID-19 pandemic recovery, particularly as users return to work or school or are otherwise no longer subject to limitations on in-person meetings.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revenue growth rate has fluctuated in prior periods, and may decline in future periods.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revenue growth has fluctuated in prior periods. You should not rely on the revenue growth of any prior quarterly or annual period as an indication of our future performance. Our revenue growth rate over the past year has stabilized but there are no assurances we will be able to sustain or increase it in future periods, and our revenue growth rate may decline in future periods. Many factors may contribute to declines in our growth rate, including higher market penetration, increased competition, macroeconomic conditions, such as high inflation and the responses by central banking authorities to control such inflation, recessionary or uncertain environments and fluctuating foreign currency exchange rates, slowing demand for our platform,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72"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Additionally, if our data centers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data centers throughout the world to meet increased demand, but we may be unable to bring additional data centers online in a timely manner, including as a result of current shortages for certain parts, such as</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servers. In addition, to meet short-term capacity needs, we may need to rely increasingly on public cloud providers, including Amazon Web Services and Oracle Cloud, which may result in higher variable costs, harming our business, financial condition, and operating results.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other public health related measures,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and new market entrants, particularly established companies with greater resources than we do, that provide technologies to improve communication and collaboration technologies platforms, such as AI and machine learning, could also increase the level of competition in the market. Certain features of our current platform compete in the communication and collaboration technologies market with products offered by:</w:t>
      </w:r>
    </w:p>
    <w:p>
      <w:pPr>
        <w:spacing w:after="0" w:line="79" w:lineRule="exact"/>
        <w:rPr>
          <w:sz w:val="20"/>
          <w:szCs w:val="20"/>
          <w:color w:val="auto"/>
        </w:rPr>
      </w:pPr>
    </w:p>
    <w:p>
      <w:pPr>
        <w:ind w:left="5540" w:right="5380" w:hanging="5208"/>
        <w:spacing w:after="0" w:line="1064" w:lineRule="auto"/>
        <w:tabs>
          <w:tab w:leader="none" w:pos="657"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legacy web-based meeting providers, including Cisco Webex and GoTo;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bundled productivity solutions providers with video functionality, including Microsoft Teams and Google G Suite and Meet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large established companies may also make investments in video communications tools. In addition, as we introduce new products and services into our platform, and with the introduction of new technologies and market entrants, including AI, we expect competition to intensify in the future.</w:t>
      </w:r>
    </w:p>
    <w:p>
      <w:pPr>
        <w:spacing w:after="0" w:line="7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February 2022, we launched Zoom Contact Center, an omnichannel contact center solution that is optimized for video, which, as we build out our offering, may result in increased competition against companies that offer similar services, such as Five9, Inc., Genesys and NICE inContact, and new competitors that may enter that market in the future. As we continue to build out our platform, we may face increased competition against companies that offer similar services and new competitors that may enter that market in the future. During the COVID-19 pandemic, we saw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relationships; more third-party integration; greater accessibility across devices or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spacing w:after="0" w:line="7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Our results have fluctuated and may in the future fluctuate significantly and may not fully reflect the underlying performance of our business.</w:t>
      </w:r>
    </w:p>
    <w:p>
      <w:pPr>
        <w:spacing w:after="0" w:line="15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our results may negatively impact the value of our securities. Factors that may cause fluctuations in our results of operations include, without limitation, those listed below:</w:t>
      </w:r>
    </w:p>
    <w:p>
      <w:pPr>
        <w:spacing w:after="0" w:line="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sales to large organizations;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our sales cycles and linearity of our bookings, especially with respect to sales to large enterprises and highly regulated industries, including financial services and U.S. federal and state and foreign governmental agencies;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experienced research and development personnel to design new products, features, and functionality that meet our privacy and security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business may be significantly affected by changes in the economy, including any resulting effect on consumer or business spending.</w:t>
      </w:r>
    </w:p>
    <w:p>
      <w:pPr>
        <w:spacing w:after="0" w:line="14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business may be significantly affected by changes in the economy, such as high inflation and the responses by central banking authorities to control such inflation, recessionary or uncertain environments, U.S. federal debt ceiling negotiations and the risk of a U.S. government shutdown, fluctuations in the foreign currency exchange rates and global impacts, including the Russian invasion of Ukraine, the conflict in Israel and the surrounding area and the United States' ongoing trade disputes with China and other countries.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could experience a reduction in demand and loss of customers,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We would lose customers as a result of customers ceasing to do business, and we could experience a material increase in longer payment cycles and greater difficulty in collecting accounts receivable from certain customers.</w:t>
      </w:r>
    </w:p>
    <w:p>
      <w:pPr>
        <w:spacing w:after="0" w:line="18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As we increase sales to large organizations, our sales cycles have and could continue to lengthen, and we could experience greater deployment challenges.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begun investing more resources into sales to large organizations. Large organizations typically undertake a significant evaluation and negotiation process due to their leverage, size, organizational structure, and approval requirements, all of which have and may continue to lengthen our sales cycle. We may also face unexpected deployment challenges with large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reduction in customer information technology spending budgets, or a consolidation of spending budgets on our competitors' platforms, during periods of high inflation or recessionary or uncertain economic environments;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have incurred net losses in the past and there are no assurances we will be able to maintain or increase profitability in the future.</w:t>
      </w:r>
    </w:p>
    <w:p>
      <w:pPr>
        <w:spacing w:after="0" w:line="1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addressing security and privacy issues,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new hosts using our platform on a free Basic account have upgraded to a paid Zoom Meeting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competitive products and services. As a result, we may not increase or maintain profitability in future periods. If we fail to grow our revenue sufficiently to keep pace with our investments and other expenses, our business would be harmed.</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4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recently began requiring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artificial intelligence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user demand for our platform. There is no assurance that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19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as our user base grows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5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that would reinstate the 2018 rules and asked for comment on that proposal and on potential changes to those rules. We cannot predict whether or when the FCC will adopt new rules or the impact of any rules that may be adopted on our operations or business.</w:t>
      </w:r>
    </w:p>
    <w:p>
      <w:pPr>
        <w:spacing w:after="0" w:line="8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a number of states have adopted or are adopting or considering legislation or executive actions that would regulate the conduct of broadband providers. After a federal court judge denied a request for a preliminary injunction against California’s state-specific network neutrality law, California began enforcing that law on March 25, 2021. A number of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We cannot predict whether the FCC order or other state initiatives will be enforced, modified, overturned, or vacated by legal action of the court, federal legislation, or the FCC. In addition, the status of state regimes may be affected by the FCC's action in its new network neutrality proceeding. Under the FCC’s current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ordinary course of our business, we and the third parties upon which we rely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cause security incidents. Security incidents have occurred in the past and may occur in the future, resulting in unauthorized access to, loss or unauthorized disclosure of, or inadvertent disclosure of confidential, proprietary, and sensitive information.</w:t>
      </w:r>
    </w:p>
    <w:p>
      <w:pPr>
        <w:spacing w:after="0" w:line="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upon which we rely.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provide our services. We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prohibiting such payments.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spacing w:after="0" w:line="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to try to protect against security incidents. Additionally, certain privacy, data protection, and information security obligations may require us to implement and maintain specific security measures or industry-standard or reasonable security measures to protect our information technology systems and sensitive data.</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our security measures are compromised, our reputation could be damaged; our data, information or intellectual property, or that of our customers, may be destroyed, stolen, or otherwise compromised; our business may be harmed; and we could incur significant liability.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We have not always been able in the past and may be unable in the future to anticipate or prevent threats or techniques used to detect or exploit vulnerabilities in our services or software or third-party software, or obtain unauthorized access to or compromise our systems.</w:t>
      </w:r>
    </w:p>
    <w:p>
      <w:pPr>
        <w:spacing w:after="0" w:line="8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vulnerabilities in our products and services in the past, and we expect that we will continue to identify vulnerabilities in the future. We cannot be certain that we will be able to address any vulnerabilities in our software products and services that we may become aware of in the future, or there may be delays in developing patches that can be effectively deployed to address vulnerabilities.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will continue to make prioritization decisions to determine which vulnerabilities or security defects to fix and the timing of these fixes, which could result in an exploit that compromises security.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Security incidents and vulnerabilities, and concerns regarding privacy, data protection, and information security may also prevent some of our customers and hosts from using or cause some of our customers and hosts to stop using our solutions and fail to upgrade or renew their subscriptions.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6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Many governments have enacted laws requiring companies to provide notice of data security incidents, including those recently promulgated by the SEC. Such laws are inconsistent, and compliance in the event of a widespread data breach is costly. In addition, some of our customers require us to notify them of data security breaches.</w:t>
      </w:r>
    </w:p>
    <w:p>
      <w:pPr>
        <w:spacing w:after="0" w:line="7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Actual or perceived security compromises experienced in our industry or by our competitors, our customers, a third party upon whom we rely, or us could cause us to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w:t>
      </w:r>
    </w:p>
    <w:p>
      <w:pPr>
        <w:spacing w:after="0" w:line="5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Increased usage of our services, novel uses of our services, and additional awareness of Zoom and our brand has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that maintaining and enhancing the Zoom brand is critical to expanding our base of customers, hosts, and users and, in particular, conveying to users and the public that the Zoom brand consists of a broad communications and collaboration platform, rather than just one distinct product. For example, if users view the Zoom brand primarily as a video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conferencing point solution or utility rather than as a platform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cannot assure you that we will successfully manage our growth.</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Since our founding in 2011, our employee headcount both in the United States and internationally has increased significantly over time.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our employee base in various countries around the world. Many of our personnel work remotely, which may lead to challenges in productivity and collaboration. Certain members of our management have not previously worked together for an extended period of time, and some do not have prior experience managing a public company, which may affect how they manage our growth effectively.</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from time to time, we implement organizational changes to pursue greater efficiency and realign our business and strategic priorities. In February 2023, we commenced certain restructuring actions (the “Restructuring Plan”), designed to reduce operating costs and continue advancing our ongoing commitment to profitable growth. We may encounter challenges in the execution of these efforts, and these challenges could impact our financial results.</w:t>
      </w:r>
    </w:p>
    <w:p>
      <w:pPr>
        <w:spacing w:after="0" w:line="7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Although we believe that the Restructuring Plan will reduce operating costs and improve operating margins, we cannot guarantee that the Restructuring Plan will achieve or sustain the targeted benefits, or that the benefits, even if achieved, will be adequate to meet our long-term profitability and operational expectations. As a result of these actions, we will incur additional charges in the near term, including those related to employee transition, severance payments, employee benefits, and stock-based compensation. Additional risks associated with the continuing impact of the Restructuring Plan include employee attrition beyond our intended reduction in force and adverse effects on employee morale (which may also be further exacerbated by actual or perceived declining value of equity awards), diversion of management attention, adverse effects to our reputation as an employer (which could make it more difficult for us to hire new employees in the future), and potential failure or delays to meet operational and growth targets due to the loss of qualified employees. If we do not realize the expected benefits of our restructuring efforts on a timely basis or at all, our business, results of operations and financial condition could be adversely affected.</w:t>
      </w:r>
    </w:p>
    <w:p>
      <w:pPr>
        <w:spacing w:after="0" w:line="7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addition, our historical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may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spacing w:after="0" w:line="7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Moreover, as we plan to reopen our offices, vaccine mandates and similar government orders and restrictions could result in employee attrition and difficulty in recruiting.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volatility of our stock price may make our equity compensation less attractive to current and potential employees, and could contribute to increased turnover or difficulties in hiring.</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Our platform addresses the communications and collaboration needs of users worldwide, and we see international expansion as a major opportunity. Our revenue from APAC and EMEA collectively represented 28.8% and 30.9% of our revenue for the nine months ended October 31, 2023 and 2022, respectively. We plan to add local sales support in further select international markets over time.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that would impair our ability to expand further into certain markets. For example, the Chinese government has at times turned off our service in China without warning and requested that we take certain steps prior to restoring our service, such as designating an in-house contact for law enforcement requests and transferring China-based user data housed in the United States to a data center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internationally subjects us to new risks and increases risks that we currently face, including risks associated with:</w:t>
      </w:r>
    </w:p>
    <w:p>
      <w:pPr>
        <w:spacing w:after="0" w:line="117" w:lineRule="exact"/>
        <w:rPr>
          <w:sz w:val="20"/>
          <w:szCs w:val="20"/>
          <w:color w:val="auto"/>
        </w:rPr>
      </w:pPr>
    </w:p>
    <w:p>
      <w:pPr>
        <w:ind w:left="660" w:right="2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foreign jurisdictions where the government may impede or interrupt our ability to provide our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 of an employee base in jurisdictions that may not give us the same employment and retention flexibility as the United States;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the United States and the practical enforcement of such intellectual property rights outside of the United States;</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(“U.K.”) withdrawal from the European Union (“EU”), and other political tensions between countries in which we do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31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diplomatic and trade relationships, including the continuing deterioration in diplomatic relations between the United States and China, the conflict in Israel and the surrounding area, and the continuing war between Russia and Ukraine, which can and has resulted in the imposition of new trade restrictions, trade protection measures, import or export requirements, trade embargoes, and other trade barriers;</w:t>
      </w:r>
    </w:p>
    <w:p>
      <w:pPr>
        <w:spacing w:after="0" w:line="4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spacing w:after="0" w:line="6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Geopolitical tension between the United States and China, or between other countries and China, may intensify and lead to increased scrutiny of our business operations in China.</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are and could in the future lead to increased scrutiny of our business operations in China.</w:t>
      </w:r>
    </w:p>
    <w:p>
      <w:pPr>
        <w:spacing w:after="0" w:line="4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7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Increased user demand for support may result in increased costs that may harm our results of operations. For example, during the COVID-19 pandemic we saw surging demand requiring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As the number of our users has grown significantly, it has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recommendations from our existing customers and hosts. Any failure to maintain high-quality support, or a market perception that we do not maintain high-quality support for our customers and hosts, would harm our business.</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nine months ended October 31, 2023 and 2022, 19.3% and 20.3% of our revenue, respectively, and 13.5% and 11.3%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quarter ended October 31, 2023,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total revenue was lower than anticipated in part due to the strengthening of the U.S. dollar. We do not currently maintain a program to hedge exposures to non-U.S. dollar currencies.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sales to government entities and other government contractors are subject to a number of additional challenges and risks.</w:t>
      </w:r>
    </w:p>
    <w:p>
      <w:pPr>
        <w:spacing w:after="0" w:line="1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spacing w:after="0" w:line="79" w:lineRule="exact"/>
        <w:rPr>
          <w:sz w:val="20"/>
          <w:szCs w:val="20"/>
          <w:color w:val="auto"/>
        </w:rPr>
      </w:pPr>
    </w:p>
    <w:p>
      <w:pPr>
        <w:ind w:left="660" w:right="2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38" w:lineRule="exact"/>
        <w:rPr>
          <w:rFonts w:ascii="Arial" w:cs="Arial" w:eastAsia="Arial" w:hAnsi="Arial"/>
          <w:sz w:val="17"/>
          <w:szCs w:val="17"/>
          <w:color w:val="auto"/>
        </w:rPr>
      </w:pPr>
    </w:p>
    <w:p>
      <w:pPr>
        <w:ind w:left="660" w:right="20" w:hanging="328"/>
        <w:spacing w:after="0" w:line="30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government certification requirements may change, or we may be unable to achieve or sustain one or more government certifications, including FedRAMP, which may restrict our ability to sell into the government sector until we have attained such certificates;</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contracts with governmental entities and other government contractors, including resellers in the government market, contain terms that differ less favorably from what we generally agree to in our standard agreements, including, terms and conditions required by regulation that are not negotiable with the customer;</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among other things, by public sector budgetary cycles and funding authorizations, with funding reductions or delays having an adverse impact on public sector demand for our products;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government-imposed vaccine mandates could result in increased attrition and difficulties in recruiting, and non-compliance with any such mandates could restrict our ability to do business with governmental entities.</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To the extent that we become more reliant on contracts with government entities and/or other government contractors in the future, our exposure to such risks and challenges could increase, which in turn could adversely impact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Our current platform,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95" w:lineRule="exact"/>
        <w:rPr>
          <w:sz w:val="20"/>
          <w:szCs w:val="20"/>
          <w:color w:val="auto"/>
        </w:rPr>
      </w:pPr>
    </w:p>
    <w:p>
      <w:pPr>
        <w:jc w:val="both"/>
        <w:ind w:right="20" w:firstLine="486"/>
        <w:spacing w:after="0" w:line="375" w:lineRule="auto"/>
        <w:rPr>
          <w:sz w:val="20"/>
          <w:szCs w:val="20"/>
          <w:color w:val="auto"/>
        </w:rPr>
      </w:pPr>
      <w:r>
        <w:rPr>
          <w:rFonts w:ascii="Arial" w:cs="Arial" w:eastAsia="Arial" w:hAnsi="Arial"/>
          <w:sz w:val="15"/>
          <w:szCs w:val="15"/>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provision for taxes on our condensed consolidated financial statements could also be impacted by changes in accounting principles, changes in U.S. federal, state, or foreign tax laws applicable to corporate multinationals (including provisions of the recently enacted federal tax legislation titled the Inflation Reduction Act),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Tax Cuts and Jobs Act of 2017 requires the capitalization and amortization of research and development expenses effective for years beginning after December 31, 2021. The mandatory capitalization requirement increased our cash tax liabilities but also decreased our effective tax rate due to increasing the foreign-derived intangible income deduction. Absent a change in legislation, we expect the mandatory capitalization requirement will continue to have a material impact on our cash flows.</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14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the current scale of our business, which makes it difficult to evaluate our prospects and future results of operations.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During fiscal year 2021, we experienced rapid growth in usage of our unified communications and collaboration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The changes the COVID-19 pandemic fostered on the way companies operate, including the shifts to remote and hybrid work have limited our ability to forecast revenue, costs, and expenses due to the uncertainty around how companies choose to operate in the future, including the impacts of a remote and hybrid workplace.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rely on data from tools to calculate certain of our key business metrics. Real or perceived inaccuracies in such metrics may harm our reputation and negatively affect our business.</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continually seeking to improve our ability to measure our key business metrics, and regularly review our processes to assess potential improvements.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For example, 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66"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In the United States, federal, state, and local governments have enacted numerous privacy, data protection, and information security laws, including data breach notification laws, personal data privacy laws, consumer protection laws (e.g., Section 5 of the Federal Trade Commission Act), and other similar laws (e.g., wiretapping laws). For example,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such as those noted below. The CCPA provides for administrative fines of up to $7,500 per violation and allows private litigants affected by certain data breaches to recover significant statutory damages. In addition, the CPRA expands the CCPA’s requirements, including by adding a new right for individuals to correct their personal information and establishing a new regulatory agency to implement and enforce the law. Many states such as Virginia, Colorado, Utah and Connecticut have similarly enacted comprehensive privacy, data protection and information security laws that emulate the CCPA in many respects.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These developments may further complicate compliance efforts and increase legal risk and compliance costs for us and the third parties upon whom we rely. Under various laws and other obligations related to privacy, data protection, and information security, we may be required to obtain certain consents to process personal information.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6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Outside the United States, an increasing number of laws, regulations, and industry standards may govern related to privacy, data protection, and information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authorized at law to represent their interests. The Swiss Federal Act on Data Protection (“FADP”), also applies to the collection and processing of personal information,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spacing w:after="0" w:line="66"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8"/>
          <w:szCs w:val="18"/>
          <w:color w:val="auto"/>
        </w:rPr>
        <w:t>We also target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spacing w:after="0" w:line="8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such as the EEA and UK’s standard contractual clauses, and the EU-U.S. Data Privacy Framework (which allows for transfers for relevant U.S.-based organizations who self-certify compliance and participate in the Framework), these mechanisms can be subject to legal challenges, and there is no assurance that we can satisfy or rely on these measures to lawfully transfer personal information to the United States.</w:t>
      </w:r>
    </w:p>
    <w:p>
      <w:pPr>
        <w:spacing w:after="0" w:line="5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w:t>
      </w:r>
    </w:p>
    <w:p>
      <w:pPr>
        <w:spacing w:after="0" w:line="7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use AI and machine learning (“AI/ML”) technologies in our products and services, including through integrations with third parties. The development and use of AI/ML is subject to privacy, data protection, IP, and information security laws, industry standards, external and internal privacy and security policies, and contractual requirements, as well as increasing regulation and scrutiny. Several jurisdictions around the globe have proposed or enacted laws governing AI/ML. For example, the EU GDPR regulates automated decision making and European regulators have proposed a stringent AI regulation that will take direct effect across all EU member states if adopted. Obligations on AI/ML may make it harder for us to conduct our business using, or build products incorporating, AI/ML, require us to change our business practices, require us to retrain our algorithms, or prevent or limit our use of AI/ML. If we do not develop or incorporate AI/ML in a manner consistent with these factors, and consistent with customer expectations, it may result in an adverse impact to our reputation, our business may be less efficient, or we may be at a competitive disadvantage. Similarly, if customers and hosts do not widely adopt our new product AI/ML experiences, features, and capabilities, or they do not perform as expected, we may not be able to realize a return on our investment.</w:t>
      </w:r>
    </w:p>
    <w:p>
      <w:pPr>
        <w:spacing w:after="0" w:line="8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other U.S. state comprehensive privacy laws, the EU and UK GDPR, and the UK Age Appropriate Design Code, impose various obligations on companies that process children’s data, including requiring certain consents to process such data and extending certain rights to children and their parents with respect that data. These laws may be subject to legal challenges and changing interpretations.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applicable privacy, data protection, and information security laws,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There have been various Congressional and executive efforts to eliminate or modify Section 230[A1] [A2] of the Communications Act of 1934, enacted as part of the Communications Decency Act of 1996. President Biden and many Members of Congress from both parties support the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by former President Trump that, if successful, would greatly limit the scope of Section 230. The U.S. Supreme Court recently declined to limit the applicability of Section 230 in certain circumstances, but future cases may not yield the same results.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6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in 2022, including a bill that has passed the Georgia State Senate and is pending before the Georgia House. Implementation of the Florida and Texas statutes has been stayed by various federal courts, including the U.S. Supreme Court. On August 18,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would review both the Florida and Texas decisions, and a Supreme Court decision is expected during the first half of 2024. Florida recently amended its statute in an effort to address issues that led the court to issue the stay. It is likely that any other such state legislation also would be challenged under the First Amendment to the U.S. Constitution and on the ground that it is preempted by Section 230. We cannot predict whether any such state legislation will be adopted, enforced, modified, overturned, or vacated.</w:t>
      </w:r>
    </w:p>
    <w:p>
      <w:pPr>
        <w:spacing w:after="0" w:line="74"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personal data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8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addition to data privacy and security laws, we are contractually subject to industry standards adopted by industry groups and may become subject to such obligations in the future. We are also bound by other contractual obligations related to privacy, data protection, and information security, and our efforts to comply with such obligations may not be successful. We publish privacy policies, marketing materials, and other statements, such as compliance with certain certifications or self-regulatory principles, regarding privacy, data protection, and information security privacy, data protection, and information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Obligations related to privacy, data protection, and information security (and consumers' expectations regarding them)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information on our behalf.</w:t>
      </w:r>
    </w:p>
    <w:p>
      <w:pPr>
        <w:spacing w:after="0" w:line="8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may at times fail (or be perceived to have failed) in our efforts to comply with our privacy, data protection, and information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5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6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U.S. or foreign governments may take administrative, legislative, or regulatory action that could materially interfere with our ability to sell products in certain countries. For example,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6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Further, in recent years, the U.S. Government has expressed concerns with the security of information and communications technology and services (“ICTS”) sourced from providers in China, Russia, and other jurisdictions. In May 2019, former President Trump issued an executive order that invoked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subject to additional liabilities on past sales for taxes, surcharges, and fees.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which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6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spacing w:after="0" w:line="6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spacing w:after="0" w:line="5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6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7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spacing w:after="0" w:line="1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process, would hurt our reputation in the industry, possibly impair our ability to sell Zoom Phone to our customers and harm our business.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described above, the FCC could reinstate its prior network neutrality regulations or adopt new regulations. See Part 1A – Failures in internet infrastructure or interference with broadband access could cause current or potential users to believe that our systems are unreliable, possibly leading our customers and hosts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FCC has proposed to revise its rules requiring reporting of breaches of private customer information, known as CPNI. If adopted, the proposed rules could broaden the types of CPNI breaches that must be reported, but also could limit the number of reports that must be filed by adopting a minimum threshold for the number of customers affected. The proposed rules also would require that breach reports be provided directly to the FCC, which could increase the risk of enforcement action, including fines and behavioral remedies.</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FCC has adopted rules that prohibit Chinese companies that are deemed to be a national security risk by other federal agencies from obtaining new authorizations and placed on a list known as the Covered List to sell telecommunications equipment in the U.S. and is considering proposed rules that would ban those companies from selling previously-authorized equipment or could prohibit use of their equipment in the U.S. Zoom does not currently have any equipment from the companies subject to the ban in its network, but if other companies are added to the Covered List and the FCC adopts rules that ban sales or use of equipment from companies on the Covered List, we could be required to find new sources for similar equipment or replace existing equipment entirely.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and the California Public Utilities Commission is now taking the position that it can require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179"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8"/>
          <w:szCs w:val="18"/>
          <w:color w:val="auto"/>
        </w:rPr>
        <w:t>Certain states have adopted or are adopting or considering legislation or executive actions that would regulate the conduct of broadband providers. California’s state-specific network neutrality law has taken effect and Vermont’s law took effect, but a challenge to that law remains pending. We cannot predict whether other state initiatives will be enforced, modified, overturned, or vacated.</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140"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w:t>
      </w:r>
    </w:p>
    <w:p>
      <w:pPr>
        <w:spacing w:after="0" w:line="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7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political, social, economic and market conditions, in both domestic and our foreign markets, including effects of increased interest rates and inflationary pressures.</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7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October 31, 2023, the holders of our outstanding Class B common stock held 64.4% of the voting power of our outstanding capital stock, with our directors, executive officers and 5% stockholders and their respective affiliates holding 57.1% of such voting power in the aggregate. As of October 31, 2023, our founder, President and Chief Executive Officer, Eric S. Yuan, together with his affiliates, held approximately 7.4% of our outstanding capital stock but controlled approximately 31.1%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6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4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However, in April 2023, Standard &amp; Poor’s announced its decision that companies with multiple share class structures will be considered eligible candidates for addition to the S&amp;P Composite 1500 and its component indices provided they meet all other eligibility criteria. Under these policies, our dual-class capital structure would make us ineligible for inclusion in certain indices, and as a result, mutual funds, exchange-traded funds, and other investment vehicles that attempt to passively track these indices will not be investing in our stock. These policies may depress the valuations of publicly-traded companies excluded from the indices, or depress our trading volume compared to those of other similar companies that are included.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authorizing the issuance of “blank check” preferred stock that our board of directors could use to implement a stockholder rights plan;</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7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face risks related to health epidemics, such as the COVID-19 pandemic, which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including partial or complete loss of invested capital. Significant changes in the fair value of our investment portfolio could negatively impact our financial results.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dynamic and the likelihood of successful liquidity events for the companies we have invested in could significantly worsen. In addition, valuations of privately held companies are inherently complex due to the lack of readily available market data.</w:t>
      </w:r>
    </w:p>
    <w:p>
      <w:pPr>
        <w:spacing w:after="0" w:line="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record all fair value adjustments of our publicly traded and privately held non-marketable securities through the condensed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1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6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5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condensed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8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Investors’ and other stakeholders’ expectations of our performance relating to environmental, social and governance factors may impose additional costs and expose us to new risks.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is an increasing focus from certain investors, customers, employees, and other stakeholders concerning environmental, social and governance matters (“ESG”). Some investors may use these non-financial performance factors to guide their investment strategies and, in some cases, may choose not to invest in us if they believe our policies and actions relating to ESG are inadequate. We may face reputational damage in the event that we do not meet the ESG standards set by various constituencies.</w:t>
      </w:r>
    </w:p>
    <w:p>
      <w:pPr>
        <w:spacing w:after="0" w:line="7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As ESG best practices and reporting standards continue to develop, we may incur increasing costs relating to ESG monitoring and reporting and complying with ESG initiatives. For example, the SEC has recently proposed climate change and ESG reporting requirements, which, if approved, would increase our compliance costs. Additionally, California recently enacted Assembly Bill 1305 (“AB 1305”). AB 1305, which will be effective January 1, 2024, creates new annual disclosure requirements regarding substantiation of certain climate-related statements, and may increase our compliance costs. We may also face greater costs to comply with new ESG standards or initiatives in the European Union. We recently published our ESG Report for fiscal year 2023, which describes, among other things, the measurement of our greenhouse gas emissions in 2021 and 2022 and our efforts to reduce emissions. In addition, our ESG Report provides highlights of how we are supporting our workforce, including our efforts to promote diversity, equity, and inclusion. Our disclosures on these matters, or a failure to meet evolving stakeholder expectations for ESG practices and reporting, may potentially harm our reputation and customer relationships. Due to new regulatory standards and market standards, certain new or existing customers, particularly those in the European Union, may impose stricter ESG guidelines or mandates for, and may scrutinize relationships more closely with, their counterparties, including us, which may lengthen sales cycles or increase our costs.</w:t>
      </w:r>
    </w:p>
    <w:p>
      <w:pPr>
        <w:spacing w:after="0" w:line="7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results of operations, and prospects could be adversely affected.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Climate change may have an impact on our business.</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Trading Arrangements</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Company’s last fiscal quarter, the Company’s directors and officers (as defined in Rule 16a-1(f) under the Exchange Act) adopted or terminated the contracts, instructions or written plans for the purchase or sale of the Company’s securities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0575" cy="1663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1663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62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2140" w:type="dxa"/>
            <w:vAlign w:val="bottom"/>
            <w:tcBorders>
              <w:top w:val="single" w:sz="8" w:color="auto"/>
              <w:right w:val="single" w:sz="8" w:color="auto"/>
            </w:tcBorders>
            <w:gridSpan w:val="2"/>
          </w:tcPr>
          <w:p>
            <w:pPr>
              <w:jc w:val="center"/>
              <w:spacing w:after="0" w:line="188" w:lineRule="exact"/>
              <w:rPr>
                <w:sz w:val="20"/>
                <w:szCs w:val="20"/>
                <w:color w:val="auto"/>
              </w:rPr>
            </w:pPr>
            <w:r>
              <w:rPr>
                <w:rFonts w:ascii="Arial" w:cs="Arial" w:eastAsia="Arial" w:hAnsi="Arial"/>
                <w:sz w:val="18"/>
                <w:szCs w:val="18"/>
                <w:b w:val="1"/>
                <w:bCs w:val="1"/>
                <w:color w:val="auto"/>
                <w:w w:val="90"/>
              </w:rPr>
              <w:t>Type of Trading</w:t>
            </w:r>
          </w:p>
        </w:tc>
        <w:tc>
          <w:tcPr>
            <w:tcW w:w="1500" w:type="dxa"/>
            <w:vAlign w:val="bottom"/>
            <w:tcBorders>
              <w:top w:val="single" w:sz="8" w:color="auto"/>
              <w:right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34"/>
        </w:trPr>
        <w:tc>
          <w:tcPr>
            <w:tcW w:w="362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Arrangement</w:t>
            </w:r>
          </w:p>
        </w:tc>
        <w:tc>
          <w:tcPr>
            <w:tcW w:w="1500" w:type="dxa"/>
            <w:vAlign w:val="bottom"/>
            <w:tcBorders>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3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1"/>
        </w:trPr>
        <w:tc>
          <w:tcPr>
            <w:tcW w:w="3620" w:type="dxa"/>
            <w:vAlign w:val="bottom"/>
            <w:tcBorders>
              <w:right w:val="single" w:sz="8" w:color="auto"/>
            </w:tcBorders>
          </w:tcPr>
          <w:p>
            <w:pPr>
              <w:ind w:left="1080"/>
              <w:spacing w:after="0" w:line="191" w:lineRule="exact"/>
              <w:rPr>
                <w:sz w:val="20"/>
                <w:szCs w:val="20"/>
                <w:color w:val="auto"/>
              </w:rPr>
            </w:pPr>
            <w:r>
              <w:rPr>
                <w:rFonts w:ascii="Arial" w:cs="Arial" w:eastAsia="Arial" w:hAnsi="Arial"/>
                <w:sz w:val="18"/>
                <w:szCs w:val="18"/>
                <w:b w:val="1"/>
                <w:bCs w:val="1"/>
                <w:color w:val="auto"/>
              </w:rPr>
              <w:t>Name and Position</w:t>
            </w:r>
          </w:p>
        </w:tc>
        <w:tc>
          <w:tcPr>
            <w:tcW w:w="12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Action</w:t>
            </w:r>
          </w:p>
        </w:tc>
        <w:tc>
          <w:tcPr>
            <w:tcW w:w="14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Adoption/</w:t>
            </w:r>
          </w:p>
        </w:tc>
        <w:tc>
          <w:tcPr>
            <w:tcW w:w="10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Rule 10b5-</w:t>
            </w:r>
          </w:p>
        </w:tc>
        <w:tc>
          <w:tcPr>
            <w:tcW w:w="11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Non-</w:t>
            </w:r>
          </w:p>
        </w:tc>
        <w:tc>
          <w:tcPr>
            <w:tcW w:w="15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Total Shares of</w:t>
            </w:r>
          </w:p>
        </w:tc>
        <w:tc>
          <w:tcPr>
            <w:tcW w:w="128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Expiration</w:t>
            </w:r>
          </w:p>
        </w:tc>
      </w:tr>
      <w:tr>
        <w:trPr>
          <w:trHeight w:val="203"/>
        </w:trPr>
        <w:tc>
          <w:tcPr>
            <w:tcW w:w="36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3"/>
              </w:rPr>
              <w:t>Termination</w:t>
            </w:r>
          </w:p>
        </w:tc>
        <w:tc>
          <w:tcPr>
            <w:tcW w:w="1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1*</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0"/>
              </w:rPr>
              <w:t>Rule 10b5-</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Class A Common</w:t>
            </w:r>
          </w:p>
        </w:tc>
        <w:tc>
          <w:tcPr>
            <w:tcW w:w="1280" w:type="dxa"/>
            <w:vAlign w:val="bottom"/>
          </w:tcPr>
          <w:p>
            <w:pPr>
              <w:ind w:left="440"/>
              <w:spacing w:after="0" w:line="202" w:lineRule="exact"/>
              <w:rPr>
                <w:sz w:val="20"/>
                <w:szCs w:val="20"/>
                <w:color w:val="auto"/>
              </w:rPr>
            </w:pPr>
            <w:r>
              <w:rPr>
                <w:rFonts w:ascii="Arial" w:cs="Arial" w:eastAsia="Arial" w:hAnsi="Arial"/>
                <w:sz w:val="18"/>
                <w:szCs w:val="18"/>
                <w:b w:val="1"/>
                <w:bCs w:val="1"/>
                <w:color w:val="auto"/>
              </w:rPr>
              <w:t>Date</w:t>
            </w:r>
          </w:p>
        </w:tc>
      </w:tr>
      <w:tr>
        <w:trPr>
          <w:trHeight w:val="203"/>
        </w:trPr>
        <w:tc>
          <w:tcPr>
            <w:tcW w:w="36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2"/>
              </w:rPr>
              <w:t>Date</w:t>
            </w: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1**</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6"/>
              </w:rPr>
              <w:t>Stock to be</w:t>
            </w:r>
          </w:p>
        </w:tc>
        <w:tc>
          <w:tcPr>
            <w:tcW w:w="1280" w:type="dxa"/>
            <w:vAlign w:val="bottom"/>
          </w:tcPr>
          <w:p>
            <w:pPr>
              <w:spacing w:after="0"/>
              <w:rPr>
                <w:sz w:val="17"/>
                <w:szCs w:val="17"/>
                <w:color w:val="auto"/>
              </w:rPr>
            </w:pPr>
          </w:p>
        </w:tc>
      </w:tr>
      <w:tr>
        <w:trPr>
          <w:trHeight w:val="234"/>
        </w:trPr>
        <w:tc>
          <w:tcPr>
            <w:tcW w:w="362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Sold***</w:t>
            </w:r>
          </w:p>
        </w:tc>
        <w:tc>
          <w:tcPr>
            <w:tcW w:w="1280" w:type="dxa"/>
            <w:vAlign w:val="bottom"/>
          </w:tcPr>
          <w:p>
            <w:pPr>
              <w:spacing w:after="0"/>
              <w:rPr>
                <w:sz w:val="20"/>
                <w:szCs w:val="20"/>
                <w:color w:val="auto"/>
              </w:rPr>
            </w:pPr>
          </w:p>
        </w:tc>
      </w:tr>
      <w:tr>
        <w:trPr>
          <w:trHeight w:val="27"/>
        </w:trPr>
        <w:tc>
          <w:tcPr>
            <w:tcW w:w="36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36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Shane Crehan, Chief Accounting Officer</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Adoption</w:t>
            </w:r>
          </w:p>
        </w:tc>
        <w:tc>
          <w:tcPr>
            <w:tcW w:w="1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10/12/2023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0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35,412</w:t>
            </w: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93"/>
              </w:rPr>
              <w:t>10/30/2024</w:t>
            </w:r>
          </w:p>
        </w:tc>
      </w:tr>
    </w:tbl>
    <w:p>
      <w:pPr>
        <w:ind w:left="40"/>
        <w:spacing w:after="0"/>
        <w:rPr>
          <w:sz w:val="20"/>
          <w:szCs w:val="20"/>
          <w:color w:val="auto"/>
        </w:rPr>
      </w:pPr>
      <w:r>
        <w:rPr>
          <w:rFonts w:ascii="Arial" w:cs="Arial" w:eastAsia="Arial" w:hAnsi="Arial"/>
          <w:sz w:val="18"/>
          <w:szCs w:val="18"/>
          <w:color w:val="auto"/>
        </w:rPr>
        <w:t>* Contract, instruction or written plan intended to satisfy the affirmative defense conditions of Rule 10b5-1(c) under the Exchange Act.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“Non-Rule 10b5-1 trading arrangement” as defined in Item 408(c) of Regulation S-K under the Exchange Act.</w:t>
      </w:r>
    </w:p>
    <w:p>
      <w:pPr>
        <w:spacing w:after="0" w:line="63" w:lineRule="exact"/>
        <w:rPr>
          <w:sz w:val="20"/>
          <w:szCs w:val="20"/>
          <w:color w:val="auto"/>
        </w:rPr>
      </w:pPr>
    </w:p>
    <w:p>
      <w:pPr>
        <w:ind w:left="40" w:right="160"/>
        <w:spacing w:after="0" w:line="261" w:lineRule="auto"/>
        <w:rPr>
          <w:sz w:val="20"/>
          <w:szCs w:val="20"/>
          <w:color w:val="auto"/>
        </w:rPr>
      </w:pPr>
      <w:r>
        <w:rPr>
          <w:rFonts w:ascii="Arial" w:cs="Arial" w:eastAsia="Arial" w:hAnsi="Arial"/>
          <w:sz w:val="18"/>
          <w:szCs w:val="18"/>
          <w:color w:val="auto"/>
        </w:rPr>
        <w:t>*** Represents the maximum number of shares that may be sold pursuant to the 10b5-1 arrangement. The actual number of shares sold will be dependent on the satisfaction of certain conditions as set forth in the written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4"/>
                <w:szCs w:val="14"/>
                <w:color w:val="auto"/>
              </w:rPr>
            </w:pPr>
          </w:p>
        </w:tc>
        <w:tc>
          <w:tcPr>
            <w:tcW w:w="3060" w:type="dxa"/>
            <w:vAlign w:val="bottom"/>
            <w:gridSpan w:val="11"/>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600" w:type="dxa"/>
            <w:vAlign w:val="bottom"/>
          </w:tcPr>
          <w:p>
            <w:pPr>
              <w:spacing w:after="0"/>
              <w:rPr>
                <w:sz w:val="16"/>
                <w:szCs w:val="16"/>
                <w:color w:val="auto"/>
              </w:rPr>
            </w:pPr>
          </w:p>
        </w:tc>
        <w:tc>
          <w:tcPr>
            <w:tcW w:w="3060" w:type="dxa"/>
            <w:vAlign w:val="bottom"/>
            <w:gridSpan w:val="1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4660" w:type="dxa"/>
            <w:vAlign w:val="bottom"/>
            <w:gridSpan w:val="12"/>
          </w:tcPr>
          <w:p>
            <w:pPr>
              <w:spacing w:after="0"/>
              <w:rPr>
                <w:rFonts w:ascii="Arial" w:cs="Arial" w:eastAsia="Arial" w:hAnsi="Arial"/>
                <w:sz w:val="18"/>
                <w:szCs w:val="18"/>
                <w:color w:val="0000FF"/>
                <w:w w:val="97"/>
              </w:rPr>
            </w:pPr>
            <w:hyperlink r:id="rId92">
              <w:r>
                <w:rPr>
                  <w:rFonts w:ascii="Arial" w:cs="Arial" w:eastAsia="Arial" w:hAnsi="Arial"/>
                  <w:sz w:val="18"/>
                  <w:szCs w:val="18"/>
                  <w:color w:val="0000FF"/>
                  <w:w w:val="97"/>
                </w:rPr>
                <w:t>Amended and Restated Certificate of Incorporation of Zoom</w:t>
              </w:r>
            </w:hyperlink>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Video Communications, Inc.</w:t>
              </w:r>
            </w:hyperlink>
          </w:p>
        </w:tc>
        <w:tc>
          <w:tcPr>
            <w:tcW w:w="2280" w:type="dxa"/>
            <w:vAlign w:val="bottom"/>
            <w:tcBorders>
              <w:top w:val="single" w:sz="8" w:color="0000FF"/>
            </w:tcBorders>
            <w:gridSpan w:val="5"/>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4660" w:type="dxa"/>
            <w:vAlign w:val="bottom"/>
            <w:gridSpan w:val="12"/>
          </w:tcPr>
          <w:p>
            <w:pPr>
              <w:spacing w:after="0"/>
              <w:rPr>
                <w:rFonts w:ascii="Arial" w:cs="Arial" w:eastAsia="Arial" w:hAnsi="Arial"/>
                <w:sz w:val="18"/>
                <w:szCs w:val="18"/>
                <w:color w:val="0000FF"/>
              </w:rPr>
            </w:pPr>
            <w:hyperlink r:id="rId93">
              <w:r>
                <w:rPr>
                  <w:rFonts w:ascii="Arial" w:cs="Arial" w:eastAsia="Arial" w:hAnsi="Arial"/>
                  <w:sz w:val="18"/>
                  <w:szCs w:val="18"/>
                  <w:color w:val="0000FF"/>
                </w:rPr>
                <w:t>Amended and Restated Bylaws of Zoom Video</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0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Communications, Inc.</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4660" w:type="dxa"/>
            <w:vAlign w:val="bottom"/>
            <w:gridSpan w:val="12"/>
          </w:tcPr>
          <w:p>
            <w:pPr>
              <w:spacing w:after="0"/>
              <w:rPr>
                <w:sz w:val="20"/>
                <w:szCs w:val="20"/>
                <w:color w:val="auto"/>
              </w:rPr>
            </w:pPr>
            <w:r>
              <w:rPr>
                <w:rFonts w:ascii="Arial" w:cs="Arial" w:eastAsia="Arial" w:hAnsi="Arial"/>
                <w:sz w:val="18"/>
                <w:szCs w:val="18"/>
                <w:color w:val="0000FF"/>
                <w:w w:val="96"/>
              </w:rPr>
              <w:t>Certification of Chief Executive Officer pursuant to Exchange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8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4"/>
              </w:rPr>
              <w:t>Act Rules 13a-14(a) and 15d-14(a), as adopted pursuant to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4660" w:type="dxa"/>
            <w:vAlign w:val="bottom"/>
            <w:gridSpan w:val="12"/>
          </w:tcPr>
          <w:p>
            <w:pPr>
              <w:spacing w:after="0"/>
              <w:rPr>
                <w:sz w:val="20"/>
                <w:szCs w:val="20"/>
                <w:color w:val="auto"/>
              </w:rPr>
            </w:pPr>
            <w:r>
              <w:rPr>
                <w:rFonts w:ascii="Arial" w:cs="Arial" w:eastAsia="Arial" w:hAnsi="Arial"/>
                <w:sz w:val="18"/>
                <w:szCs w:val="18"/>
                <w:color w:val="0000FF"/>
                <w:w w:val="97"/>
              </w:rPr>
              <w:t>Certification of Chief Financial Officer pursuant to Exchange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44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3"/>
              </w:rPr>
              <w:t>Act Rules 13a-14(a) and 15d-14(a), as adopted pursuant to</w:t>
            </w: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22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Section 302 of the Sarbanes-Oxley Act of 2002.</w:t>
            </w:r>
          </w:p>
        </w:tc>
        <w:tc>
          <w:tcPr>
            <w:tcW w:w="200" w:type="dxa"/>
            <w:vAlign w:val="bottom"/>
            <w:gridSpan w:val="2"/>
          </w:tcPr>
          <w:p>
            <w:pPr>
              <w:spacing w:after="0"/>
              <w:rPr>
                <w:sz w:val="14"/>
                <w:szCs w:val="14"/>
                <w:color w:val="auto"/>
              </w:rPr>
            </w:pPr>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44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3"/>
              </w:rPr>
              <w:t>Certifications of Chief Executive Officer and Chief Financial</w:t>
            </w:r>
          </w:p>
        </w:tc>
        <w:tc>
          <w:tcPr>
            <w:tcW w:w="2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60" w:type="dxa"/>
            <w:vAlign w:val="bottom"/>
            <w:gridSpan w:val="12"/>
          </w:tcPr>
          <w:p>
            <w:pPr>
              <w:spacing w:after="0" w:line="156" w:lineRule="exact"/>
              <w:rPr>
                <w:sz w:val="20"/>
                <w:szCs w:val="20"/>
                <w:color w:val="auto"/>
              </w:rPr>
            </w:pPr>
            <w:r>
              <w:rPr>
                <w:rFonts w:ascii="Arial" w:cs="Arial" w:eastAsia="Arial" w:hAnsi="Arial"/>
                <w:sz w:val="18"/>
                <w:szCs w:val="18"/>
                <w:color w:val="0000FF"/>
                <w:w w:val="90"/>
              </w:rPr>
              <w:t>Officer pursuant to 18 U.S.C. Section 1350, as adopted pursuant</w:t>
            </w:r>
          </w:p>
        </w:tc>
        <w:tc>
          <w:tcPr>
            <w:tcW w:w="0" w:type="dxa"/>
            <w:vAlign w:val="bottom"/>
          </w:tcPr>
          <w:p>
            <w:pPr>
              <w:spacing w:after="0"/>
              <w:rPr>
                <w:sz w:val="1"/>
                <w:szCs w:val="1"/>
                <w:color w:val="auto"/>
              </w:rPr>
            </w:pPr>
          </w:p>
        </w:tc>
      </w:tr>
      <w:tr>
        <w:trPr>
          <w:trHeight w:val="169"/>
        </w:trPr>
        <w:tc>
          <w:tcPr>
            <w:tcW w:w="11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464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rPr>
              <w:t>to Section 906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vMerge w:val="continue"/>
          </w:tcPr>
          <w:p>
            <w:pPr>
              <w:spacing w:after="0"/>
              <w:rPr>
                <w:sz w:val="20"/>
                <w:szCs w:val="20"/>
                <w:color w:val="auto"/>
              </w:rPr>
            </w:pPr>
          </w:p>
        </w:tc>
        <w:tc>
          <w:tcPr>
            <w:tcW w:w="4660" w:type="dxa"/>
            <w:vAlign w:val="bottom"/>
            <w:gridSpan w:val="12"/>
          </w:tcPr>
          <w:p>
            <w:pPr>
              <w:spacing w:after="0"/>
              <w:rPr>
                <w:sz w:val="20"/>
                <w:szCs w:val="20"/>
                <w:color w:val="auto"/>
              </w:rPr>
            </w:pPr>
            <w:r>
              <w:rPr>
                <w:rFonts w:ascii="Arial" w:cs="Arial" w:eastAsia="Arial" w:hAnsi="Arial"/>
                <w:sz w:val="18"/>
                <w:szCs w:val="18"/>
                <w:color w:val="auto"/>
                <w:w w:val="98"/>
              </w:rPr>
              <w:t>XBRL Instance Document (the instance document does not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gridSpan w:val="12"/>
          </w:tcPr>
          <w:p>
            <w:pPr>
              <w:spacing w:after="0"/>
              <w:rPr>
                <w:sz w:val="20"/>
                <w:szCs w:val="20"/>
                <w:color w:val="auto"/>
              </w:rPr>
            </w:pPr>
            <w:r>
              <w:rPr>
                <w:rFonts w:ascii="Arial" w:cs="Arial" w:eastAsia="Arial" w:hAnsi="Arial"/>
                <w:sz w:val="18"/>
                <w:szCs w:val="18"/>
                <w:color w:val="auto"/>
                <w:w w:val="95"/>
              </w:rPr>
              <w:t>appear in the Interactive Data File because its XBRL tags are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60" w:type="dxa"/>
            <w:vAlign w:val="bottom"/>
            <w:gridSpan w:val="12"/>
          </w:tcPr>
          <w:p>
            <w:pPr>
              <w:spacing w:after="0"/>
              <w:rPr>
                <w:sz w:val="20"/>
                <w:szCs w:val="20"/>
                <w:color w:val="auto"/>
              </w:rPr>
            </w:pPr>
            <w:r>
              <w:rPr>
                <w:rFonts w:ascii="Arial" w:cs="Arial" w:eastAsia="Arial" w:hAnsi="Arial"/>
                <w:sz w:val="18"/>
                <w:szCs w:val="18"/>
                <w:color w:val="auto"/>
              </w:rPr>
              <w:t>embedded within the Inline EXBRL document)</w:t>
            </w: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6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660" w:type="dxa"/>
            <w:vAlign w:val="bottom"/>
            <w:gridSpan w:val="12"/>
          </w:tcPr>
          <w:p>
            <w:pPr>
              <w:spacing w:after="0"/>
              <w:rPr>
                <w:sz w:val="20"/>
                <w:szCs w:val="20"/>
                <w:color w:val="auto"/>
              </w:rPr>
            </w:pPr>
            <w:r>
              <w:rPr>
                <w:rFonts w:ascii="Arial" w:cs="Arial" w:eastAsia="Arial" w:hAnsi="Arial"/>
                <w:sz w:val="18"/>
                <w:szCs w:val="18"/>
                <w:color w:val="auto"/>
                <w:w w:val="97"/>
              </w:rPr>
              <w:t>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660" w:type="dxa"/>
            <w:vAlign w:val="bottom"/>
            <w:gridSpan w:val="12"/>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6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660" w:type="dxa"/>
            <w:vAlign w:val="bottom"/>
            <w:gridSpan w:val="12"/>
          </w:tcPr>
          <w:p>
            <w:pPr>
              <w:spacing w:after="0"/>
              <w:rPr>
                <w:sz w:val="20"/>
                <w:szCs w:val="20"/>
                <w:color w:val="auto"/>
              </w:rPr>
            </w:pPr>
            <w:r>
              <w:rPr>
                <w:rFonts w:ascii="Arial" w:cs="Arial" w:eastAsia="Arial" w:hAnsi="Arial"/>
                <w:sz w:val="18"/>
                <w:szCs w:val="18"/>
                <w:color w:val="auto"/>
                <w:w w:val="94"/>
              </w:rPr>
              <w:t>XBRL Taxonomy Extension Presentation Linkbase Document</w:t>
            </w:r>
          </w:p>
        </w:tc>
        <w:tc>
          <w:tcPr>
            <w:tcW w:w="0" w:type="dxa"/>
            <w:vAlign w:val="bottom"/>
          </w:tcPr>
          <w:p>
            <w:pPr>
              <w:spacing w:after="0"/>
              <w:rPr>
                <w:sz w:val="1"/>
                <w:szCs w:val="1"/>
                <w:color w:val="auto"/>
              </w:rPr>
            </w:pPr>
          </w:p>
        </w:tc>
      </w:tr>
    </w:tbl>
    <w:p>
      <w:pPr>
        <w:ind w:left="1180" w:right="220" w:hanging="1154"/>
        <w:spacing w:after="0" w:line="267"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Cover Page Interactive Data File (the cover page from the Registrant’s Quarterly Report on Form 10-Q for the quarter ended October 31, 2023, has been formatted in Inline XBRL)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Incorporated by Reference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Form</w:t>
            </w:r>
          </w:p>
        </w:tc>
        <w:tc>
          <w:tcPr>
            <w:tcW w:w="140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File No.</w:t>
            </w:r>
          </w:p>
        </w:tc>
        <w:tc>
          <w:tcPr>
            <w:tcW w:w="116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Exhibit</w:t>
            </w:r>
          </w:p>
        </w:tc>
        <w:tc>
          <w:tcPr>
            <w:tcW w:w="1800" w:type="dxa"/>
            <w:vAlign w:val="bottom"/>
            <w:tcBorders>
              <w:top w:val="single" w:sz="8" w:color="auto"/>
            </w:tcBorders>
          </w:tcPr>
          <w:p>
            <w:pPr>
              <w:ind w:left="640"/>
              <w:spacing w:after="0"/>
              <w:rPr>
                <w:sz w:val="20"/>
                <w:szCs w:val="20"/>
                <w:color w:val="auto"/>
              </w:rPr>
            </w:pPr>
            <w:r>
              <w:rPr>
                <w:rFonts w:ascii="Arial" w:cs="Arial" w:eastAsia="Arial" w:hAnsi="Arial"/>
                <w:sz w:val="14"/>
                <w:szCs w:val="14"/>
                <w:b w:val="1"/>
                <w:bCs w:val="1"/>
                <w:color w:val="auto"/>
              </w:rPr>
              <w:t>Filing Date</w:t>
            </w:r>
          </w:p>
        </w:tc>
      </w:tr>
      <w:tr>
        <w:trPr>
          <w:trHeight w:val="259"/>
        </w:trPr>
        <w:tc>
          <w:tcPr>
            <w:tcW w:w="860" w:type="dxa"/>
            <w:vAlign w:val="bottom"/>
          </w:tcPr>
          <w:p>
            <w:pPr>
              <w:ind w:left="20"/>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316"/>
              <w:spacing w:after="0"/>
              <w:rPr>
                <w:sz w:val="20"/>
                <w:szCs w:val="20"/>
                <w:color w:val="auto"/>
              </w:rPr>
            </w:pPr>
            <w:r>
              <w:rPr>
                <w:rFonts w:ascii="Arial" w:cs="Arial" w:eastAsia="Arial" w:hAnsi="Arial"/>
                <w:sz w:val="18"/>
                <w:szCs w:val="18"/>
                <w:color w:val="auto"/>
              </w:rPr>
              <w:t>001-38865</w:t>
            </w:r>
          </w:p>
        </w:tc>
        <w:tc>
          <w:tcPr>
            <w:tcW w:w="1160" w:type="dxa"/>
            <w:vAlign w:val="bottom"/>
          </w:tcPr>
          <w:p>
            <w:pPr>
              <w:jc w:val="right"/>
              <w:ind w:right="576"/>
              <w:spacing w:after="0"/>
              <w:rPr>
                <w:sz w:val="20"/>
                <w:szCs w:val="20"/>
                <w:color w:val="auto"/>
              </w:rPr>
            </w:pPr>
            <w:r>
              <w:rPr>
                <w:rFonts w:ascii="Arial" w:cs="Arial" w:eastAsia="Arial" w:hAnsi="Arial"/>
                <w:sz w:val="18"/>
                <w:szCs w:val="18"/>
                <w:color w:val="auto"/>
              </w:rPr>
              <w:t>3.1</w:t>
            </w:r>
          </w:p>
        </w:tc>
        <w:tc>
          <w:tcPr>
            <w:tcW w:w="1800" w:type="dxa"/>
            <w:vAlign w:val="bottom"/>
          </w:tcPr>
          <w:p>
            <w:pPr>
              <w:ind w:left="200"/>
              <w:spacing w:after="0"/>
              <w:rPr>
                <w:sz w:val="20"/>
                <w:szCs w:val="20"/>
                <w:color w:val="auto"/>
              </w:rPr>
            </w:pPr>
            <w:r>
              <w:rPr>
                <w:rFonts w:ascii="Arial" w:cs="Arial" w:eastAsia="Arial" w:hAnsi="Arial"/>
                <w:sz w:val="18"/>
                <w:szCs w:val="18"/>
                <w:color w:val="auto"/>
              </w:rPr>
              <w:t>April 23, 2019</w:t>
            </w:r>
          </w:p>
        </w:tc>
      </w:tr>
      <w:tr>
        <w:trPr>
          <w:trHeight w:val="473"/>
        </w:trPr>
        <w:tc>
          <w:tcPr>
            <w:tcW w:w="860" w:type="dxa"/>
            <w:vAlign w:val="bottom"/>
          </w:tcPr>
          <w:p>
            <w:pPr>
              <w:ind w:left="20"/>
              <w:spacing w:after="0"/>
              <w:rPr>
                <w:sz w:val="20"/>
                <w:szCs w:val="20"/>
                <w:color w:val="auto"/>
              </w:rPr>
            </w:pPr>
            <w:r>
              <w:rPr>
                <w:rFonts w:ascii="Arial" w:cs="Arial" w:eastAsia="Arial" w:hAnsi="Arial"/>
                <w:sz w:val="18"/>
                <w:szCs w:val="18"/>
                <w:color w:val="auto"/>
              </w:rPr>
              <w:t>10-K</w:t>
            </w:r>
          </w:p>
        </w:tc>
        <w:tc>
          <w:tcPr>
            <w:tcW w:w="1400" w:type="dxa"/>
            <w:vAlign w:val="bottom"/>
          </w:tcPr>
          <w:p>
            <w:pPr>
              <w:jc w:val="right"/>
              <w:ind w:right="316"/>
              <w:spacing w:after="0"/>
              <w:rPr>
                <w:sz w:val="20"/>
                <w:szCs w:val="20"/>
                <w:color w:val="auto"/>
              </w:rPr>
            </w:pPr>
            <w:r>
              <w:rPr>
                <w:rFonts w:ascii="Arial" w:cs="Arial" w:eastAsia="Arial" w:hAnsi="Arial"/>
                <w:sz w:val="18"/>
                <w:szCs w:val="18"/>
                <w:color w:val="auto"/>
              </w:rPr>
              <w:t>001-38865</w:t>
            </w:r>
          </w:p>
        </w:tc>
        <w:tc>
          <w:tcPr>
            <w:tcW w:w="1160" w:type="dxa"/>
            <w:vAlign w:val="bottom"/>
          </w:tcPr>
          <w:p>
            <w:pPr>
              <w:jc w:val="right"/>
              <w:ind w:right="576"/>
              <w:spacing w:after="0"/>
              <w:rPr>
                <w:sz w:val="20"/>
                <w:szCs w:val="20"/>
                <w:color w:val="auto"/>
              </w:rPr>
            </w:pPr>
            <w:r>
              <w:rPr>
                <w:rFonts w:ascii="Arial" w:cs="Arial" w:eastAsia="Arial" w:hAnsi="Arial"/>
                <w:sz w:val="18"/>
                <w:szCs w:val="18"/>
                <w:color w:val="auto"/>
              </w:rPr>
              <w:t>3.2</w:t>
            </w:r>
          </w:p>
        </w:tc>
        <w:tc>
          <w:tcPr>
            <w:tcW w:w="1800" w:type="dxa"/>
            <w:vAlign w:val="bottom"/>
          </w:tcPr>
          <w:p>
            <w:pPr>
              <w:ind w:left="200"/>
              <w:spacing w:after="0"/>
              <w:rPr>
                <w:sz w:val="20"/>
                <w:szCs w:val="20"/>
                <w:color w:val="auto"/>
              </w:rPr>
            </w:pPr>
            <w:r>
              <w:rPr>
                <w:rFonts w:ascii="Arial" w:cs="Arial" w:eastAsia="Arial" w:hAnsi="Arial"/>
                <w:sz w:val="18"/>
                <w:szCs w:val="18"/>
                <w:color w:val="auto"/>
              </w:rPr>
              <w:t>March 3, 2023</w:t>
            </w:r>
          </w:p>
        </w:tc>
      </w:tr>
    </w:tbl>
    <w:p>
      <w:pPr>
        <w:spacing w:after="0" w:line="4616" w:lineRule="exact"/>
        <w:rPr>
          <w:sz w:val="20"/>
          <w:szCs w:val="20"/>
          <w:color w:val="auto"/>
        </w:rPr>
      </w:pPr>
    </w:p>
    <w:p>
      <w:pPr>
        <w:sectPr>
          <w:pgSz w:w="11900" w:h="16838" w:orient="portrait"/>
          <w:cols w:equalWidth="0" w:num="2">
            <w:col w:w="5820" w:space="160"/>
            <w:col w:w="5260"/>
          </w:cols>
          <w:pgMar w:left="320" w:top="125" w:right="339" w:bottom="1440" w:gutter="0" w:footer="0" w:header="0"/>
        </w:sect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660" w:hanging="652"/>
        <w:spacing w:after="0" w:line="255" w:lineRule="auto"/>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6900" w:type="dxa"/>
            <w:vAlign w:val="bottom"/>
            <w:gridSpan w:val="2"/>
          </w:tcPr>
          <w:p>
            <w:pPr>
              <w:ind w:left="2440"/>
              <w:spacing w:after="0"/>
              <w:rPr>
                <w:sz w:val="20"/>
                <w:szCs w:val="20"/>
                <w:color w:val="auto"/>
              </w:rPr>
            </w:pPr>
            <w:r>
              <w:rPr>
                <w:rFonts w:ascii="Arial" w:cs="Arial" w:eastAsia="Arial" w:hAnsi="Arial"/>
                <w:sz w:val="18"/>
                <w:szCs w:val="18"/>
                <w:b w:val="1"/>
                <w:bCs w:val="1"/>
                <w:color w:val="auto"/>
              </w:rPr>
              <w:t>ZOOM VIDEO COMMUNICATIONS, INC.</w:t>
            </w:r>
          </w:p>
        </w:tc>
      </w:tr>
      <w:tr>
        <w:trPr>
          <w:trHeight w:val="486"/>
        </w:trPr>
        <w:tc>
          <w:tcPr>
            <w:tcW w:w="4300" w:type="dxa"/>
            <w:vAlign w:val="bottom"/>
          </w:tcPr>
          <w:p>
            <w:pPr>
              <w:spacing w:after="0"/>
              <w:rPr>
                <w:sz w:val="20"/>
                <w:szCs w:val="20"/>
                <w:color w:val="auto"/>
              </w:rPr>
            </w:pPr>
            <w:r>
              <w:rPr>
                <w:rFonts w:ascii="Arial" w:cs="Arial" w:eastAsia="Arial" w:hAnsi="Arial"/>
                <w:sz w:val="18"/>
                <w:szCs w:val="18"/>
                <w:color w:val="auto"/>
              </w:rPr>
              <w:t>Date: November 21, 2023</w:t>
            </w:r>
          </w:p>
        </w:tc>
        <w:tc>
          <w:tcPr>
            <w:tcW w:w="2960" w:type="dxa"/>
            <w:vAlign w:val="bottom"/>
          </w:tcPr>
          <w:p>
            <w:pPr>
              <w:ind w:left="24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 Yuan</w:t>
            </w:r>
          </w:p>
        </w:tc>
      </w:tr>
      <w:tr>
        <w:trPr>
          <w:trHeight w:val="222"/>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Eric S. Yuan</w:t>
            </w:r>
          </w:p>
        </w:tc>
      </w:tr>
      <w:tr>
        <w:trPr>
          <w:trHeight w:val="230"/>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4300" w:type="dxa"/>
            <w:vAlign w:val="bottom"/>
          </w:tcPr>
          <w:p>
            <w:pPr>
              <w:spacing w:after="0"/>
              <w:rPr>
                <w:sz w:val="20"/>
                <w:szCs w:val="20"/>
                <w:color w:val="auto"/>
              </w:rPr>
            </w:pPr>
            <w:r>
              <w:rPr>
                <w:rFonts w:ascii="Arial" w:cs="Arial" w:eastAsia="Arial" w:hAnsi="Arial"/>
                <w:sz w:val="18"/>
                <w:szCs w:val="18"/>
                <w:color w:val="auto"/>
              </w:rPr>
              <w:t>Date: November 21, 2023</w:t>
            </w:r>
          </w:p>
        </w:tc>
        <w:tc>
          <w:tcPr>
            <w:tcW w:w="2960" w:type="dxa"/>
            <w:vAlign w:val="bottom"/>
          </w:tcPr>
          <w:p>
            <w:pPr>
              <w:ind w:left="244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Steckelberg</w:t>
            </w:r>
          </w:p>
        </w:tc>
      </w:tr>
      <w:tr>
        <w:trPr>
          <w:trHeight w:val="222"/>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Kelly Steckelberg</w:t>
            </w:r>
          </w:p>
        </w:tc>
      </w:tr>
      <w:tr>
        <w:trPr>
          <w:trHeight w:val="229"/>
        </w:trPr>
        <w:tc>
          <w:tcPr>
            <w:tcW w:w="4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960" w:right="80" w:hanging="656"/>
        <w:spacing w:after="0" w:line="286" w:lineRule="auto"/>
        <w:tabs>
          <w:tab w:leader="none" w:pos="19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14605</wp:posOffset>
            </wp:positionV>
            <wp:extent cx="22117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780" w:val="left"/>
        </w:tabs>
        <w:rPr>
          <w:sz w:val="20"/>
          <w:szCs w:val="20"/>
          <w:color w:val="auto"/>
        </w:rPr>
      </w:pPr>
      <w:r>
        <w:rPr>
          <w:rFonts w:ascii="Arial" w:cs="Arial" w:eastAsia="Arial" w:hAnsi="Arial"/>
          <w:sz w:val="18"/>
          <w:szCs w:val="18"/>
          <w:color w:val="auto"/>
        </w:rPr>
        <w:t>Date: November 21, 2023</w:t>
      </w:r>
      <w:r>
        <w:rPr>
          <w:sz w:val="20"/>
          <w:szCs w:val="20"/>
          <w:color w:val="auto"/>
        </w:rPr>
        <w:tab/>
      </w:r>
      <w:r>
        <w:rPr>
          <w:rFonts w:ascii="Arial" w:cs="Arial" w:eastAsia="Arial" w:hAnsi="Arial"/>
          <w:sz w:val="16"/>
          <w:szCs w:val="16"/>
          <w:color w:val="auto"/>
        </w:rPr>
        <w:t>Eric S. Yuan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5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14605</wp:posOffset>
            </wp:positionV>
            <wp:extent cx="22117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6" w:lineRule="exact"/>
        <w:rPr>
          <w:sz w:val="20"/>
          <w:szCs w:val="20"/>
          <w:color w:val="auto"/>
        </w:rPr>
      </w:pPr>
    </w:p>
    <w:p>
      <w:pPr>
        <w:ind w:left="1000"/>
        <w:spacing w:after="0"/>
        <w:tabs>
          <w:tab w:leader="none" w:pos="6920" w:val="left"/>
        </w:tabs>
        <w:rPr>
          <w:sz w:val="20"/>
          <w:szCs w:val="20"/>
          <w:color w:val="auto"/>
        </w:rPr>
      </w:pPr>
      <w:r>
        <w:rPr>
          <w:rFonts w:ascii="Arial" w:cs="Arial" w:eastAsia="Arial" w:hAnsi="Arial"/>
          <w:sz w:val="18"/>
          <w:szCs w:val="18"/>
          <w:color w:val="auto"/>
        </w:rPr>
        <w:t>Date: November 21, 2023</w:t>
      </w:r>
      <w:r>
        <w:rPr>
          <w:sz w:val="20"/>
          <w:szCs w:val="20"/>
          <w:color w:val="auto"/>
        </w:rPr>
        <w:tab/>
      </w:r>
      <w:r>
        <w:rPr>
          <w:rFonts w:ascii="Arial" w:cs="Arial" w:eastAsia="Arial" w:hAnsi="Arial"/>
          <w:sz w:val="16"/>
          <w:szCs w:val="16"/>
          <w:color w:val="auto"/>
        </w:rPr>
        <w:t>Kelly Steckelberg</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66"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0" w:lineRule="exact"/>
        <w:rPr>
          <w:sz w:val="20"/>
          <w:szCs w:val="20"/>
          <w:color w:val="auto"/>
        </w:rPr>
      </w:pP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Video Communications, Inc. for the fiscal quarter ended October 31, 2023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56" w:lineRule="exact"/>
        <w:rPr>
          <w:sz w:val="20"/>
          <w:szCs w:val="20"/>
          <w:color w:val="auto"/>
        </w:rPr>
      </w:pPr>
    </w:p>
    <w:p>
      <w:pPr>
        <w:ind w:left="20"/>
        <w:spacing w:after="0"/>
        <w:tabs>
          <w:tab w:leader="none" w:pos="6720" w:val="left"/>
          <w:tab w:leader="none" w:pos="7160" w:val="left"/>
        </w:tabs>
        <w:rPr>
          <w:sz w:val="20"/>
          <w:szCs w:val="20"/>
          <w:color w:val="auto"/>
        </w:rPr>
      </w:pPr>
      <w:r>
        <w:rPr>
          <w:rFonts w:ascii="Arial" w:cs="Arial" w:eastAsia="Arial" w:hAnsi="Arial"/>
          <w:sz w:val="18"/>
          <w:szCs w:val="18"/>
          <w:color w:val="auto"/>
        </w:rPr>
        <w:t>Date: November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031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 Kelly Steckelberg, certify, pursuant to the requirement set forth in Rule 13a-14(b) of the Exchange Act and 18 U.S.C. Section 1350, as adopted pursuant to Section 906 of the Sarbanes-Oxley Act of 2002, that to the best of my knowledge, the Quarterly Report on Form 10-Q of Zoom Video Communications, Inc. for the fiscal quarter ended October 31, 2023 fully complies with the requirements of Section 13(a) or 15(d) of the Exchange Act and that information contained in such Quarterly Report on Form 10-Q fairly presents, in all material respects, the financial condition and results of operations of Zoom Video Communications, Inc.</w:t>
      </w:r>
    </w:p>
    <w:p>
      <w:pPr>
        <w:spacing w:after="0" w:line="256" w:lineRule="exact"/>
        <w:rPr>
          <w:sz w:val="20"/>
          <w:szCs w:val="20"/>
          <w:color w:val="auto"/>
        </w:rPr>
      </w:pPr>
    </w:p>
    <w:p>
      <w:pPr>
        <w:ind w:left="20"/>
        <w:spacing w:after="0"/>
        <w:tabs>
          <w:tab w:leader="none" w:pos="6720" w:val="left"/>
          <w:tab w:leader="none" w:pos="7160" w:val="left"/>
        </w:tabs>
        <w:rPr>
          <w:sz w:val="20"/>
          <w:szCs w:val="20"/>
          <w:color w:val="auto"/>
        </w:rPr>
      </w:pPr>
      <w:r>
        <w:rPr>
          <w:rFonts w:ascii="Arial" w:cs="Arial" w:eastAsia="Arial" w:hAnsi="Arial"/>
          <w:sz w:val="18"/>
          <w:szCs w:val="18"/>
          <w:color w:val="auto"/>
        </w:rPr>
        <w:t>Date: November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031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Kelly Steckelberg</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1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2" Type="http://schemas.openxmlformats.org/officeDocument/2006/relationships/hyperlink" Target="http://www.sec.gov/Archives/edgar/data/1585521/000119312519115111/d736915dex31.htm" TargetMode="External"/><Relationship Id="rId93" Type="http://schemas.openxmlformats.org/officeDocument/2006/relationships/hyperlink" Target="https://www.sec.gov/Archives/edgar/data/1585521/000158552123000035/zoom-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2023-11-21T12:45:37Z</dcterms:created>
  <dcterms:modified xsi:type="dcterms:W3CDTF">2023-11-21T12:45:37Z</dcterms:modified>
</cp:coreProperties>
</file>