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408940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line="233"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60" w:right="540" w:hanging="534"/>
        <w:spacing w:after="0" w:line="235" w:lineRule="auto"/>
        <w:tabs>
          <w:tab w:leader="none" w:pos="56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60" w:right="520" w:hanging="534"/>
        <w:spacing w:after="0" w:line="235" w:lineRule="auto"/>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6"/>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r>
      <w:tr>
        <w:trPr>
          <w:trHeight w:val="247"/>
        </w:trPr>
        <w:tc>
          <w:tcPr>
            <w:tcW w:w="3920" w:type="dxa"/>
            <w:vAlign w:val="bottom"/>
          </w:tcPr>
          <w:p>
            <w:pPr>
              <w:spacing w:after="0"/>
              <w:rPr>
                <w:sz w:val="21"/>
                <w:szCs w:val="21"/>
                <w:color w:val="auto"/>
              </w:rPr>
            </w:pPr>
          </w:p>
        </w:tc>
        <w:tc>
          <w:tcPr>
            <w:tcW w:w="36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Commission File Number 001-38865</w:t>
            </w:r>
          </w:p>
        </w:tc>
        <w:tc>
          <w:tcPr>
            <w:tcW w:w="3680" w:type="dxa"/>
            <w:vAlign w:val="bottom"/>
          </w:tcPr>
          <w:p>
            <w:pPr>
              <w:spacing w:after="0"/>
              <w:rPr>
                <w:sz w:val="21"/>
                <w:szCs w:val="21"/>
                <w:color w:val="auto"/>
              </w:rPr>
            </w:pPr>
          </w:p>
        </w:tc>
      </w:tr>
      <w:tr>
        <w:trPr>
          <w:trHeight w:val="186"/>
        </w:trPr>
        <w:tc>
          <w:tcPr>
            <w:tcW w:w="11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462"/>
        </w:trPr>
        <w:tc>
          <w:tcPr>
            <w:tcW w:w="11200" w:type="dxa"/>
            <w:vAlign w:val="bottom"/>
            <w:gridSpan w:val="7"/>
          </w:tcPr>
          <w:p>
            <w:pPr>
              <w:jc w:val="center"/>
              <w:spacing w:after="0"/>
              <w:rPr>
                <w:sz w:val="20"/>
                <w:szCs w:val="20"/>
                <w:color w:val="auto"/>
              </w:rPr>
            </w:pPr>
            <w:r>
              <w:rPr>
                <w:rFonts w:ascii="Arial" w:cs="Arial" w:eastAsia="Arial" w:hAnsi="Arial"/>
                <w:sz w:val="38"/>
                <w:szCs w:val="38"/>
                <w:b w:val="1"/>
                <w:bCs w:val="1"/>
                <w:color w:val="auto"/>
                <w:w w:val="90"/>
              </w:rPr>
              <w:t>Zoom Video Communications, Inc.</w:t>
            </w:r>
          </w:p>
        </w:tc>
      </w:tr>
      <w:tr>
        <w:trPr>
          <w:trHeight w:val="162"/>
        </w:trPr>
        <w:tc>
          <w:tcPr>
            <w:tcW w:w="3920" w:type="dxa"/>
            <w:vAlign w:val="bottom"/>
          </w:tcPr>
          <w:p>
            <w:pPr>
              <w:spacing w:after="0"/>
              <w:rPr>
                <w:sz w:val="14"/>
                <w:szCs w:val="14"/>
                <w:color w:val="auto"/>
              </w:rPr>
            </w:pPr>
          </w:p>
        </w:tc>
        <w:tc>
          <w:tcPr>
            <w:tcW w:w="3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680" w:type="dxa"/>
            <w:vAlign w:val="bottom"/>
          </w:tcPr>
          <w:p>
            <w:pPr>
              <w:spacing w:after="0"/>
              <w:rPr>
                <w:sz w:val="14"/>
                <w:szCs w:val="14"/>
                <w:color w:val="auto"/>
              </w:rPr>
            </w:pPr>
          </w:p>
        </w:tc>
      </w:tr>
      <w:tr>
        <w:trPr>
          <w:trHeight w:val="186"/>
        </w:trPr>
        <w:tc>
          <w:tcPr>
            <w:tcW w:w="11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246"/>
        </w:trPr>
        <w:tc>
          <w:tcPr>
            <w:tcW w:w="3920" w:type="dxa"/>
            <w:vAlign w:val="bottom"/>
          </w:tcPr>
          <w:p>
            <w:pPr>
              <w:jc w:val="center"/>
              <w:ind w:left="1632"/>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61-1648780</w:t>
            </w:r>
          </w:p>
        </w:tc>
      </w:tr>
      <w:tr>
        <w:trPr>
          <w:trHeight w:val="144"/>
        </w:trPr>
        <w:tc>
          <w:tcPr>
            <w:tcW w:w="3920" w:type="dxa"/>
            <w:vAlign w:val="bottom"/>
          </w:tcPr>
          <w:p>
            <w:pPr>
              <w:jc w:val="center"/>
              <w:ind w:left="163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80" w:type="dxa"/>
            <w:vAlign w:val="bottom"/>
          </w:tcPr>
          <w:p>
            <w:pPr>
              <w:jc w:val="center"/>
              <w:ind w:right="179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left="1632"/>
              <w:spacing w:after="0"/>
              <w:rPr>
                <w:sz w:val="20"/>
                <w:szCs w:val="20"/>
                <w:color w:val="auto"/>
              </w:rPr>
            </w:pPr>
            <w:r>
              <w:rPr>
                <w:rFonts w:ascii="Arial" w:cs="Arial" w:eastAsia="Arial" w:hAnsi="Arial"/>
                <w:sz w:val="14"/>
                <w:szCs w:val="14"/>
                <w:b w:val="1"/>
                <w:bCs w:val="1"/>
                <w:color w:val="auto"/>
                <w:w w:val="93"/>
              </w:rPr>
              <w:t>of incorporation or organization)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Identification No.)</w:t>
            </w:r>
          </w:p>
        </w:tc>
      </w:tr>
      <w:tr>
        <w:trPr>
          <w:trHeight w:val="308"/>
        </w:trPr>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1"/>
              </w:rPr>
              <w:t>55 Almaden Boulevard, 6</w:t>
            </w:r>
            <w:r>
              <w:rPr>
                <w:rFonts w:ascii="Arial" w:cs="Arial" w:eastAsia="Arial" w:hAnsi="Arial"/>
                <w:sz w:val="16"/>
                <w:szCs w:val="16"/>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San Jose, California 95113</w:t>
            </w:r>
          </w:p>
        </w:tc>
        <w:tc>
          <w:tcPr>
            <w:tcW w:w="3680" w:type="dxa"/>
            <w:vAlign w:val="bottom"/>
          </w:tcPr>
          <w:p>
            <w:pPr>
              <w:spacing w:after="0"/>
              <w:rPr>
                <w:sz w:val="18"/>
                <w:szCs w:val="18"/>
                <w:color w:val="auto"/>
              </w:rPr>
            </w:pPr>
          </w:p>
        </w:tc>
      </w:tr>
      <w:tr>
        <w:trPr>
          <w:trHeight w:val="182"/>
        </w:trPr>
        <w:tc>
          <w:tcPr>
            <w:tcW w:w="392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Arial" w:cs="Arial" w:eastAsia="Arial" w:hAnsi="Arial"/>
                <w:sz w:val="14"/>
                <w:szCs w:val="14"/>
                <w:b w:val="1"/>
                <w:bCs w:val="1"/>
                <w:i w:val="1"/>
                <w:iCs w:val="1"/>
                <w:color w:val="auto"/>
                <w:w w:val="88"/>
              </w:rPr>
              <w:t>(Address of principal executive offices and Zip Code)</w:t>
            </w:r>
          </w:p>
        </w:tc>
        <w:tc>
          <w:tcPr>
            <w:tcW w:w="3680" w:type="dxa"/>
            <w:vAlign w:val="bottom"/>
          </w:tcPr>
          <w:p>
            <w:pPr>
              <w:spacing w:after="0"/>
              <w:rPr>
                <w:sz w:val="15"/>
                <w:szCs w:val="15"/>
                <w:color w:val="auto"/>
              </w:rPr>
            </w:pPr>
          </w:p>
        </w:tc>
      </w:tr>
      <w:tr>
        <w:trPr>
          <w:trHeight w:val="290"/>
        </w:trPr>
        <w:tc>
          <w:tcPr>
            <w:tcW w:w="3920" w:type="dxa"/>
            <w:vAlign w:val="bottom"/>
          </w:tcPr>
          <w:p>
            <w:pPr>
              <w:spacing w:after="0"/>
              <w:rPr>
                <w:sz w:val="24"/>
                <w:szCs w:val="24"/>
                <w:color w:val="auto"/>
              </w:rPr>
            </w:pPr>
          </w:p>
        </w:tc>
        <w:tc>
          <w:tcPr>
            <w:tcW w:w="2940" w:type="dxa"/>
            <w:vAlign w:val="bottom"/>
            <w:gridSpan w:val="3"/>
          </w:tcPr>
          <w:p>
            <w:pPr>
              <w:jc w:val="center"/>
              <w:ind w:left="381"/>
              <w:spacing w:after="0"/>
              <w:rPr>
                <w:sz w:val="20"/>
                <w:szCs w:val="20"/>
                <w:color w:val="auto"/>
              </w:rPr>
            </w:pPr>
            <w:r>
              <w:rPr>
                <w:rFonts w:ascii="Arial" w:cs="Arial" w:eastAsia="Arial" w:hAnsi="Arial"/>
                <w:sz w:val="18"/>
                <w:szCs w:val="18"/>
                <w:b w:val="1"/>
                <w:bCs w:val="1"/>
                <w:color w:val="auto"/>
                <w:w w:val="90"/>
              </w:rPr>
              <w:t>(888) 799-9666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58"/>
        </w:trPr>
        <w:tc>
          <w:tcPr>
            <w:tcW w:w="3920" w:type="dxa"/>
            <w:vAlign w:val="bottom"/>
          </w:tcPr>
          <w:p>
            <w:pPr>
              <w:spacing w:after="0"/>
              <w:rPr>
                <w:sz w:val="13"/>
                <w:szCs w:val="13"/>
                <w:color w:val="auto"/>
              </w:rPr>
            </w:pPr>
          </w:p>
        </w:tc>
        <w:tc>
          <w:tcPr>
            <w:tcW w:w="3600" w:type="dxa"/>
            <w:vAlign w:val="bottom"/>
            <w:gridSpan w:val="5"/>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680" w:type="dxa"/>
            <w:vAlign w:val="bottom"/>
          </w:tcPr>
          <w:p>
            <w:pPr>
              <w:spacing w:after="0"/>
              <w:rPr>
                <w:sz w:val="13"/>
                <w:szCs w:val="13"/>
                <w:color w:val="auto"/>
              </w:rPr>
            </w:pPr>
          </w:p>
        </w:tc>
      </w:tr>
      <w:tr>
        <w:trPr>
          <w:trHeight w:val="186"/>
        </w:trPr>
        <w:tc>
          <w:tcPr>
            <w:tcW w:w="11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249"/>
        </w:trPr>
        <w:tc>
          <w:tcPr>
            <w:tcW w:w="7520" w:type="dxa"/>
            <w:vAlign w:val="bottom"/>
            <w:gridSpan w:val="6"/>
          </w:tcPr>
          <w:p>
            <w:pPr>
              <w:jc w:val="center"/>
              <w:ind w:left="3652"/>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80" w:type="dxa"/>
            <w:vAlign w:val="bottom"/>
          </w:tcPr>
          <w:p>
            <w:pPr>
              <w:spacing w:after="0"/>
              <w:rPr>
                <w:sz w:val="21"/>
                <w:szCs w:val="21"/>
                <w:color w:val="auto"/>
              </w:rPr>
            </w:pPr>
          </w:p>
        </w:tc>
      </w:tr>
      <w:tr>
        <w:trPr>
          <w:trHeight w:val="233"/>
        </w:trPr>
        <w:tc>
          <w:tcPr>
            <w:tcW w:w="392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w w:val="87"/>
              </w:rPr>
              <w:t>Title of each class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920" w:type="dxa"/>
            <w:vAlign w:val="bottom"/>
          </w:tcPr>
          <w:p>
            <w:pPr>
              <w:jc w:val="center"/>
              <w:ind w:left="232"/>
              <w:spacing w:after="0"/>
              <w:rPr>
                <w:sz w:val="20"/>
                <w:szCs w:val="20"/>
                <w:color w:val="auto"/>
              </w:rPr>
            </w:pPr>
            <w:r>
              <w:rPr>
                <w:rFonts w:ascii="Arial" w:cs="Arial" w:eastAsia="Arial" w:hAnsi="Arial"/>
                <w:sz w:val="16"/>
                <w:szCs w:val="16"/>
                <w:color w:val="auto"/>
                <w:w w:val="91"/>
              </w:rPr>
              <w:t>Class A Common Stock, $0.001 par value per 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3"/>
          </w:tcPr>
          <w:p>
            <w:pPr>
              <w:jc w:val="center"/>
              <w:ind w:right="660"/>
              <w:spacing w:after="0"/>
              <w:rPr>
                <w:sz w:val="20"/>
                <w:szCs w:val="20"/>
                <w:color w:val="auto"/>
              </w:rPr>
            </w:pPr>
            <w:r>
              <w:rPr>
                <w:rFonts w:ascii="Arial" w:cs="Arial" w:eastAsia="Arial" w:hAnsi="Arial"/>
                <w:sz w:val="16"/>
                <w:szCs w:val="16"/>
                <w:color w:val="auto"/>
              </w:rPr>
              <w:t>ZM</w:t>
            </w:r>
          </w:p>
        </w:tc>
        <w:tc>
          <w:tcPr>
            <w:tcW w:w="3680" w:type="dxa"/>
            <w:vAlign w:val="bottom"/>
          </w:tcPr>
          <w:p>
            <w:pPr>
              <w:jc w:val="center"/>
              <w:ind w:right="479"/>
              <w:spacing w:after="0"/>
              <w:rPr>
                <w:sz w:val="20"/>
                <w:szCs w:val="20"/>
                <w:color w:val="auto"/>
              </w:rPr>
            </w:pPr>
            <w:r>
              <w:rPr>
                <w:rFonts w:ascii="Arial" w:cs="Arial" w:eastAsia="Arial" w:hAnsi="Arial"/>
                <w:sz w:val="16"/>
                <w:szCs w:val="16"/>
                <w:color w:val="auto"/>
                <w:w w:val="91"/>
              </w:rPr>
              <w:t>The Nasdaq Global Select Market</w:t>
            </w:r>
          </w:p>
        </w:tc>
      </w:tr>
    </w:tbl>
    <w:p>
      <w:pPr>
        <w:spacing w:after="0" w:line="104"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As of May 21, 2021, the number of shares of the registrant’s Class A common stock outstanding was 236,782,193 and the number of shares of the registrant’s Class B common stock outstanding was 57,863,584.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20" w:type="dxa"/>
            <w:vAlign w:val="bottom"/>
            <w:gridSpan w:val="2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jc w:val="center"/>
              <w:ind w:right="1780"/>
              <w:spacing w:after="0"/>
              <w:rPr>
                <w:sz w:val="20"/>
                <w:szCs w:val="20"/>
                <w:color w:val="auto"/>
              </w:rPr>
            </w:pPr>
            <w:r>
              <w:rPr>
                <w:rFonts w:ascii="Arial" w:cs="Arial" w:eastAsia="Arial" w:hAnsi="Arial"/>
                <w:sz w:val="18"/>
                <w:szCs w:val="18"/>
                <w:b w:val="1"/>
                <w:bCs w:val="1"/>
                <w:color w:val="auto"/>
                <w:w w:val="90"/>
              </w:rPr>
              <w:t>Zoom Video Communications,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jc w:val="center"/>
              <w:ind w:right="1780"/>
              <w:spacing w:after="0"/>
              <w:rPr>
                <w:sz w:val="20"/>
                <w:szCs w:val="20"/>
                <w:color w:val="auto"/>
              </w:rPr>
            </w:pPr>
            <w:r>
              <w:rPr>
                <w:rFonts w:ascii="Arial" w:cs="Arial" w:eastAsia="Arial" w:hAnsi="Arial"/>
                <w:sz w:val="18"/>
                <w:szCs w:val="18"/>
                <w:b w:val="1"/>
                <w:bCs w:val="1"/>
                <w:color w:val="auto"/>
                <w:w w:val="93"/>
              </w:rPr>
              <w:t>Quarterly Report on Form 10-Q</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jc w:val="center"/>
              <w:ind w:right="1780"/>
              <w:spacing w:after="0"/>
              <w:rPr>
                <w:sz w:val="20"/>
                <w:szCs w:val="20"/>
                <w:color w:val="auto"/>
              </w:rPr>
            </w:pPr>
            <w:r>
              <w:rPr>
                <w:rFonts w:ascii="Arial" w:cs="Arial" w:eastAsia="Arial" w:hAnsi="Arial"/>
                <w:sz w:val="18"/>
                <w:szCs w:val="18"/>
                <w:b w:val="1"/>
                <w:bCs w:val="1"/>
                <w:color w:val="auto"/>
                <w:w w:val="92"/>
              </w:rPr>
              <w:t>For the Quarterly Period Ended April 30, 2021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jc w:val="center"/>
              <w:ind w:right="178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8840" w:type="dxa"/>
            <w:vAlign w:val="bottom"/>
            <w:gridSpan w:val="21"/>
            <w:vMerge w:val="restart"/>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8840" w:type="dxa"/>
            <w:vAlign w:val="bottom"/>
            <w:gridSpan w:val="21"/>
            <w:vMerge w:val="continue"/>
          </w:tcPr>
          <w:p>
            <w:pPr>
              <w:spacing w:after="0"/>
              <w:rPr>
                <w:sz w:val="14"/>
                <w:szCs w:val="14"/>
                <w:color w:val="auto"/>
              </w:rPr>
            </w:pPr>
          </w:p>
        </w:tc>
        <w:tc>
          <w:tcPr>
            <w:tcW w:w="1420" w:type="dxa"/>
            <w:vAlign w:val="bottom"/>
            <w:tcBorders>
              <w:top w:val="single" w:sz="8" w:color="auto"/>
            </w:tcBorders>
          </w:tcPr>
          <w:p>
            <w:pPr>
              <w:jc w:val="center"/>
              <w:spacing w:after="0" w:line="156"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840" w:type="dxa"/>
            <w:vAlign w:val="bottom"/>
            <w:gridSpan w:val="21"/>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14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6020" w:type="dxa"/>
            <w:vAlign w:val="bottom"/>
            <w:tcBorders>
              <w:bottom w:val="single" w:sz="8" w:color="0000FF"/>
            </w:tcBorders>
            <w:gridSpan w:val="15"/>
          </w:tcPr>
          <w:p>
            <w:pPr>
              <w:ind w:left="2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Sheets as of April 30, 2021 and January 31, 2021</w:t>
              </w:r>
            </w:hyperlink>
          </w:p>
        </w:tc>
        <w:tc>
          <w:tcPr>
            <w:tcW w:w="2820" w:type="dxa"/>
            <w:vAlign w:val="bottom"/>
            <w:gridSpan w:val="6"/>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4"/>
                <w:szCs w:val="24"/>
                <w:color w:val="auto"/>
              </w:rPr>
            </w:pPr>
          </w:p>
        </w:tc>
        <w:tc>
          <w:tcPr>
            <w:tcW w:w="8840" w:type="dxa"/>
            <w:vAlign w:val="bottom"/>
            <w:gridSpan w:val="21"/>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for the Three Months Ended April 30, 2021 and 2020</w:t>
              </w:r>
            </w:hyperlink>
          </w:p>
        </w:tc>
        <w:tc>
          <w:tcPr>
            <w:tcW w:w="14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80" w:type="dxa"/>
            <w:vAlign w:val="bottom"/>
          </w:tcPr>
          <w:p>
            <w:pPr>
              <w:spacing w:after="0"/>
              <w:rPr>
                <w:sz w:val="24"/>
                <w:szCs w:val="24"/>
                <w:color w:val="auto"/>
              </w:rPr>
            </w:pPr>
          </w:p>
        </w:tc>
        <w:tc>
          <w:tcPr>
            <w:tcW w:w="8840" w:type="dxa"/>
            <w:vAlign w:val="bottom"/>
            <w:gridSpan w:val="21"/>
          </w:tcPr>
          <w:p>
            <w:pPr>
              <w:ind w:left="20"/>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Condensed Consolidated Statements of Comprehensive Income for the Three Months Ended April 30, 2021 and 2020</w:t>
              </w:r>
            </w:hyperlink>
          </w:p>
        </w:tc>
        <w:tc>
          <w:tcPr>
            <w:tcW w:w="14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80" w:type="dxa"/>
            <w:vAlign w:val="bottom"/>
          </w:tcPr>
          <w:p>
            <w:pPr>
              <w:spacing w:after="0"/>
              <w:rPr>
                <w:sz w:val="24"/>
                <w:szCs w:val="24"/>
                <w:color w:val="auto"/>
              </w:rPr>
            </w:pPr>
          </w:p>
        </w:tc>
        <w:tc>
          <w:tcPr>
            <w:tcW w:w="8300" w:type="dxa"/>
            <w:vAlign w:val="bottom"/>
            <w:tcBorders>
              <w:top w:val="single" w:sz="8" w:color="0000FF"/>
              <w:bottom w:val="single" w:sz="8" w:color="0000FF"/>
            </w:tcBorders>
            <w:gridSpan w:val="19"/>
          </w:tcPr>
          <w:p>
            <w:pPr>
              <w:ind w:left="20"/>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Stockholders’ Equity for the Three Months Ended April 30, 2021 and 2020</w:t>
              </w:r>
            </w:hyperlink>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620" w:type="dxa"/>
            <w:vAlign w:val="bottom"/>
            <w:tcBorders>
              <w:bottom w:val="single" w:sz="8" w:color="0000FF"/>
            </w:tcBorders>
            <w:gridSpan w:val="18"/>
          </w:tcPr>
          <w:p>
            <w:pPr>
              <w:ind w:lef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Cash Flows for the Three Months Ended April 30, 2021 and 2020</w:t>
              </w:r>
            </w:hyperlink>
          </w:p>
        </w:tc>
        <w:tc>
          <w:tcPr>
            <w:tcW w:w="1220" w:type="dxa"/>
            <w:vAlign w:val="bottom"/>
            <w:gridSpan w:val="3"/>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840" w:type="dxa"/>
            <w:vAlign w:val="bottom"/>
            <w:gridSpan w:val="21"/>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420" w:type="dxa"/>
            <w:vAlign w:val="bottom"/>
          </w:tcPr>
          <w:p>
            <w:pPr>
              <w:jc w:val="center"/>
              <w:spacing w:after="0"/>
              <w:rPr>
                <w:rFonts w:ascii="Arial" w:cs="Arial" w:eastAsia="Arial" w:hAnsi="Arial"/>
                <w:sz w:val="18"/>
                <w:szCs w:val="18"/>
                <w:color w:val="auto"/>
                <w:w w:val="89"/>
              </w:rPr>
            </w:pPr>
            <w:hyperlink w:anchor="page10">
              <w:r>
                <w:rPr>
                  <w:rFonts w:ascii="Arial" w:cs="Arial" w:eastAsia="Arial" w:hAnsi="Arial"/>
                  <w:sz w:val="18"/>
                  <w:szCs w:val="18"/>
                  <w:color w:val="auto"/>
                  <w:w w:val="89"/>
                </w:rPr>
                <w:t>11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8840" w:type="dxa"/>
            <w:vAlign w:val="bottom"/>
            <w:gridSpan w:val="21"/>
          </w:tcPr>
          <w:p>
            <w:pPr>
              <w:ind w:left="20"/>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42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4380" w:type="dxa"/>
            <w:vAlign w:val="bottom"/>
            <w:tcBorders>
              <w:top w:val="single" w:sz="8" w:color="0000FF"/>
              <w:bottom w:val="single" w:sz="8" w:color="0000FF"/>
            </w:tcBorders>
            <w:gridSpan w:val="14"/>
          </w:tcPr>
          <w:p>
            <w:pPr>
              <w:ind w:left="20"/>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380" w:type="dxa"/>
            <w:vAlign w:val="bottom"/>
            <w:gridSpan w:val="5"/>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178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Controls and Procedures</w:t>
              </w:r>
            </w:hyperlink>
          </w:p>
        </w:tc>
        <w:tc>
          <w:tcPr>
            <w:tcW w:w="7060" w:type="dxa"/>
            <w:vAlign w:val="bottom"/>
            <w:gridSpan w:val="14"/>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8840" w:type="dxa"/>
            <w:vAlign w:val="bottom"/>
            <w:gridSpan w:val="21"/>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PART II – Other Information</w:t>
              </w:r>
            </w:hyperlink>
          </w:p>
        </w:tc>
        <w:tc>
          <w:tcPr>
            <w:tcW w:w="1420" w:type="dxa"/>
            <w:vAlign w:val="bottom"/>
          </w:tcPr>
          <w:p>
            <w:pPr>
              <w:jc w:val="cente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32</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1.</w:t>
              </w:r>
            </w:hyperlink>
          </w:p>
        </w:tc>
        <w:tc>
          <w:tcPr>
            <w:tcW w:w="2100" w:type="dxa"/>
            <w:vAlign w:val="bottom"/>
            <w:tcBorders>
              <w:top w:val="single" w:sz="8" w:color="0000FF"/>
            </w:tcBorders>
            <w:gridSpan w:val="8"/>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6740" w:type="dxa"/>
            <w:vAlign w:val="bottom"/>
            <w:gridSpan w:val="13"/>
          </w:tcPr>
          <w:p>
            <w:pPr>
              <w:spacing w:after="0"/>
              <w:rPr>
                <w:sz w:val="22"/>
                <w:szCs w:val="22"/>
                <w:color w:val="auto"/>
              </w:rPr>
            </w:pPr>
          </w:p>
        </w:tc>
        <w:tc>
          <w:tcPr>
            <w:tcW w:w="1420" w:type="dxa"/>
            <w:vAlign w:val="bottom"/>
          </w:tcPr>
          <w:p>
            <w:pPr>
              <w:jc w:val="cente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1A</w:t>
              </w:r>
            </w:hyperlink>
          </w:p>
        </w:tc>
        <w:tc>
          <w:tcPr>
            <w:tcW w:w="92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7500" w:type="dxa"/>
            <w:vAlign w:val="bottom"/>
            <w:gridSpan w:val="15"/>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2.</w:t>
              </w:r>
            </w:hyperlink>
          </w:p>
        </w:tc>
        <w:tc>
          <w:tcPr>
            <w:tcW w:w="436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Unregistered Sales of Equity Securities and Use of Proceeds</w:t>
              </w:r>
            </w:hyperlink>
          </w:p>
        </w:tc>
        <w:tc>
          <w:tcPr>
            <w:tcW w:w="4480" w:type="dxa"/>
            <w:vAlign w:val="bottom"/>
            <w:gridSpan w:val="8"/>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3.</w:t>
              </w:r>
            </w:hyperlink>
          </w:p>
        </w:tc>
        <w:tc>
          <w:tcPr>
            <w:tcW w:w="2340" w:type="dxa"/>
            <w:vAlign w:val="bottom"/>
            <w:tcBorders>
              <w:bottom w:val="single" w:sz="8" w:color="0000FF"/>
            </w:tcBorders>
            <w:gridSpan w:val="10"/>
          </w:tcPr>
          <w:p>
            <w:pPr>
              <w:ind w:left="20"/>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Defaults Upon Senior Securities</w:t>
              </w:r>
            </w:hyperlink>
          </w:p>
        </w:tc>
        <w:tc>
          <w:tcPr>
            <w:tcW w:w="6500" w:type="dxa"/>
            <w:vAlign w:val="bottom"/>
            <w:gridSpan w:val="11"/>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4.</w:t>
              </w:r>
            </w:hyperlink>
          </w:p>
        </w:tc>
        <w:tc>
          <w:tcPr>
            <w:tcW w:w="1780" w:type="dxa"/>
            <w:vAlign w:val="bottom"/>
            <w:tcBorders>
              <w:bottom w:val="single" w:sz="8" w:color="0000FF"/>
            </w:tcBorders>
            <w:gridSpan w:val="7"/>
          </w:tcPr>
          <w:p>
            <w:pPr>
              <w:ind w:left="20"/>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Mine Safety Disclosures</w:t>
              </w:r>
            </w:hyperlink>
          </w:p>
        </w:tc>
        <w:tc>
          <w:tcPr>
            <w:tcW w:w="7060" w:type="dxa"/>
            <w:vAlign w:val="bottom"/>
            <w:gridSpan w:val="14"/>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5.</w:t>
              </w:r>
            </w:hyperlink>
          </w:p>
        </w:tc>
        <w:tc>
          <w:tcPr>
            <w:tcW w:w="8840" w:type="dxa"/>
            <w:vAlign w:val="bottom"/>
            <w:gridSpan w:val="21"/>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Other Information</w:t>
              </w:r>
            </w:hyperlink>
          </w:p>
        </w:tc>
        <w:tc>
          <w:tcPr>
            <w:tcW w:w="142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6.</w:t>
              </w:r>
            </w:hyperlink>
          </w:p>
        </w:tc>
        <w:tc>
          <w:tcPr>
            <w:tcW w:w="1320" w:type="dxa"/>
            <w:vAlign w:val="bottom"/>
            <w:tcBorders>
              <w:top w:val="single" w:sz="8" w:color="0000FF"/>
            </w:tcBorders>
            <w:gridSpan w:val="5"/>
          </w:tcPr>
          <w:p>
            <w:pPr>
              <w:ind w:left="20"/>
              <w:spacing w:after="0"/>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7520" w:type="dxa"/>
            <w:vAlign w:val="bottom"/>
            <w:gridSpan w:val="16"/>
          </w:tcPr>
          <w:p>
            <w:pPr>
              <w:spacing w:after="0"/>
              <w:rPr>
                <w:sz w:val="18"/>
                <w:szCs w:val="18"/>
                <w:color w:val="auto"/>
              </w:rPr>
            </w:pPr>
          </w:p>
        </w:tc>
        <w:tc>
          <w:tcPr>
            <w:tcW w:w="142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63</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80" w:type="dxa"/>
            <w:vAlign w:val="bottom"/>
            <w:gridSpan w:val="1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8840" w:type="dxa"/>
            <w:vAlign w:val="bottom"/>
            <w:gridSpan w:val="21"/>
          </w:tcPr>
          <w:p>
            <w:pPr>
              <w:ind w:left="20"/>
              <w:spacing w:after="0"/>
              <w:rPr>
                <w:rFonts w:ascii="Arial" w:cs="Arial" w:eastAsia="Arial" w:hAnsi="Arial"/>
                <w:sz w:val="18"/>
                <w:szCs w:val="18"/>
                <w:color w:val="0000FF"/>
              </w:rPr>
            </w:pPr>
            <w:hyperlink w:anchor="page63">
              <w:r>
                <w:rPr>
                  <w:rFonts w:ascii="Arial" w:cs="Arial" w:eastAsia="Arial" w:hAnsi="Arial"/>
                  <w:sz w:val="18"/>
                  <w:szCs w:val="18"/>
                  <w:color w:val="0000FF"/>
                </w:rPr>
                <w:t>Signatures</w:t>
              </w:r>
            </w:hyperlink>
          </w:p>
        </w:tc>
        <w:tc>
          <w:tcPr>
            <w:tcW w:w="142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64</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3"/>
        </w:trPr>
        <w:tc>
          <w:tcPr>
            <w:tcW w:w="8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260" w:type="dxa"/>
            <w:vAlign w:val="bottom"/>
            <w:gridSpan w:val="12"/>
          </w:tcPr>
          <w:p>
            <w:pPr>
              <w:jc w:val="center"/>
              <w:ind w:left="2610"/>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video-first unified communications platform; our product strategy; our efforts to enhance the security and privacy of our platform; the potential impacts of the COVID-19 pandemic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7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76" w:lineRule="exact"/>
        <w:rPr>
          <w:sz w:val="20"/>
          <w:szCs w:val="20"/>
          <w:color w:val="auto"/>
        </w:rPr>
      </w:pPr>
    </w:p>
    <w:p>
      <w:pPr>
        <w:ind w:left="660" w:hanging="166"/>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rFonts w:ascii="Arial" w:cs="Arial" w:eastAsia="Arial" w:hAnsi="Arial"/>
          <w:sz w:val="17"/>
          <w:szCs w:val="17"/>
          <w:color w:val="auto"/>
        </w:rPr>
      </w:pPr>
    </w:p>
    <w:p>
      <w:pPr>
        <w:jc w:val="both"/>
        <w:ind w:left="660" w:hanging="166"/>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Beginning in the fiscal quarter ended April 30, 2020, we faced unprecedented usage of our video-first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40" w:lineRule="exact"/>
        <w:rPr>
          <w:rFonts w:ascii="Arial" w:cs="Arial" w:eastAsia="Arial" w:hAnsi="Arial"/>
          <w:sz w:val="16"/>
          <w:szCs w:val="16"/>
          <w:color w:val="auto"/>
        </w:rPr>
      </w:pPr>
    </w:p>
    <w:p>
      <w:pPr>
        <w:ind w:left="660" w:hanging="166"/>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able to sustain our revenue growth rate in the future, and we expect our revenue growth rate to generally decline in future periods.</w:t>
      </w:r>
    </w:p>
    <w:p>
      <w:pPr>
        <w:spacing w:after="0" w:line="140" w:lineRule="exact"/>
        <w:rPr>
          <w:rFonts w:ascii="Arial" w:cs="Arial" w:eastAsia="Arial" w:hAnsi="Arial"/>
          <w:sz w:val="16"/>
          <w:szCs w:val="16"/>
          <w:color w:val="auto"/>
        </w:rPr>
      </w:pPr>
    </w:p>
    <w:p>
      <w:pPr>
        <w:ind w:left="660" w:hanging="166"/>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8" w:lineRule="exact"/>
        <w:rPr>
          <w:rFonts w:ascii="Arial" w:cs="Arial" w:eastAsia="Arial" w:hAnsi="Arial"/>
          <w:sz w:val="17"/>
          <w:szCs w:val="17"/>
          <w:color w:val="auto"/>
        </w:rPr>
      </w:pPr>
    </w:p>
    <w:p>
      <w:pPr>
        <w:ind w:left="660" w:hanging="16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we increase sales to large organizations, our sales cycles could lengthen, and we could experience greater deployment challenges.</w:t>
      </w:r>
    </w:p>
    <w:p>
      <w:pPr>
        <w:spacing w:after="0" w:line="128" w:lineRule="exact"/>
        <w:rPr>
          <w:rFonts w:ascii="Arial" w:cs="Arial" w:eastAsia="Arial" w:hAnsi="Arial"/>
          <w:sz w:val="17"/>
          <w:szCs w:val="17"/>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jc w:val="both"/>
        <w:ind w:left="660" w:hanging="166"/>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rFonts w:ascii="Arial" w:cs="Arial" w:eastAsia="Arial" w:hAnsi="Arial"/>
          <w:sz w:val="16"/>
          <w:szCs w:val="16"/>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the current scale of our business, which makes it difficult to evaluate our prospects and future results of operations.</w:t>
      </w:r>
    </w:p>
    <w:p>
      <w:pPr>
        <w:spacing w:after="0" w:line="62"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5"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were to lose the services of our Chief Executive Officer or other members of our senior management team, we may not be able to execute our business strategy.</w:t>
      </w:r>
    </w:p>
    <w:p>
      <w:pPr>
        <w:spacing w:after="0" w:line="62"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166"/>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5"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1"/>
                <w:szCs w:val="11"/>
                <w:color w:val="auto"/>
              </w:rPr>
            </w:pPr>
          </w:p>
        </w:tc>
        <w:tc>
          <w:tcPr>
            <w:tcW w:w="1360" w:type="dxa"/>
            <w:vAlign w:val="bottom"/>
          </w:tcPr>
          <w:p>
            <w:pPr>
              <w:jc w:val="right"/>
              <w:ind w:right="380"/>
              <w:spacing w:after="0" w:line="135"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2,240,303</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3,132,309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2,004,410</w:t>
            </w: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Accounts receivable, net of allowances of $33,664 and $36,844 as of April 30, 2021 and January 31, 2021,</w:t>
            </w:r>
          </w:p>
        </w:tc>
        <w:tc>
          <w:tcPr>
            <w:tcW w:w="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366,346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294,703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3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Deferred contract acquisition costs, current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136,630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116,819</w:t>
            </w:r>
          </w:p>
        </w:tc>
        <w:tc>
          <w:tcPr>
            <w:tcW w:w="0" w:type="dxa"/>
            <w:vAlign w:val="bottom"/>
          </w:tcPr>
          <w:p>
            <w:pPr>
              <w:spacing w:after="0"/>
              <w:rPr>
                <w:sz w:val="1"/>
                <w:szCs w:val="1"/>
                <w:color w:val="auto"/>
              </w:rPr>
            </w:pPr>
          </w:p>
        </w:tc>
      </w:tr>
      <w:tr>
        <w:trPr>
          <w:trHeight w:val="207"/>
        </w:trPr>
        <w:tc>
          <w:tcPr>
            <w:tcW w:w="780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5,340,896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4,792,865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157,262</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192,410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149,924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97,649</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24,340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75,953</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5,888,611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5,297,993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393,018</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current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858,284</w:t>
            </w:r>
          </w:p>
        </w:tc>
        <w:tc>
          <w:tcPr>
            <w:tcW w:w="0" w:type="dxa"/>
            <w:vAlign w:val="bottom"/>
          </w:tcPr>
          <w:p>
            <w:pPr>
              <w:spacing w:after="0"/>
              <w:rPr>
                <w:sz w:val="1"/>
                <w:szCs w:val="1"/>
                <w:color w:val="auto"/>
              </w:rPr>
            </w:pPr>
          </w:p>
        </w:tc>
      </w:tr>
      <w:tr>
        <w:trPr>
          <w:trHeight w:val="207"/>
        </w:trPr>
        <w:tc>
          <w:tcPr>
            <w:tcW w:w="78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1,528,336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1,259,966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25,211</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86,433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90,415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61,634</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1,695,878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1,437,226</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Preferred stock, $0.001 par value per share, 200,000,000 shares authorized as of April 30, 2021 and January 31,</w:t>
            </w:r>
          </w:p>
        </w:tc>
        <w:tc>
          <w:tcPr>
            <w:tcW w:w="3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2021; zero shares issued and outstanding as of April 30, 2021 and January 31, 2021</w:t>
            </w:r>
          </w:p>
        </w:tc>
        <w:tc>
          <w:tcPr>
            <w:tcW w:w="3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$0.001 par value per share, 2,000,000,000 Class A shares authorized as of April 30, 2021 and</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Arial" w:cs="Arial" w:eastAsia="Arial" w:hAnsi="Arial"/>
                <w:sz w:val="16"/>
                <w:szCs w:val="16"/>
                <w:color w:val="auto"/>
              </w:rPr>
              <w:t>January 31, 2021; 236,487,446 and 215,737,924 shares issued and outstanding as of April 30, 2021 and</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Arial" w:cs="Arial" w:eastAsia="Arial" w:hAnsi="Arial"/>
                <w:sz w:val="16"/>
                <w:szCs w:val="16"/>
                <w:color w:val="auto"/>
                <w:w w:val="91"/>
              </w:rPr>
              <w:t>January 31, 2021, respectively; 300,000,000 Class B shares authorized as of April 30, 2021 and January 31, 2021;</w:t>
            </w:r>
          </w:p>
        </w:tc>
        <w:tc>
          <w:tcPr>
            <w:tcW w:w="3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9"/>
        </w:trPr>
        <w:tc>
          <w:tcPr>
            <w:tcW w:w="7800" w:type="dxa"/>
            <w:vAlign w:val="bottom"/>
          </w:tcPr>
          <w:p>
            <w:pPr>
              <w:ind w:left="360"/>
              <w:spacing w:after="0"/>
              <w:rPr>
                <w:sz w:val="20"/>
                <w:szCs w:val="20"/>
                <w:color w:val="auto"/>
              </w:rPr>
            </w:pPr>
            <w:r>
              <w:rPr>
                <w:rFonts w:ascii="Arial" w:cs="Arial" w:eastAsia="Arial" w:hAnsi="Arial"/>
                <w:sz w:val="16"/>
                <w:szCs w:val="16"/>
                <w:color w:val="auto"/>
                <w:w w:val="91"/>
              </w:rPr>
              <w:t>58,024,499 and 77,811,299 shares issued and outstanding as of April 30, 2021 and January 31, 2021, respectively</w:t>
            </w:r>
          </w:p>
        </w:tc>
        <w:tc>
          <w:tcPr>
            <w:tcW w:w="3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3,187,168</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672,468</w:t>
            </w:r>
          </w:p>
        </w:tc>
        <w:tc>
          <w:tcPr>
            <w:tcW w:w="0" w:type="dxa"/>
            <w:vAlign w:val="bottom"/>
          </w:tcPr>
          <w:p>
            <w:pPr>
              <w:spacing w:after="0"/>
              <w:rPr>
                <w:sz w:val="1"/>
                <w:szCs w:val="1"/>
                <w:color w:val="auto"/>
              </w:rPr>
            </w:pP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4,192,733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3,860,767</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5,888,611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5,297,993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328,167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264,994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103,707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224,460</w:t>
            </w: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245,667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121,556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201,075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Weighted-average shares used in computing net income per share attributable to common stockholders: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293,794,778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279,891,111</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305,412,419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295,184,958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227,531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27,075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gain on available-for-sale marketable securities, net of tax</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226,892</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28,153</w:t>
            </w: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Three Months Ended April 30, 2021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14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10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1120" w:type="dxa"/>
            <w:vAlign w:val="bottom"/>
          </w:tcPr>
          <w:p>
            <w:pPr>
              <w:jc w:val="center"/>
              <w:ind w:right="90"/>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414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120" w:type="dxa"/>
            <w:vAlign w:val="bottom"/>
          </w:tcPr>
          <w:p>
            <w:pPr>
              <w:jc w:val="center"/>
              <w:ind w:right="9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293,549,223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3,187,168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672,468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3,860,767</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751,686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211,036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101,598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101,598</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227,531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227,531</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2021</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294,511,945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3,292,241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899,999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4,192,733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Three Months Ended April 30, 2020</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40" w:type="dxa"/>
            <w:vAlign w:val="bottom"/>
          </w:tcPr>
          <w:p>
            <w:pPr>
              <w:spacing w:after="0"/>
              <w:rPr>
                <w:sz w:val="24"/>
                <w:szCs w:val="24"/>
                <w:color w:val="auto"/>
              </w:rPr>
            </w:pP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414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10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1120" w:type="dxa"/>
            <w:vAlign w:val="bottom"/>
          </w:tcPr>
          <w:p>
            <w:pPr>
              <w:jc w:val="center"/>
              <w:ind w:right="90"/>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414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120" w:type="dxa"/>
            <w:vAlign w:val="bottom"/>
          </w:tcPr>
          <w:p>
            <w:pPr>
              <w:jc w:val="center"/>
              <w:ind w:right="9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278,731,143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832,705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833,943</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3,232,991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9,725</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Charitable donation of common stock</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28,810</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27,075</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color w:val="auto"/>
              </w:rPr>
              <w:t>Balance as of April 30, 2020</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281,992,011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872,237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27,227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901,631</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April 30,</w:t>
            </w:r>
          </w:p>
        </w:tc>
      </w:tr>
      <w:tr>
        <w:trPr>
          <w:trHeight w:val="210"/>
        </w:trPr>
        <w:tc>
          <w:tcPr>
            <w:tcW w:w="8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227,531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27,075</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98,969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28,777</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16,287</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5,339</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Non-cash operating lease cost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2,248</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donation of common stock</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(142,501)</w:t>
            </w:r>
          </w:p>
        </w:tc>
      </w:tr>
      <w:tr>
        <w:trPr>
          <w:trHeight w:val="219"/>
        </w:trPr>
        <w:tc>
          <w:tcPr>
            <w:tcW w:w="8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(49,080)</w:t>
            </w:r>
          </w:p>
        </w:tc>
      </w:tr>
      <w:tr>
        <w:trPr>
          <w:trHeight w:val="213"/>
        </w:trPr>
        <w:tc>
          <w:tcPr>
            <w:tcW w:w="8160" w:type="dxa"/>
            <w:vAlign w:val="bottom"/>
          </w:tcPr>
          <w:p>
            <w:pPr>
              <w:ind w:left="480"/>
              <w:spacing w:after="0"/>
              <w:rPr>
                <w:sz w:val="20"/>
                <w:szCs w:val="20"/>
                <w:color w:val="auto"/>
              </w:rPr>
            </w:pPr>
            <w:r>
              <w:rPr>
                <w:rFonts w:ascii="Arial" w:cs="Arial" w:eastAsia="Arial" w:hAnsi="Arial"/>
                <w:sz w:val="16"/>
                <w:szCs w:val="16"/>
                <w:color w:val="auto"/>
              </w:rPr>
              <w:t>Deferred contract acquisition costs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(124,854)</w:t>
            </w:r>
          </w:p>
        </w:tc>
      </w:tr>
      <w:tr>
        <w:trPr>
          <w:trHeight w:val="219"/>
        </w:trPr>
        <w:tc>
          <w:tcPr>
            <w:tcW w:w="8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r>
      <w:tr>
        <w:trPr>
          <w:trHeight w:val="213"/>
        </w:trPr>
        <w:tc>
          <w:tcPr>
            <w:tcW w:w="8160" w:type="dxa"/>
            <w:vAlign w:val="bottom"/>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167,322</w:t>
            </w:r>
          </w:p>
        </w:tc>
      </w:tr>
      <w:tr>
        <w:trPr>
          <w:trHeight w:val="219"/>
        </w:trPr>
        <w:tc>
          <w:tcPr>
            <w:tcW w:w="8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322,862</w:t>
            </w:r>
          </w:p>
        </w:tc>
      </w:tr>
      <w:tr>
        <w:trPr>
          <w:trHeight w:val="213"/>
        </w:trPr>
        <w:tc>
          <w:tcPr>
            <w:tcW w:w="81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Operating lease liabilities,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12"/>
        </w:trPr>
        <w:tc>
          <w:tcPr>
            <w:tcW w:w="81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258,965</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(207,546)</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291,047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137,014</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26,613</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(79,074)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(7,272)</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equity investment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Purchase of convertible promissory note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3"/>
        </w:trPr>
        <w:tc>
          <w:tcPr>
            <w:tcW w:w="816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(1,219,978)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(63,034)</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employee equity transactions (remitted) to be remitted to employees and tax authorities,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218,540</w:t>
            </w: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9,586</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1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228,126</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424,057</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334,082</w:t>
            </w: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1,600,161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758,139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8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62"/>
        </w:trPr>
        <w:tc>
          <w:tcPr>
            <w:tcW w:w="81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0"/>
              </w:rPr>
              <w:t>Reconciliation of cash, cash equivalents, and restricted cash within the condensed consolidated balance sheets to the</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shown in the condensed consolidated statements of cash flows above: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1,557,270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488,653</w:t>
            </w:r>
          </w:p>
        </w:tc>
      </w:tr>
      <w:tr>
        <w:trPr>
          <w:trHeight w:val="219"/>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current included in prepaid expenses and other current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267,191</w:t>
            </w:r>
          </w:p>
        </w:tc>
      </w:tr>
      <w:tr>
        <w:trPr>
          <w:trHeight w:val="213"/>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cash, noncurrent included in other assets, noncurrent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w:t>
            </w:r>
          </w:p>
        </w:tc>
      </w:tr>
      <w:tr>
        <w:trPr>
          <w:trHeight w:val="234"/>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1,600,161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758,139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ZOOM VIDEO COMMUNICATIONS, INC. NOTES TO CONDENSED CONSOLIDATED FINANCIAL STATEMENTS (unaudited)</w:t>
      </w:r>
    </w:p>
    <w:p>
      <w:pPr>
        <w:spacing w:after="0" w:line="39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Video Communications, Inc. and its subsidiaries (collectively, “Zoom,” the “Company,” “we,” “us,” or “our”) provide a video-first unified communications platform that delivers happiness and fundamentally changes how people interact. We connect people through frictionless and secure video, phone, chat, and content sharing and enable face-to-face video experiences for thousands of people in a single meeting across disparate devices and locations. We were incorporated in the state of Delaware in April 2011, and are headquartered in San Jose, California.</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January 31. References to fiscal year 2022, for example, refer to the fiscal year ending January 31,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a variable interest entity for which we are the primary beneficiary. All intercompany balances and transactions have been eliminated in consolidation.</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condensed consolidated balance sheet as of January 31, 2021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unaudited condensed consolidated financial statements should be read in conjunction with the audited consolidated financial statements and notes included in our Annual Report on Form 10-K for the year ended January 31, 2021, filed with the SEC on March 18, 2021.</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acquired intangible assets and goodwill, the valuation of deferred income tax assets and uncertain tax positions, and accruals and contingencies. Actual results could differ from those estimates.</w:t>
      </w:r>
    </w:p>
    <w:p>
      <w:pPr>
        <w:spacing w:after="0" w:line="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three months ended April 30, 2021 and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2021, filed with the SEC on March 18, 2021. There have been no significant changes to these policies during the three months ended April 30,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 April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2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0"/>
        </w:trPr>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124"/>
              <w:spacing w:after="0" w:line="130"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142"/>
              <w:spacing w:after="0" w:line="130"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(in thousands, except percentages)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635,784</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378"/>
        </w:trPr>
        <w:tc>
          <w:tcPr>
            <w:tcW w:w="6200" w:type="dxa"/>
            <w:vAlign w:val="bottom"/>
          </w:tcPr>
          <w:p>
            <w:pPr>
              <w:ind w:left="20"/>
              <w:spacing w:after="0"/>
              <w:rPr>
                <w:sz w:val="20"/>
                <w:szCs w:val="20"/>
                <w:color w:val="auto"/>
              </w:rPr>
            </w:pPr>
            <w:r>
              <w:rPr>
                <w:rFonts w:ascii="Arial" w:cs="Arial" w:eastAsia="Arial" w:hAnsi="Arial"/>
                <w:sz w:val="18"/>
                <w:szCs w:val="18"/>
                <w:color w:val="auto"/>
              </w:rPr>
              <w:t>Asia Pacific (“APAC”)</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123,763</w:t>
            </w:r>
          </w:p>
        </w:tc>
        <w:tc>
          <w:tcPr>
            <w:tcW w:w="1400" w:type="dxa"/>
            <w:vAlign w:val="bottom"/>
            <w:gridSpan w:val="3"/>
          </w:tcPr>
          <w:p>
            <w:pPr>
              <w:jc w:val="right"/>
              <w:ind w:right="14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31,278</w:t>
            </w:r>
          </w:p>
        </w:tc>
        <w:tc>
          <w:tcPr>
            <w:tcW w:w="1400" w:type="dxa"/>
            <w:vAlign w:val="bottom"/>
            <w:gridSpan w:val="3"/>
          </w:tcPr>
          <w:p>
            <w:pPr>
              <w:jc w:val="right"/>
              <w:ind w:right="14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 (“EMEA”)</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196,690</w:t>
            </w:r>
          </w:p>
        </w:tc>
        <w:tc>
          <w:tcPr>
            <w:tcW w:w="140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51,256</w:t>
            </w:r>
          </w:p>
        </w:tc>
        <w:tc>
          <w:tcPr>
            <w:tcW w:w="14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956,237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$28.8 million and $24.6 million as of April 30, 2021 and January 31, 2021, respectively.</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April 30, 2021 and 2020 that was included in deferred revenue at the beginning of each period was $419.1 million and $98.0 million, respectively.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quarterly, or monthly basis, depending on the billing terms with customers. As of April 30, 2021, the aggregate amount of the transaction price allocated to our remaining performance obligations was $2,073.4 million, which consisted of both billed consideration in the amount of $1,094.4 million and unbilled consideration in the amount of $979.0 million that we expect to recognize as revenue. We expect to recognize 72% of our remaining performance obligations as revenue over the next 12 months and the remainder thereafter.</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Marketable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2021 and January 31, 2021, our marketable securities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As of April 30, 2021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515,157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1,876,520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212,497</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3,132,112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3,132,309</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As of January 31, 2021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461,365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834,665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months ended April 30, 2021 and 2020.</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contractual maturities of our marketable securities as of April 30, 2021 and January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87"/>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January 31, 2021</w:t>
            </w:r>
          </w:p>
        </w:tc>
      </w:tr>
      <w:tr>
        <w:trPr>
          <w:trHeight w:val="218"/>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one year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1,597,693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1,017,048</w:t>
            </w:r>
          </w:p>
        </w:tc>
      </w:tr>
      <w:tr>
        <w:trPr>
          <w:trHeight w:val="229"/>
        </w:trPr>
        <w:tc>
          <w:tcPr>
            <w:tcW w:w="7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Due in one to five years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1,534,616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987,362</w:t>
            </w:r>
          </w:p>
        </w:tc>
      </w:tr>
      <w:tr>
        <w:trPr>
          <w:trHeight w:val="248"/>
        </w:trPr>
        <w:tc>
          <w:tcPr>
            <w:tcW w:w="78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3,132,309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2,004,410</w:t>
            </w:r>
          </w:p>
        </w:tc>
      </w:tr>
      <w:tr>
        <w:trPr>
          <w:trHeight w:val="20"/>
        </w:trPr>
        <w:tc>
          <w:tcPr>
            <w:tcW w:w="7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As of April 30, 2021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1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631,128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631,128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803,693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631,128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515,157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1,876,520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3,132,309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3,132,309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Certificate of deposit included in 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included in 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3,950,027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631,128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3,307,217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As of January 31, 2021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958,357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958,357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1,576,855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958,357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618,498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834,665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Certificate of deposit included in 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 included in 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3,588,733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2,625,246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convertible notes as Level 3 due to the lack of relevant observable market data over fair value inputs, such as the probability weighting of the various scenarios that can impact settlement of the arrangement.</w:t>
      </w:r>
    </w:p>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Business Combinations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May 7, 2020, we acquired 100% of the issued and outstanding share capital of Keybase, Inc. (“Keybase”), a secure messaging and file-sharing company, for purchase consideration of $42.9 million in cash. The acquisition helps us strengthen the security of our video communications platform by providing end-to-end encryption (“E2EE”) expertise. The acquisition has been accounted for as a business combination.</w:t>
      </w:r>
    </w:p>
    <w:p>
      <w:pPr>
        <w:spacing w:after="0" w:line="5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4.0 years as of April 30, 2021, and is amortized using the straight-line method over its estimated useful life.</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year to three years.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Transaction costs incurred in connection with the acquisition were immaterial. The results of operations of Keybase have been included in our condensed consolidated financial statements from the date of the acquisition. Pro forma and historical results of operations of Keybase have not been presented, as the results do not have a material effect on any of the periods presented in our condensed consolidated statements of operations.</w:t>
      </w:r>
    </w:p>
    <w:p>
      <w:pPr>
        <w:spacing w:after="0" w:line="161" w:lineRule="exact"/>
        <w:rPr>
          <w:sz w:val="20"/>
          <w:szCs w:val="20"/>
          <w:color w:val="auto"/>
        </w:rPr>
      </w:pPr>
    </w:p>
    <w:p>
      <w:pPr>
        <w:jc w:val="right"/>
        <w:ind w:right="8820"/>
        <w:spacing w:after="0"/>
        <w:tabs>
          <w:tab w:leader="none" w:pos="109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121" w:lineRule="exact"/>
        <w:rPr>
          <w:sz w:val="20"/>
          <w:szCs w:val="20"/>
          <w:color w:val="auto"/>
        </w:rPr>
      </w:pPr>
    </w:p>
    <w:p>
      <w:pPr>
        <w:jc w:val="right"/>
        <w:ind w:right="88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are recorded for invoiced amounts and amounts for which revenue has been recognized, but not invoiced, net of allowances.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short-term accounts receivable consist of the following: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January 31, 2021</w:t>
            </w:r>
          </w:p>
        </w:tc>
      </w:tr>
      <w:tr>
        <w:trPr>
          <w:trHeight w:val="218"/>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ind w:left="1020"/>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400,010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331,547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Pr>
          <w:p>
            <w:pPr>
              <w:spacing w:after="0"/>
              <w:rPr>
                <w:sz w:val="19"/>
                <w:szCs w:val="19"/>
                <w:color w:val="auto"/>
              </w:rPr>
            </w:pPr>
          </w:p>
        </w:tc>
        <w:tc>
          <w:tcPr>
            <w:tcW w:w="1400" w:type="dxa"/>
            <w:vAlign w:val="bottom"/>
          </w:tcPr>
          <w:p>
            <w:pPr>
              <w:ind w:left="760"/>
              <w:spacing w:after="0"/>
              <w:rPr>
                <w:sz w:val="20"/>
                <w:szCs w:val="20"/>
                <w:color w:val="auto"/>
              </w:rPr>
            </w:pPr>
            <w:r>
              <w:rPr>
                <w:rFonts w:ascii="Arial" w:cs="Arial" w:eastAsia="Arial" w:hAnsi="Arial"/>
                <w:sz w:val="18"/>
                <w:szCs w:val="18"/>
                <w:color w:val="auto"/>
                <w:w w:val="92"/>
              </w:rPr>
              <w:t>(18,000)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ind w:left="800"/>
              <w:spacing w:after="0"/>
              <w:rPr>
                <w:sz w:val="20"/>
                <w:szCs w:val="20"/>
                <w:color w:val="auto"/>
              </w:rPr>
            </w:pPr>
            <w:r>
              <w:rPr>
                <w:rFonts w:ascii="Arial" w:cs="Arial" w:eastAsia="Arial" w:hAnsi="Arial"/>
                <w:sz w:val="18"/>
                <w:szCs w:val="18"/>
                <w:color w:val="auto"/>
                <w:w w:val="92"/>
              </w:rPr>
              <w:t>(20,500)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returns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2"/>
              </w:rPr>
              <w:t>(15,664)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2"/>
              </w:rPr>
              <w:t>(16,344)</w:t>
            </w:r>
          </w:p>
        </w:tc>
      </w:tr>
      <w:tr>
        <w:trPr>
          <w:trHeight w:val="223"/>
        </w:trPr>
        <w:tc>
          <w:tcPr>
            <w:tcW w:w="78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8"/>
              </w:rPr>
              <w:t>366,346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8"/>
              </w:rPr>
              <w:t>294,703</w:t>
            </w:r>
          </w:p>
        </w:tc>
      </w:tr>
      <w:tr>
        <w:trPr>
          <w:trHeight w:val="21"/>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Below is a rollforward of our allowance for credit losses for the three months ended April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9"/>
          </w:tcPr>
          <w:p>
            <w:pPr>
              <w:ind w:left="10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31</w:t>
            </w: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Provision for credit losses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Balance as of April 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760" w:type="dxa"/>
            <w:vAlign w:val="bottom"/>
            <w:vMerge w:val="restart"/>
          </w:tcPr>
          <w:p>
            <w:pPr>
              <w:ind w:left="46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7"/>
          </w:tcPr>
          <w:p>
            <w:pPr>
              <w:jc w:val="center"/>
              <w:ind w:left="1056"/>
              <w:spacing w:after="0"/>
              <w:rPr>
                <w:sz w:val="20"/>
                <w:szCs w:val="20"/>
                <w:color w:val="auto"/>
              </w:rPr>
            </w:pPr>
            <w:r>
              <w:rPr>
                <w:rFonts w:ascii="Arial" w:cs="Arial" w:eastAsia="Arial" w:hAnsi="Arial"/>
                <w:sz w:val="14"/>
                <w:szCs w:val="14"/>
                <w:b w:val="1"/>
                <w:bCs w:val="1"/>
                <w:color w:val="auto"/>
                <w:w w:val="91"/>
              </w:rPr>
              <w:t>As of</w:t>
            </w:r>
          </w:p>
        </w:tc>
        <w:tc>
          <w:tcPr>
            <w:tcW w:w="14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April 30, 2021</w:t>
            </w:r>
          </w:p>
        </w:tc>
        <w:tc>
          <w:tcPr>
            <w:tcW w:w="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January 31,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6"/>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Restricted cash from international employee stock sales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136,326</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60" w:type="dxa"/>
            <w:vAlign w:val="bottom"/>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7"/>
          </w:tcPr>
          <w:p>
            <w:pPr>
              <w:jc w:val="center"/>
              <w:ind w:left="1096"/>
              <w:spacing w:after="0"/>
              <w:rPr>
                <w:sz w:val="20"/>
                <w:szCs w:val="20"/>
                <w:color w:val="auto"/>
              </w:rPr>
            </w:pPr>
            <w:r>
              <w:rPr>
                <w:rFonts w:ascii="Arial" w:cs="Arial" w:eastAsia="Arial" w:hAnsi="Arial"/>
                <w:sz w:val="14"/>
                <w:szCs w:val="14"/>
                <w:b w:val="1"/>
                <w:bCs w:val="1"/>
                <w:color w:val="auto"/>
                <w:w w:val="91"/>
              </w:rPr>
              <w:t>As of</w:t>
            </w:r>
          </w:p>
        </w:tc>
        <w:tc>
          <w:tcPr>
            <w:tcW w:w="14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April 30,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January 31,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178,923</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137,445</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42,493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gross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192,410</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149,924</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and amortization expense was $10.5 million and $5.3 million for the three months ended April 30, 2021 and 2020,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noncurrent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noncurrent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noncurrent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Other assets, noncurrent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75,953</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118,640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employee equity transactions to be remitted to employees and tax authorities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Sales and other tax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27,453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Customer deposit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393,018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Other liabilities, noncurrent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April 30,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other tax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April 30, 2021, there have been no material changes to our non-cancelable purchase obligations from those disclosed in Note 8. “Commitments and Contingencies” in the notes to consolidated financial statements included in our Annual Report on Form 10-K for the year ended January 31, 2021, filed with the SEC on March 18,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June 2020, we received a grand jury subpoena from the Department of Justice’s U.S. Attorney’s Office for the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material fines, penalties, or other financial exposure.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Plaintiff’s opposition to our motion to dismiss is due on July 9, 2021 and our reply in support of the motion to dismiss is due August 9, 2021. A hearing on the motion to dismiss is scheduled for August 26, 2021.</w:t>
      </w:r>
    </w:p>
    <w:p>
      <w:pPr>
        <w:spacing w:after="0" w:line="6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April 7, 2021, the parties reported to the court that they had reached agreement on certain material terms of a settlement, and that they intended to complete negotiations, finalize the details of a settlement, formally memorialize the settlement, and present the settlement to the Court for approval as expeditiously as possible. Plaintiffs filed a second amended complaint on May 12, 2021. Pending finalization of the settlement, Plaintiffs’ motion for class certification is due June 25, 2021. Accordingly, we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recorded an aggregate legal settlement charge of $66.9 million net of amounts estimated to be covered by insurance as a general and administrative expense in our condensed consolidated statement of operations for the three months ended April 30, 2021.</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September 2019, the Federal Trade Commission (“FTC”) issued a Civil Investigative Demand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to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ended on December 13, 2020. On January 19, 2021, the FTC voted to finalize the settlement. Under the terms of the settlement, we neither admit nor deny the FTC’s allegations, and the FTC does not impose any fine or penalty upon us. We are required to implement certain injunctive provisions, including, among other things, refraining from making any misrepresentations regarding the privacy and security of our services or how we collect, maintain, use, delete, disclose, allow access to, and protect user information. It also requires us to implement a detailed information security program and obtain third-party security assessments periodically.</w:t>
      </w:r>
    </w:p>
    <w:p>
      <w:pPr>
        <w:spacing w:after="0" w:line="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do not expect the settlement to have a material impact on our financial results. We will cooperate with the FTC’s requirements and work to ensure compliance. Any failure to comply with the settlement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all of which could result in a material loss or otherwise harm our business.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Equity Incentive Plans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two equity incentive plans: the 2011 Global Share Plan (“2011 Plan”) and the 2019 Equity Incentive Plan (“2019 Plan”). All shares that remain available for future grants are under the 2019 Plan.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668"/>
              <w:spacing w:after="0"/>
              <w:rPr>
                <w:sz w:val="20"/>
                <w:szCs w:val="20"/>
                <w:color w:val="auto"/>
              </w:rPr>
            </w:pPr>
            <w:r>
              <w:rPr>
                <w:rFonts w:ascii="Arial" w:cs="Arial" w:eastAsia="Arial" w:hAnsi="Arial"/>
                <w:sz w:val="14"/>
                <w:szCs w:val="14"/>
                <w:b w:val="1"/>
                <w:bCs w:val="1"/>
                <w:color w:val="auto"/>
                <w:w w:val="90"/>
              </w:rPr>
              <w:t>Stock Options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02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9,239,504</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7.17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3,371,457</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24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(751,686)</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Canceled/forfeited/expired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(66,838)</w:t>
            </w:r>
          </w:p>
        </w:tc>
        <w:tc>
          <w:tcPr>
            <w:tcW w:w="1140" w:type="dxa"/>
            <w:vAlign w:val="bottom"/>
            <w:tcBorders>
              <w:bottom w:val="single" w:sz="8" w:color="CCEEFF"/>
            </w:tcBorders>
            <w:gridSpan w:val="2"/>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5"/>
              </w:rPr>
              <w:t>5.05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8,420,980</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2,628,512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as of April 30,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4,853,741</w:t>
            </w:r>
          </w:p>
        </w:tc>
        <w:tc>
          <w:tcPr>
            <w:tcW w:w="1140" w:type="dxa"/>
            <w:vAlign w:val="bottom"/>
            <w:gridSpan w:val="2"/>
          </w:tcPr>
          <w:p>
            <w:pPr>
              <w:jc w:val="right"/>
              <w:ind w:right="848"/>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85"/>
              </w:rPr>
              <w:t>4.39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1,529,787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30, 2021, unrecognized stock-based compensation expense related to outstanding unvested stock options was $39.6 million, which is expected to be recognized over a weighted-average period of 1.3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under our equity incentive plan and related information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January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4,510,730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361,404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260.68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April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4,620,305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April 30, 2021, unrecognized stock-based compensation expense related to outstanding unvested RSUs was $772.9 million, which is expected to be recognized over a weighted-average period of 2.5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April 2019, we adopted the 2019 Employee Stock Purchase Plan (“ESPP”). As of April 30, 2021, unrecognized stock-based compensation expense related to the ESPP was $10.2 million, which is expected to be recognized over a weighted-average period of 0.1 years.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8"/>
          <w:szCs w:val="18"/>
          <w:color w:val="auto"/>
        </w:rPr>
        <w:t>The stock-based compensation expense by line item in the accompanying condensed consolidated statements of operations is summarized as follows:</w:t>
      </w: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April 30,</w:t>
            </w:r>
          </w:p>
        </w:tc>
        <w:tc>
          <w:tcPr>
            <w:tcW w:w="132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2020</w:t>
            </w:r>
          </w:p>
        </w:tc>
      </w:tr>
      <w:tr>
        <w:trPr>
          <w:trHeight w:val="218"/>
        </w:trPr>
        <w:tc>
          <w:tcPr>
            <w:tcW w:w="6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8"/>
                <w:szCs w:val="18"/>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20,819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5,224</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r>
      <w:tr>
        <w:trPr>
          <w:trHeight w:val="248"/>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tax provision for interim periods is determined using an estimated annual effective tax rate, adjusted for discrete items arising in the applicable quarter.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details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18"/>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(in thousands, except percentages)</w:t>
            </w:r>
          </w:p>
        </w:tc>
      </w:tr>
      <w:tr>
        <w:trPr>
          <w:trHeight w:val="23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228,931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29,175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2,100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provision for income taxes was $1.4 million and $2.1 million for the three months ended April 30, 2021 and 2020, respectively. The provision for income taxes for the three months ended April 30, 2021 consisted primarily of federal, state, and foreign income taxes. For the three months ended April 30, 2021 and 2020, the provision for income taxes differed from the U.S. federal statutory rate primarily due to stock-based compensation and the valuation allowance on the U.S. and the U.K. deferred tax assets.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April 30, 2021, we believe it is more likely than not that the tax benefits of the U.S. and the U.K. losses incurred may not be realized. Accordingly, we recorded a full valuation allowance against the tax benefits of the U.S. and the U.K. losses incurred. We intend to maintain the full valuation allowance on the U.S. and the U.K. net deferred tax assets until sufficient positive evidence exists to support a reversal of, or decrease in, the valuation allowance.</w:t>
      </w:r>
    </w:p>
    <w:p>
      <w:pPr>
        <w:spacing w:after="0" w:line="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our valuation allowance evaluation, we give more weight to evidence that can be objectively verified than to evidence that cannot be objectively verified. Our consideration of the evidence requires management to make a number of significant judgements,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(pretax income adjusted for permanent differences) that we are able to actually achieve.</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April 30, 2021, there were no material changes to the total amount of unrecognized tax benefits and we do not expect any significant changes in the next 12 months.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March 11, 2021, the American Rescue Plan Act of 2021 (“American Rescue Plan Act”) was passed and amended portions of relevant tax 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American Rescue Plan Act did not have a significant impact on the provision for income taxes for the three months ended April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Income Per Share Attributable to Common Stockholders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periods presented:</w:t>
      </w: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 April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tcPr>
          <w:p>
            <w:pPr>
              <w:spacing w:after="0"/>
              <w:rPr>
                <w:sz w:val="21"/>
                <w:szCs w:val="21"/>
                <w:color w:val="auto"/>
              </w:rPr>
            </w:pPr>
          </w:p>
        </w:tc>
        <w:tc>
          <w:tcPr>
            <w:tcW w:w="3640" w:type="dxa"/>
            <w:vAlign w:val="bottom"/>
            <w:gridSpan w:val="9"/>
          </w:tcPr>
          <w:p>
            <w:pPr>
              <w:jc w:val="center"/>
              <w:ind w:left="621"/>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13,068</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Less: Undistributed earnings attributable to participating securities</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basic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Reallocation of net income 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3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54,286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Weighted-average shares used in computing net income per share attributable to common</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229,220,253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64,574,525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145,004,142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134,886,969</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basic</w:t>
            </w: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20"/>
              <w:spacing w:after="0" w:line="166" w:lineRule="exact"/>
              <w:rPr>
                <w:sz w:val="20"/>
                <w:szCs w:val="20"/>
                <w:color w:val="auto"/>
              </w:rPr>
            </w:pPr>
            <w:r>
              <w:rPr>
                <w:rFonts w:ascii="Arial" w:cs="Arial" w:eastAsia="Arial" w:hAnsi="Arial"/>
                <w:sz w:val="16"/>
                <w:szCs w:val="16"/>
                <w:color w:val="auto"/>
              </w:rPr>
              <w:t>Weighted-average shares used in computing net income per share attributable to common</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232,497,872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72,914,547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146,472,265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89"/>
              </w:rPr>
              <w:t>148,712,693</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stockholders, diluted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common stockholders,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tcPr>
          <w:p>
            <w:pPr>
              <w:ind w:left="20"/>
              <w:spacing w:after="0"/>
              <w:rPr>
                <w:sz w:val="20"/>
                <w:szCs w:val="20"/>
                <w:color w:val="auto"/>
              </w:rPr>
            </w:pPr>
            <w:r>
              <w:rPr>
                <w:rFonts w:ascii="Arial" w:cs="Arial" w:eastAsia="Arial" w:hAnsi="Arial"/>
                <w:sz w:val="16"/>
                <w:szCs w:val="16"/>
                <w:color w:val="auto"/>
              </w:rPr>
              <w:t>Net income per share attributable to common stockholders,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900" w:type="dxa"/>
            <w:vAlign w:val="bottom"/>
            <w:tcBorders>
              <w:bottom w:val="single" w:sz="8" w:color="auto"/>
            </w:tcBorders>
          </w:tcPr>
          <w:p>
            <w:pPr>
              <w:spacing w:after="0"/>
              <w:rPr>
                <w:sz w:val="16"/>
                <w:szCs w:val="16"/>
                <w:color w:val="auto"/>
              </w:rPr>
            </w:pPr>
          </w:p>
        </w:tc>
      </w:tr>
      <w:tr>
        <w:trPr>
          <w:trHeight w:val="187"/>
        </w:trPr>
        <w:tc>
          <w:tcPr>
            <w:tcW w:w="6520" w:type="dxa"/>
            <w:vAlign w:val="bottom"/>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r>
      <w:tr>
        <w:trPr>
          <w:trHeight w:val="183"/>
        </w:trPr>
        <w:tc>
          <w:tcPr>
            <w:tcW w:w="6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Class A</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Class B</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RSUs</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Purchase rights committed under the ESPP</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21,830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205,776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Total</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300,876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247,775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21"/>
        </w:trPr>
        <w:tc>
          <w:tcPr>
            <w:tcW w:w="6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above does not include 405,156 and 493,156 shares of issued Class A common stock held by us as of April 30, 2021 and 2020, respectively, that are reserved for the sole purpose of being transferred to nonprofit organizations.</w:t>
      </w:r>
    </w:p>
    <w:p>
      <w:pPr>
        <w:spacing w:after="0" w:line="16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June 2021, we entered into an agreement with a technology company pursuant to which we have agreed to purchase $75.0 million of their ordinary shares in a concurrent private placement at a price per ordinary share equal to the per share IPO price (before underwriting discounts and expenses) in their IPO pursuant to a registration statement. The private placement is contingent upon, and is scheduled to close immediately subsequent to, the closing of their IPO as well as the satisfaction of certain conditions to closing.</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provide a video communications platform that delivers happiness and helps our users express ideas and connect to others. We connect people through our unified communications, developer, and events platform. Our platform is chosen by enterprises around the globe because it is reliable; scalable; secure; easy to deploy, use, and manage; provides an attractive return on investment; and integrates with a vast ecosystem of applications and physical spaces. We believe that face-to-face communications build greater empathy and trust. We strive to live up to the trust our customers place in us by delivering a communications solution while prioritizing their privacy and security. Our 22 co-located data centers worldwide and the public cloud enable us to provide both high-quality and high-definition, real-time video to our customers even in low-bandwidth environments.</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generate revenue from the sale of subscriptions to our video communications platform. Subscription revenue is driven primarily by the number of paid hosts as well as purchases of additional products, including Zoom Rooms, Zoom Video Webinars, Zoom Phone,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more than 40 countries and territories where Zoom has local public switched telephone network (“PSTN”) coverage. In addition, the Zoom United plan launched in December 2020 provides a single license for customers to purchase Zoom Phone, Meetings and chat capabilities as a bundled offering.</w:t>
      </w:r>
    </w:p>
    <w:p>
      <w:pPr>
        <w:spacing w:after="0" w:line="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revenue was $956.2 million and $328.2 million for the three months ended April 30, 2021 and 2020, respectively, representing a period-over-period growth rate of 191%. We had net income of $227.5 million and $27.1 million for the three months ended April 30, 2021 and 2020, respectively. Net cash provided by operating activities was $533.3 million and $259.0 million for the three months ended April 30,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March 2020, the World Health Organization declared COVID-19 a pandemic, affecting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domains worldwide.</w:t>
      </w:r>
    </w:p>
    <w:p>
      <w:pPr>
        <w:spacing w:after="0" w:line="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While we have experienced a significant increase in paid hosts and revenue due to the pandemic, the aforementioned factors have also driven increased usage of our services and have required us to expand our network,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affected, and may continue to adversely affect, our gross margin.</w:t>
      </w:r>
    </w:p>
    <w:p>
      <w:pPr>
        <w:spacing w:after="0" w:line="7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 addition, there is no assurance that we will experience an increase in paid hosts or that new or existing users will continue to utilize our service after the COVID-19 pandemic has tapered globally. Moreover, the tapering of the COVID-19 pandemic, particularly as vaccinations become widely available, may result in a decline in paid hosts and users once individuals are no longer working or attending school from home.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HaaS, Zoom for Home, Zoom Rooms at each office location,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April 30, 2021 and 2020.</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in two new countries and territories during fiscal year 2022, bringing the total to 46.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 end-to-end encryption (“E2EE”) option is available to free and paid Zoom customers globally who host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October 2020, we introduced two additions to the Zoom platform: OnZoom and Zoom Apps. OnZoom is an online event platform for Zoom users to create and host free, paid, and fundraising events. OnZoom is currently offered as a public beta for U.S. users to attend online events. Zoom Apps is a new app type coming soon to the Zoom App Marketplace. These in-product integrations will be accessible directly from Zoom Meetings client and are designed to enhance meeting workflows and increase productivity.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the rest of world (APAC and EMEA) represented 34% and 25% of our total revenue for the three months ended April 30, 2021 and 2020,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with More Than 10 Employees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April 30, 2021 and 2020, we had approximately 497,000 and 265,400 customers, respectively, with more than 10 employees. When disclosing the number of customers, we round down to the nearest hundred.</w:t>
      </w:r>
    </w:p>
    <w:p>
      <w:pPr>
        <w:spacing w:after="0" w:line="5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Since the start of the COVID-19 pandemic, our customer cohort with 10 or fewer employees expanded as business owners and individual users adopted Zoom for many personal, professional, and social events. As a result, we have experienced a shift in the makeup of customer cohorts, with 37% of revenue attributable to customers with 10 or fewer employees during the three months ended April 30, 2021, compared to 30% for the three months ended April 30, 2020.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19% and 23% of total revenue for the three months ended April 30, 2021 and 2020, respectively. As of April 30, 2021 and 2020, we had 1,999 and 769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a non-GAAP financial measure, is useful in evaluating our liquidity.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533,302</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258,965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(1,219,978)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(63,034)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revenue for the rest of the current fiscal year.</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indirect taxes; and allocated overhead. We expect to increase the size of our general and administrative function to support the growth and complexity of our business. However, given the litigation settlement expense, net of amounts estimated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be covered by insurance recorded in the current fiscal quarter, we expect our general and administrative expenses, both in absolute dollars and as a percentage of revenue, to be lower for the foreseeable future.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Interest income and other, net consists primarily of interest income and net accretion earned on our marketable securities, effect of changes in foreign currency exchange rates, and remeasurement gains or losses on our equity investment.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Provision for income taxes consists primarily of income taxes related to federal, state, and foreign jurisdictions where we conduct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tables set forth selected condensed consolidated statements of operations data and such data as a percentage of revenue for each of the periods indicated:</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218"/>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8"/>
                <w:szCs w:val="18"/>
                <w:color w:val="auto"/>
              </w:rPr>
            </w:pPr>
          </w:p>
        </w:tc>
      </w:tr>
      <w:tr>
        <w:trPr>
          <w:trHeight w:val="23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956,237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328,167</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264,994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103,707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691,243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224,460</w:t>
            </w: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78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26,389</w:t>
            </w:r>
          </w:p>
        </w:tc>
      </w:tr>
      <w:tr>
        <w:trPr>
          <w:trHeight w:val="229"/>
        </w:trPr>
        <w:tc>
          <w:tcPr>
            <w:tcW w:w="78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245,667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121,556</w:t>
            </w: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154,089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53,130</w:t>
            </w:r>
          </w:p>
        </w:tc>
      </w:tr>
      <w:tr>
        <w:trPr>
          <w:trHeight w:val="22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464,931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201,075</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226,312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228,931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227,531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00" w:hanging="174"/>
        <w:spacing w:after="0"/>
        <w:tabs>
          <w:tab w:leader="none" w:pos="2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14,066</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5,224</w:t>
            </w:r>
          </w:p>
        </w:tc>
      </w:tr>
      <w:tr>
        <w:trPr>
          <w:trHeight w:val="230"/>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17,123</w:t>
            </w:r>
          </w:p>
        </w:tc>
      </w:tr>
      <w:tr>
        <w:trPr>
          <w:trHeight w:val="230"/>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r>
      <w:tr>
        <w:trPr>
          <w:trHeight w:val="248"/>
        </w:trPr>
        <w:tc>
          <w:tcPr>
            <w:tcW w:w="7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98,969</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28,777</w:t>
            </w:r>
          </w:p>
        </w:tc>
      </w:tr>
      <w:tr>
        <w:trPr>
          <w:trHeight w:val="20"/>
        </w:trPr>
        <w:tc>
          <w:tcPr>
            <w:tcW w:w="78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April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r>
      <w:tr>
        <w:trPr>
          <w:trHeight w:val="218"/>
        </w:trPr>
        <w:tc>
          <w:tcPr>
            <w:tcW w:w="7620" w:type="dxa"/>
            <w:vAlign w:val="bottom"/>
          </w:tcPr>
          <w:p>
            <w:pPr>
              <w:spacing w:after="0"/>
              <w:rPr>
                <w:sz w:val="18"/>
                <w:szCs w:val="18"/>
                <w:color w:val="auto"/>
              </w:rPr>
            </w:pPr>
          </w:p>
        </w:tc>
        <w:tc>
          <w:tcPr>
            <w:tcW w:w="30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(as a percentage of revenue)</w:t>
            </w:r>
          </w:p>
        </w:tc>
        <w:tc>
          <w:tcPr>
            <w:tcW w:w="620" w:type="dxa"/>
            <w:vAlign w:val="bottom"/>
          </w:tcPr>
          <w:p>
            <w:pPr>
              <w:spacing w:after="0"/>
              <w:rPr>
                <w:sz w:val="18"/>
                <w:szCs w:val="18"/>
                <w:color w:val="auto"/>
              </w:rPr>
            </w:pPr>
          </w:p>
        </w:tc>
      </w:tr>
      <w:tr>
        <w:trPr>
          <w:trHeight w:val="23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r>
        <w:trPr>
          <w:trHeight w:val="210"/>
        </w:trPr>
        <w:tc>
          <w:tcPr>
            <w:tcW w:w="7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8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r>
      <w:tr>
        <w:trPr>
          <w:trHeight w:val="229"/>
        </w:trPr>
        <w:tc>
          <w:tcPr>
            <w:tcW w:w="876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230"/>
        </w:trPr>
        <w:tc>
          <w:tcPr>
            <w:tcW w:w="8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Interest income and other, net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r>
      <w:tr>
        <w:trPr>
          <w:trHeight w:val="24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2021 and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956,237</w:t>
            </w:r>
          </w:p>
        </w:tc>
        <w:tc>
          <w:tcPr>
            <w:tcW w:w="6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328,167</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191 %</w:t>
            </w: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 xml:space="preserve">Revenue for the three months ended April 30, 2021 increased by $628.1 million, or 191%, compared to the three months ended April 30, 2020. The </w:t>
      </w:r>
      <w:r>
        <w:rPr>
          <w:rFonts w:ascii="Arial" w:cs="Arial" w:eastAsia="Arial" w:hAnsi="Arial"/>
          <w:sz w:val="17"/>
          <w:szCs w:val="17"/>
          <w:color w:val="000000"/>
        </w:rPr>
        <w:t>increase in revenue was due to a combination of subscription services provided to new customers, which accounted for approximately 57% of the increase, and to subscription services provided to existing customers, which accounted for approximately 43% of the increase.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1280" w:type="dxa"/>
            <w:vAlign w:val="bottom"/>
            <w:tcBorders>
              <w:bottom w:val="single" w:sz="8" w:color="auto"/>
            </w:tcBorders>
          </w:tcPr>
          <w:p>
            <w:pPr>
              <w:spacing w:after="0"/>
              <w:rPr>
                <w:sz w:val="16"/>
                <w:szCs w:val="16"/>
                <w:color w:val="auto"/>
              </w:rPr>
            </w:pPr>
          </w:p>
        </w:tc>
      </w:tr>
      <w:tr>
        <w:trPr>
          <w:trHeight w:val="187"/>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264,994</w:t>
            </w:r>
          </w:p>
        </w:tc>
        <w:tc>
          <w:tcPr>
            <w:tcW w:w="7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103,707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691,243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224,460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208 %</w:t>
            </w:r>
          </w:p>
        </w:tc>
      </w:tr>
      <w:tr>
        <w:trPr>
          <w:trHeight w:val="230"/>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Cost of revenue for the three months ended April 30, 2021 increased by $161.3 million, or 156%, compared to the three months ended April 30, 2020. In response to the </w:t>
      </w:r>
      <w:r>
        <w:rPr>
          <w:rFonts w:ascii="Arial" w:cs="Arial" w:eastAsia="Arial" w:hAnsi="Arial"/>
          <w:sz w:val="18"/>
          <w:szCs w:val="18"/>
          <w:color w:val="000000"/>
        </w:rPr>
        <w:t>COVID-19 pandemic, we have temporarily removed the 40-minute time limit for meetings with more than two endpoints from our</w:t>
      </w:r>
      <w:r>
        <w:rPr>
          <w:rFonts w:ascii="Arial" w:cs="Arial" w:eastAsia="Arial" w:hAnsi="Arial"/>
          <w:sz w:val="18"/>
          <w:szCs w:val="18"/>
          <w:color w:val="231F20"/>
        </w:rPr>
        <w:t xml:space="preserve"> </w:t>
      </w:r>
      <w:r>
        <w:rPr>
          <w:rFonts w:ascii="Arial" w:cs="Arial" w:eastAsia="Arial" w:hAnsi="Arial"/>
          <w:sz w:val="18"/>
          <w:szCs w:val="18"/>
          <w:color w:val="000000"/>
        </w:rPr>
        <w:t xml:space="preserve">free Basic accounts for more than 125,000 K-12 school domains worldwide. We also continued to experience an increase in usage from paid users as more companies utilized our platform to allow their employees to work remotely. This increase in usage resulted in </w:t>
      </w:r>
      <w:r>
        <w:rPr>
          <w:rFonts w:ascii="Arial" w:cs="Arial" w:eastAsia="Arial" w:hAnsi="Arial"/>
          <w:sz w:val="18"/>
          <w:szCs w:val="18"/>
          <w:color w:val="231F20"/>
        </w:rPr>
        <w:t>an increase of $120.3 million in costs related</w:t>
      </w:r>
      <w:r>
        <w:rPr>
          <w:rFonts w:ascii="Arial" w:cs="Arial" w:eastAsia="Arial" w:hAnsi="Arial"/>
          <w:sz w:val="18"/>
          <w:szCs w:val="18"/>
          <w:color w:val="000000"/>
        </w:rPr>
        <w:t xml:space="preserve"> </w:t>
      </w:r>
      <w:r>
        <w:rPr>
          <w:rFonts w:ascii="Arial" w:cs="Arial" w:eastAsia="Arial" w:hAnsi="Arial"/>
          <w:sz w:val="18"/>
          <w:szCs w:val="18"/>
          <w:color w:val="231F20"/>
        </w:rPr>
        <w:t xml:space="preserve">to third-party cloud hosting, integrated third-party PSTN services, and our co-located data centers to support the increase in customers and expanded use of our unified communications platform by existing and new customers. The remaining increase was primarily due to an increase of $24.6 million in personnel-related expenses, which includes an increase of $10.8 million </w:t>
      </w:r>
      <w:r>
        <w:rPr>
          <w:rFonts w:ascii="Arial" w:cs="Arial" w:eastAsia="Arial" w:hAnsi="Arial"/>
          <w:sz w:val="18"/>
          <w:szCs w:val="18"/>
          <w:color w:val="000000"/>
        </w:rPr>
        <w:t>in stock-based compensation expense,</w:t>
      </w:r>
      <w:r>
        <w:rPr>
          <w:rFonts w:ascii="Arial" w:cs="Arial" w:eastAsia="Arial" w:hAnsi="Arial"/>
          <w:sz w:val="18"/>
          <w:szCs w:val="18"/>
          <w:color w:val="231F20"/>
        </w:rPr>
        <w:t xml:space="preserve"> mainly driven by additional headcount; </w:t>
      </w:r>
      <w:r>
        <w:rPr>
          <w:rFonts w:ascii="Arial" w:cs="Arial" w:eastAsia="Arial" w:hAnsi="Arial"/>
          <w:sz w:val="18"/>
          <w:szCs w:val="18"/>
          <w:color w:val="000000"/>
        </w:rPr>
        <w:t>an</w:t>
      </w:r>
      <w:r>
        <w:rPr>
          <w:rFonts w:ascii="Arial" w:cs="Arial" w:eastAsia="Arial" w:hAnsi="Arial"/>
          <w:sz w:val="18"/>
          <w:szCs w:val="18"/>
          <w:color w:val="231F20"/>
        </w:rPr>
        <w:t xml:space="preserve"> </w:t>
      </w:r>
      <w:r>
        <w:rPr>
          <w:rFonts w:ascii="Arial" w:cs="Arial" w:eastAsia="Arial" w:hAnsi="Arial"/>
          <w:sz w:val="18"/>
          <w:szCs w:val="18"/>
          <w:color w:val="000000"/>
        </w:rPr>
        <w:t xml:space="preserve">increase of </w:t>
      </w:r>
      <w:r>
        <w:rPr>
          <w:rFonts w:ascii="Arial" w:cs="Arial" w:eastAsia="Arial" w:hAnsi="Arial"/>
          <w:sz w:val="18"/>
          <w:szCs w:val="18"/>
          <w:color w:val="231F20"/>
        </w:rPr>
        <w:t>$7.4 million</w:t>
      </w:r>
      <w:r>
        <w:rPr>
          <w:rFonts w:ascii="Arial" w:cs="Arial" w:eastAsia="Arial" w:hAnsi="Arial"/>
          <w:sz w:val="18"/>
          <w:szCs w:val="18"/>
          <w:color w:val="000000"/>
        </w:rPr>
        <w:t xml:space="preserve"> in professional services, mainly for customer support; and an increase of </w:t>
      </w:r>
      <w:r>
        <w:rPr>
          <w:rFonts w:ascii="Arial" w:cs="Arial" w:eastAsia="Arial" w:hAnsi="Arial"/>
          <w:sz w:val="18"/>
          <w:szCs w:val="18"/>
          <w:color w:val="231F20"/>
        </w:rPr>
        <w:t>$4.6 million related to subscription to software-based</w:t>
      </w:r>
      <w:r>
        <w:rPr>
          <w:rFonts w:ascii="Arial" w:cs="Arial" w:eastAsia="Arial" w:hAnsi="Arial"/>
          <w:sz w:val="18"/>
          <w:szCs w:val="18"/>
          <w:color w:val="000000"/>
        </w:rPr>
        <w:t xml:space="preserve"> </w:t>
      </w:r>
      <w:r>
        <w:rPr>
          <w:rFonts w:ascii="Arial" w:cs="Arial" w:eastAsia="Arial" w:hAnsi="Arial"/>
          <w:sz w:val="18"/>
          <w:szCs w:val="18"/>
          <w:color w:val="231F20"/>
        </w:rPr>
        <w:t>services</w:t>
      </w:r>
      <w:r>
        <w:rPr>
          <w:rFonts w:ascii="Arial" w:cs="Arial" w:eastAsia="Arial" w:hAnsi="Arial"/>
          <w:sz w:val="18"/>
          <w:szCs w:val="18"/>
          <w:color w:val="000000"/>
        </w:rPr>
        <w:t>.</w:t>
      </w:r>
    </w:p>
    <w:p>
      <w:pPr>
        <w:spacing w:after="0" w:line="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Gross margin increased to 72% for the three months ended </w:t>
      </w:r>
      <w:r>
        <w:rPr>
          <w:rFonts w:ascii="Arial" w:cs="Arial" w:eastAsia="Arial" w:hAnsi="Arial"/>
          <w:sz w:val="18"/>
          <w:szCs w:val="18"/>
          <w:color w:val="231F20"/>
        </w:rPr>
        <w:t>April 30, 2021</w:t>
      </w:r>
      <w:r>
        <w:rPr>
          <w:rFonts w:ascii="Arial" w:cs="Arial" w:eastAsia="Arial" w:hAnsi="Arial"/>
          <w:sz w:val="18"/>
          <w:szCs w:val="18"/>
          <w:color w:val="auto"/>
        </w:rPr>
        <w:t xml:space="preserve"> from 68% for the three months ended </w:t>
      </w:r>
      <w:r>
        <w:rPr>
          <w:rFonts w:ascii="Arial" w:cs="Arial" w:eastAsia="Arial" w:hAnsi="Arial"/>
          <w:sz w:val="18"/>
          <w:szCs w:val="18"/>
          <w:color w:val="231F20"/>
        </w:rPr>
        <w:t>April 30, 2020</w:t>
      </w:r>
      <w:r>
        <w:rPr>
          <w:rFonts w:ascii="Arial" w:cs="Arial" w:eastAsia="Arial" w:hAnsi="Arial"/>
          <w:sz w:val="18"/>
          <w:szCs w:val="18"/>
          <w:color w:val="auto"/>
        </w:rPr>
        <w:t>. The increase in gross margin was mainly due to increased efficiencies as we expanded our data center capacity to accommodate the increased usage stemming from the COVID-19 pandemic as well as lower rates from third-party cloud hosting providers.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65,175</w:t>
            </w:r>
          </w:p>
        </w:tc>
        <w:tc>
          <w:tcPr>
            <w:tcW w:w="6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147 %</w:t>
            </w:r>
          </w:p>
        </w:tc>
      </w:tr>
    </w:tbl>
    <w:p>
      <w:pPr>
        <w:spacing w:after="0" w:line="20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231F20"/>
        </w:rPr>
        <w:t xml:space="preserve">Research and development expense for the three months ended April 30, 2021 increased by $38.8 million, or 147%, compared to the three months ended April 30, 2020. </w:t>
      </w:r>
      <w:r>
        <w:rPr>
          <w:rFonts w:ascii="Arial" w:cs="Arial" w:eastAsia="Arial" w:hAnsi="Arial"/>
          <w:sz w:val="18"/>
          <w:szCs w:val="18"/>
          <w:color w:val="000000"/>
        </w:rPr>
        <w:t>The increase was primarily due to higher personnel-related expenses of</w:t>
      </w:r>
      <w:r>
        <w:rPr>
          <w:rFonts w:ascii="Arial" w:cs="Arial" w:eastAsia="Arial" w:hAnsi="Arial"/>
          <w:sz w:val="18"/>
          <w:szCs w:val="18"/>
          <w:color w:val="231F20"/>
        </w:rPr>
        <w:t xml:space="preserve"> $36.1 million, which includes </w:t>
      </w:r>
      <w:r>
        <w:rPr>
          <w:rFonts w:ascii="Arial" w:cs="Arial" w:eastAsia="Arial" w:hAnsi="Arial"/>
          <w:sz w:val="18"/>
          <w:szCs w:val="18"/>
          <w:color w:val="000000"/>
        </w:rPr>
        <w:t>a</w:t>
      </w:r>
      <w:r>
        <w:rPr>
          <w:rFonts w:ascii="Arial" w:cs="Arial" w:eastAsia="Arial" w:hAnsi="Arial"/>
          <w:sz w:val="18"/>
          <w:szCs w:val="18"/>
          <w:color w:val="231F20"/>
        </w:rPr>
        <w:t xml:space="preserve"> $15.6 million </w:t>
      </w:r>
      <w:r>
        <w:rPr>
          <w:rFonts w:ascii="Arial" w:cs="Arial" w:eastAsia="Arial" w:hAnsi="Arial"/>
          <w:sz w:val="18"/>
          <w:szCs w:val="18"/>
          <w:color w:val="000000"/>
        </w:rPr>
        <w:t>increase in</w:t>
      </w:r>
      <w:r>
        <w:rPr>
          <w:rFonts w:ascii="Arial" w:cs="Arial" w:eastAsia="Arial" w:hAnsi="Arial"/>
          <w:sz w:val="18"/>
          <w:szCs w:val="18"/>
          <w:color w:val="231F20"/>
        </w:rPr>
        <w:t xml:space="preserve"> </w:t>
      </w:r>
      <w:r>
        <w:rPr>
          <w:rFonts w:ascii="Arial" w:cs="Arial" w:eastAsia="Arial" w:hAnsi="Arial"/>
          <w:sz w:val="18"/>
          <w:szCs w:val="18"/>
          <w:color w:val="000000"/>
        </w:rPr>
        <w:t>stock-based compensation expense, mainly driven by additional headcount</w:t>
      </w:r>
      <w:r>
        <w:rPr>
          <w:rFonts w:ascii="Arial" w:cs="Arial" w:eastAsia="Arial" w:hAnsi="Arial"/>
          <w:sz w:val="18"/>
          <w:szCs w:val="18"/>
          <w:color w:val="231F20"/>
        </w:rPr>
        <w: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245,667</w:t>
            </w:r>
          </w:p>
        </w:tc>
        <w:tc>
          <w:tcPr>
            <w:tcW w:w="6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121,556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102 %</w:t>
            </w: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Sales and marketing expense for the three months ended April 30, 2021 increased by $124.1 million, or 102%, compared to the three months ended April 30, 2020. The increase in sales and marketing expense was primarily due to higher personnel-related expenses of $97.2 million, mainly driven by additional headcount in our sales force to support increased demand, which includes a $34.7 million </w:t>
      </w:r>
      <w:r>
        <w:rPr>
          <w:rFonts w:ascii="Arial" w:cs="Arial" w:eastAsia="Arial" w:hAnsi="Arial"/>
          <w:sz w:val="17"/>
          <w:szCs w:val="17"/>
          <w:color w:val="000000"/>
        </w:rPr>
        <w:t>increase in stock-based compensation expense and</w:t>
      </w:r>
      <w:r>
        <w:rPr>
          <w:rFonts w:ascii="Arial" w:cs="Arial" w:eastAsia="Arial" w:hAnsi="Arial"/>
          <w:sz w:val="17"/>
          <w:szCs w:val="17"/>
          <w:color w:val="231F20"/>
        </w:rPr>
        <w:t xml:space="preserve"> a $21.5 million increase in amortization of deferred contract acquisition costs driven by our increase in revenue. </w:t>
      </w:r>
      <w:r>
        <w:rPr>
          <w:rFonts w:ascii="Arial" w:cs="Arial" w:eastAsia="Arial" w:hAnsi="Arial"/>
          <w:sz w:val="17"/>
          <w:szCs w:val="17"/>
          <w:color w:val="000000"/>
        </w:rPr>
        <w:t>The remaining increase was primarily due to</w:t>
      </w:r>
      <w:r>
        <w:rPr>
          <w:rFonts w:ascii="Arial" w:cs="Arial" w:eastAsia="Arial" w:hAnsi="Arial"/>
          <w:sz w:val="17"/>
          <w:szCs w:val="17"/>
          <w:color w:val="231F20"/>
        </w:rPr>
        <w:t xml:space="preserve"> an increase of $14.0 million in credit card processing fees as a result of increased online payments, and an increase of $5.1 million in marketing and sales event-related costs, mainly due to an increase in digital and social media programs.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154,089</w:t>
            </w:r>
          </w:p>
        </w:tc>
        <w:tc>
          <w:tcPr>
            <w:tcW w:w="6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190 %</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 xml:space="preserve">General and administrative expense for the three months ended April 30, 2021 increased by $101.0 million, or 190%, compared to the three months ended April 30, 2020. The increase in general and administrative expense was primarily </w:t>
      </w:r>
      <w:r>
        <w:rPr>
          <w:rFonts w:ascii="Arial" w:cs="Arial" w:eastAsia="Arial" w:hAnsi="Arial"/>
          <w:sz w:val="18"/>
          <w:szCs w:val="18"/>
          <w:color w:val="000000"/>
        </w:rPr>
        <w:t>due to an increase of</w:t>
      </w:r>
      <w:r>
        <w:rPr>
          <w:rFonts w:ascii="Arial" w:cs="Arial" w:eastAsia="Arial" w:hAnsi="Arial"/>
          <w:sz w:val="18"/>
          <w:szCs w:val="18"/>
          <w:color w:val="231F20"/>
        </w:rPr>
        <w:t xml:space="preserve"> $66.9 million in </w:t>
      </w:r>
      <w:r>
        <w:rPr>
          <w:rFonts w:ascii="Arial" w:cs="Arial" w:eastAsia="Arial" w:hAnsi="Arial"/>
          <w:sz w:val="18"/>
          <w:szCs w:val="18"/>
          <w:color w:val="000000"/>
        </w:rPr>
        <w:t>litigation settlement expense,</w:t>
      </w:r>
      <w:r>
        <w:rPr>
          <w:rFonts w:ascii="Arial" w:cs="Arial" w:eastAsia="Arial" w:hAnsi="Arial"/>
          <w:sz w:val="18"/>
          <w:szCs w:val="18"/>
          <w:color w:val="231F20"/>
        </w:rPr>
        <w:t xml:space="preserve"> </w:t>
      </w:r>
      <w:r>
        <w:rPr>
          <w:rFonts w:ascii="Arial" w:cs="Arial" w:eastAsia="Arial" w:hAnsi="Arial"/>
          <w:sz w:val="18"/>
          <w:szCs w:val="18"/>
          <w:color w:val="000000"/>
        </w:rPr>
        <w:t xml:space="preserve">net of amounts estimated to be covered by insurance; an increase of </w:t>
      </w:r>
      <w:r>
        <w:rPr>
          <w:rFonts w:ascii="Arial" w:cs="Arial" w:eastAsia="Arial" w:hAnsi="Arial"/>
          <w:sz w:val="18"/>
          <w:szCs w:val="18"/>
          <w:color w:val="231F20"/>
        </w:rPr>
        <w:t>$22.6 million</w:t>
      </w:r>
      <w:r>
        <w:rPr>
          <w:rFonts w:ascii="Arial" w:cs="Arial" w:eastAsia="Arial" w:hAnsi="Arial"/>
          <w:sz w:val="18"/>
          <w:szCs w:val="18"/>
          <w:color w:val="000000"/>
        </w:rPr>
        <w:t xml:space="preserve"> in personnel-related expenses, which includes a </w:t>
      </w:r>
      <w:r>
        <w:rPr>
          <w:rFonts w:ascii="Arial" w:cs="Arial" w:eastAsia="Arial" w:hAnsi="Arial"/>
          <w:sz w:val="18"/>
          <w:szCs w:val="18"/>
          <w:color w:val="231F20"/>
        </w:rPr>
        <w:t>$9.1 million</w:t>
      </w:r>
      <w:r>
        <w:rPr>
          <w:rFonts w:ascii="Arial" w:cs="Arial" w:eastAsia="Arial" w:hAnsi="Arial"/>
          <w:sz w:val="18"/>
          <w:szCs w:val="18"/>
          <w:color w:val="000000"/>
        </w:rPr>
        <w:t xml:space="preserve"> increase in stock-based compensation expense, mainly driven by additional headcount; and an increase of </w:t>
      </w:r>
      <w:r>
        <w:rPr>
          <w:rFonts w:ascii="Arial" w:cs="Arial" w:eastAsia="Arial" w:hAnsi="Arial"/>
          <w:sz w:val="18"/>
          <w:szCs w:val="18"/>
          <w:color w:val="231F20"/>
        </w:rPr>
        <w:t>$14.6 million</w:t>
      </w:r>
      <w:r>
        <w:rPr>
          <w:rFonts w:ascii="Arial" w:cs="Arial" w:eastAsia="Arial" w:hAnsi="Arial"/>
          <w:sz w:val="18"/>
          <w:szCs w:val="18"/>
          <w:color w:val="000000"/>
        </w:rPr>
        <w:t xml:space="preserve"> in professional services consisting primarily of legal and other professional service fees</w:t>
      </w:r>
      <w:r>
        <w:rPr>
          <w:rFonts w:ascii="Arial" w:cs="Arial" w:eastAsia="Arial" w:hAnsi="Arial"/>
          <w:sz w:val="18"/>
          <w:szCs w:val="18"/>
          <w:color w:val="231F20"/>
        </w:rPr>
        <w: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2,619</w:t>
            </w:r>
          </w:p>
        </w:tc>
        <w:tc>
          <w:tcPr>
            <w:tcW w:w="6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Interest income and other, net for the three months ended April 30, 2021 decreased by $3.2 million, or 55%, compared to the three months ended April 30, 2020. The decrease was primarily due to a lack of remeasurement gain in our investments for the three months ended April 30, 2021, while $2.5 million was recorded for the three months ended April 30,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240" w:type="dxa"/>
            <w:vAlign w:val="bottom"/>
            <w:tcBorders>
              <w:bottom w:val="single" w:sz="8" w:color="auto"/>
            </w:tcBorders>
          </w:tcPr>
          <w:p>
            <w:pPr>
              <w:spacing w:after="0"/>
              <w:rPr>
                <w:sz w:val="16"/>
                <w:szCs w:val="16"/>
                <w:color w:val="auto"/>
              </w:rPr>
            </w:pPr>
          </w:p>
        </w:tc>
      </w:t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1,400</w:t>
            </w: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Provision for income taxes for the three months ended April 30, 2021 decreased by $0.7 million, or 33%, compared to the three months ended April 30, 2020. The change was </w:t>
      </w:r>
      <w:r>
        <w:rPr>
          <w:rFonts w:ascii="Arial" w:cs="Arial" w:eastAsia="Arial" w:hAnsi="Arial"/>
          <w:sz w:val="17"/>
          <w:szCs w:val="17"/>
          <w:color w:val="231F20"/>
        </w:rPr>
        <w:t>primarily due to a decrease in the annual effective tax rate attributable to increased net operating loss carryovers and stock-based compensation deductions. Our calculation of income tax expense is dependent in part on forecasts of full-year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April 30, 2021, our principal sources of liquidity were cash, cash equivalents, and marketable securities of $4.7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5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18"/>
        </w:trPr>
        <w:tc>
          <w:tcPr>
            <w:tcW w:w="7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8"/>
                <w:szCs w:val="18"/>
                <w:color w:val="auto"/>
              </w:rPr>
            </w:pPr>
          </w:p>
        </w:tc>
      </w:tr>
      <w:tr>
        <w:trPr>
          <w:trHeight w:val="23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533,302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258,965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(1,219,978)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(63,034)</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228,126</w:t>
            </w: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affected by our net income adjusted for certain non-cash items, such as stock-based compensation expense and depreciation and amortization expenses, as well as the effect of changes in operating assets and liabilities.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operating activities was $533.3 million for the three months ended April 30, 2021, compared to $259.0 million for the three months ended April 30, 2020. The increase in operating cash flow was due to an increase in net income of $200.5 million and an increase in non-cash adjustments of $105.5 million, which is primarily a result of higher stock-based compensation expense and higher deferred contract acquisition cost amortization due to an increase in capitalized commissions as we continue to grow and expand our customer base, offset by the negative impact from changes in operating assets and liabilities of $31.7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used in investing activities of $1,220.0 million for the three months ended April 30, 2021 was primarily due to net purchases of marketable securities of $1,134.4 million, purchases of property and equipment of $79.1 million, and purchases of convertible notes of $6.5 million.</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of $63.0 million for the three months ended April 30, 2020 was primarily due to net purchases of marketable securities of $43.9 million, purchase of an equity investment of $8.0 million, purchases of property and equipment of $7.3 million, and purchase of a convertible note of $5.0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Net cash used in financing activities of $6.3 million for the three months ended April 30, 2021 was primarily due to proceeds from employee equity transactions remitted to employees and tax authorities, net, of </w:t>
      </w:r>
      <w:r>
        <w:rPr>
          <w:rFonts w:ascii="Arial" w:cs="Arial" w:eastAsia="Arial" w:hAnsi="Arial"/>
          <w:sz w:val="16"/>
          <w:szCs w:val="16"/>
          <w:color w:val="231F20"/>
        </w:rPr>
        <w:t>$10.0 million, partially offset by</w:t>
      </w:r>
      <w:r>
        <w:rPr>
          <w:rFonts w:ascii="Arial" w:cs="Arial" w:eastAsia="Arial" w:hAnsi="Arial"/>
          <w:sz w:val="16"/>
          <w:szCs w:val="16"/>
          <w:color w:val="auto"/>
        </w:rPr>
        <w:t xml:space="preserve"> proceeds from the exercise of stock options of $3.4 million.</w:t>
      </w:r>
    </w:p>
    <w:p>
      <w:pPr>
        <w:spacing w:after="0" w:line="1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Net cash provided by financing activities of $228.1 million for the three months ended April 30, 2020 was due to proceeds from employee equity transactions to be remitted to employees and tax authorities, net, of $218.5 million and proceeds from the exercise of stock options of $9.6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have been no material changes to our contractual obligations and commitments from those disclosed in our Management’s Discussion and Analysis of Financial Condition and Results of Operations, included in our Annual Report on Form 10-K for the year ended January 31, 2021, filed with the SEC on March 18,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do not have any off-balance sheet arrangements as defined in Item 303(a)(4)(ii) of Regulation S-K promulgated by the SEC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Critical accounting policies and estimates are those accounting policies and estimates that are both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2021, filed with the SEC on March 18, 2021.</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months ended April 30, 2021 and 2020.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We had cash and cash equivalents of </w:t>
      </w:r>
      <w:r>
        <w:rPr>
          <w:rFonts w:ascii="Arial" w:cs="Arial" w:eastAsia="Arial" w:hAnsi="Arial"/>
          <w:sz w:val="18"/>
          <w:szCs w:val="18"/>
          <w:color w:val="231F20"/>
        </w:rPr>
        <w:t>$1,557.3 million</w:t>
      </w:r>
      <w:r>
        <w:rPr>
          <w:rFonts w:ascii="Arial" w:cs="Arial" w:eastAsia="Arial" w:hAnsi="Arial"/>
          <w:sz w:val="18"/>
          <w:szCs w:val="18"/>
          <w:color w:val="auto"/>
        </w:rPr>
        <w:t xml:space="preserve"> and marketable securities of </w:t>
      </w:r>
      <w:r>
        <w:rPr>
          <w:rFonts w:ascii="Arial" w:cs="Arial" w:eastAsia="Arial" w:hAnsi="Arial"/>
          <w:sz w:val="18"/>
          <w:szCs w:val="18"/>
          <w:color w:val="231F20"/>
        </w:rPr>
        <w:t>$3,132.3 million</w:t>
      </w:r>
      <w:r>
        <w:rPr>
          <w:rFonts w:ascii="Arial" w:cs="Arial" w:eastAsia="Arial" w:hAnsi="Arial"/>
          <w:sz w:val="18"/>
          <w:szCs w:val="18"/>
          <w:color w:val="auto"/>
        </w:rPr>
        <w:t xml:space="preserve"> as of April 30, 2021. Cash and cash equivalents consist of bank deposits, money market funds, and treasury bills. Our marketable securities generally consist of high-grade commercial paper, agency bonds, corporate and other debt securities, U.S. government agency securities,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2021 and 2020.</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Arial" w:cs="Arial" w:eastAsia="Arial" w:hAnsi="Arial"/>
          <w:sz w:val="18"/>
          <w:szCs w:val="18"/>
          <w:color w:val="231F20"/>
        </w:rPr>
        <w:t>April 30, 2021</w:t>
      </w:r>
      <w:r>
        <w:rPr>
          <w:rFonts w:ascii="Arial" w:cs="Arial" w:eastAsia="Arial" w:hAnsi="Arial"/>
          <w:sz w:val="18"/>
          <w:szCs w:val="18"/>
          <w:color w:val="000000"/>
        </w:rPr>
        <w:t>, our disclosure controls and procedures were effective at a reasonable assurance level.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There has been no change in our internal control over financial reporting (as defined in Rules 13a-15(d) and 15d-15(d) under the Exchange Act) that occurred during the quarter ended </w:t>
      </w:r>
      <w:r>
        <w:rPr>
          <w:rFonts w:ascii="Arial" w:cs="Arial" w:eastAsia="Arial" w:hAnsi="Arial"/>
          <w:sz w:val="18"/>
          <w:szCs w:val="18"/>
          <w:color w:val="231F20"/>
        </w:rPr>
        <w:t>April 30, 2021</w:t>
      </w:r>
      <w:r>
        <w:rPr>
          <w:rFonts w:ascii="Arial" w:cs="Arial" w:eastAsia="Arial" w:hAnsi="Arial"/>
          <w:sz w:val="18"/>
          <w:szCs w:val="18"/>
          <w:color w:val="auto"/>
        </w:rPr>
        <w:t xml:space="preserve"> that has materially affected, or is reasonably likely to materially affect, our internal control over financial reporting.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7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375" w:lineRule="auto"/>
        <w:rPr>
          <w:sz w:val="20"/>
          <w:szCs w:val="20"/>
          <w:color w:val="auto"/>
        </w:rPr>
      </w:pPr>
      <w:r>
        <w:rPr>
          <w:rFonts w:ascii="Arial" w:cs="Arial" w:eastAsia="Arial" w:hAnsi="Arial"/>
          <w:sz w:val="15"/>
          <w:szCs w:val="15"/>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9"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in 2019 we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8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 we increase sales to large organizations, our sales cycles could lengthen, and we could experience greater deployment challenges.</w:t>
      </w:r>
    </w:p>
    <w:p>
      <w:pPr>
        <w:spacing w:after="0" w:line="14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Although we generated net income of $227.5 million for the three months ended April 30, 2021,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If we do not comply with applicable requirements imposed by app stores, we could lose access to the app store and users, and our business would be harmed.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software bugs and vulnerabilities, supply chain attacks and vulnerabilities through our third-party partners,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28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2,854 full-time employees as of April 30, 2020, to 5,059 full-time employees as of April 30, 2021,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may be significantly affected by a change in the economy, including any resulting effect on consumer or business spending.</w:t>
      </w:r>
    </w:p>
    <w:p>
      <w:pPr>
        <w:spacing w:after="0" w:line="14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(“IPO”) in April 2019 and potential candidates may not perceive our compensation package, including our equity awards, as favorably as employees hired prior to our IPO.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8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following our IPO,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APAC and EMEA collectively represented 34% and 25% of our total revenue for the three months ended April 30, 2021 and 2020,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recently announced our intent to expand our research and development presence in Phoenix, Arizona and Pittsburgh, Pennsylvania, as well as in Singapore and India. As a result of this expansion, we could experience, among other things, difficulty in attracting and retaining talent in these location and higher operating expenses, which would adversely impact our operating margins and harm our business.</w:t>
      </w:r>
    </w:p>
    <w:p>
      <w:pPr>
        <w:spacing w:after="0" w:line="6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2"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three months ended April 30, 2021 and 2020, 23.0% and 14.9% of our revenue, respectively, and 12.2% and 13.1%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9"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82" w:lineRule="exact"/>
        <w:rPr>
          <w:sz w:val="20"/>
          <w:szCs w:val="20"/>
          <w:color w:val="auto"/>
        </w:rPr>
      </w:pPr>
    </w:p>
    <w:p>
      <w:pPr>
        <w:jc w:val="both"/>
        <w:ind w:right="20" w:firstLine="486"/>
        <w:spacing w:after="0" w:line="375" w:lineRule="auto"/>
        <w:rPr>
          <w:sz w:val="20"/>
          <w:szCs w:val="20"/>
          <w:color w:val="auto"/>
        </w:rPr>
      </w:pPr>
      <w:r>
        <w:rPr>
          <w:rFonts w:ascii="Arial" w:cs="Arial" w:eastAsia="Arial" w:hAnsi="Arial"/>
          <w:sz w:val="15"/>
          <w:szCs w:val="15"/>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provision for taxes on our condensed consolidated financial statements could also be impacted by changes in accounting principles; changes in U.S. federal, state, or international tax laws applicable to corporate multinationals, other fundamental changes in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harmed.</w:t>
      </w:r>
    </w:p>
    <w:p>
      <w:pPr>
        <w:spacing w:after="0" w:line="6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OECD's Inclusive Framework such as the imposition of DST rules, could have an adverse impact on our business by increasing our future tax obligations.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of January 31, 2021, we had $1,264.3 million of U.S. federal and $797.0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7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4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recorded a valuation allowance against all of our deferred tax assets for the U.S. and U.K. as of both April 30, 2021 and January 31, 2021. We intend to continue maintaining a full valuation allowance on our deferred tax assets until there is sufficient evidence to support the reversal of all or some portion of these allowances. In our valuation allowance evaluation, we give more weight to evidence that can be objectively verified than to evidence that cannot be objectively verified. Our consideration of the evidence requires management to make a number of significant judgments,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(pretax income adjusted for permanent differences) that we are able to actually achieve.</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Beginning in the fiscal quarter ended April 30, 2020, we faced unprecedented usage of our video-first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6"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and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w:t>
      </w:r>
    </w:p>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8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w:t>
      </w:r>
    </w:p>
    <w:p>
      <w:pPr>
        <w:spacing w:after="0" w:line="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8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6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 Virginia has similarly enacted a comprehensive privacy law, the Consumer Data Protection Act, which emulates the CCPA and CPRA in many respects and takes effect on January 1, 2023.</w:t>
      </w:r>
    </w:p>
    <w:p>
      <w:pPr>
        <w:spacing w:after="0" w:line="5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6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“Legal Proceedings” for additional information.</w:t>
      </w:r>
    </w:p>
    <w:p>
      <w:pPr>
        <w:spacing w:after="0" w:line="5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also have been the subject of an investigation by the FTC relating to our privacy and security representations and practices. We have reached a settlement agreement with the FTC, which the FTC voted to make final on January 19, 2021. See “Legal Proceedings” for additional information.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5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6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Further, in May 2019, former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which could result in increased tax liabilities for us or our customers and hosts, which could harm our business.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The application of indirect taxes (such as sales tax, use tax, telecommunications tax, VAT, GST, and gross receipts tax) to businesses that transact online, such as ours, is a complex and evolving area. Following the recent U.S. Supreme Court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jurisdictions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$52.5 million and $58.1 million as of April 30, 2021, and January 31, 2021,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and from time to time will continue to submit as warranted initial and final voluntary self-disclosures concerning potential violations of U.S. sanctions and export control laws and regulations to OFAC and the U.S. Department of Commerce’s Bureau of Industry and Security (“BIS”).</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If Congress revises or repeals Section 230 or the FCC adopts rules, we may no longer be afforded the same level of protection offered by Section 230. This would increase the risks faced by internet-based businesses, like Zoom, that rely on third-party content. There is no schedule for action by the FCC on the petition.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other state initiatives will be enforced, modified, overturned, or vacated.</w:t>
      </w:r>
    </w:p>
    <w:p>
      <w:pPr>
        <w:spacing w:after="0" w:line="5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Legislation has been adopted in Florida and has been introduced in at least five additional states that is intended to reduce or eliminate the power of businesses operating on the Internet to moderate user-generated content, implicitly eliminating the federal protections granted under Section 230. NetChoice and the Computer and Communications Industry Association have filed suit in federal court seeking to enjoin enforcement of Florida’s law and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4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6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As of April 30, 2021, the holders of our outstanding Class B common stock held 71.0% of the voting power of our outstanding capital stock, with our directors, executive officers and 5% stockholders and their respective affiliates holding 62.2% of such voting power in the aggregate. As of April 30, 2021, our founder, President and Chief Executive Officer, Eric S. Yuan, together with his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affiliates, held approximately 8.3% of our outstanding capital stock but controlled approximately 29.8%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9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significant additional costs associated with resolving the dispute in other jurisdictions, all of which could harm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5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5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8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gridSpan w:val="13"/>
          </w:tcPr>
          <w:p>
            <w:pPr>
              <w:ind w:left="640"/>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23"/>
                <w:szCs w:val="23"/>
                <w:color w:val="auto"/>
              </w:rPr>
            </w:pPr>
          </w:p>
        </w:tc>
        <w:tc>
          <w:tcPr>
            <w:tcW w:w="3060" w:type="dxa"/>
            <w:vAlign w:val="bottom"/>
            <w:gridSpan w:val="11"/>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6"/>
                <w:szCs w:val="16"/>
                <w:color w:val="auto"/>
              </w:rPr>
            </w:pPr>
          </w:p>
        </w:tc>
        <w:tc>
          <w:tcPr>
            <w:tcW w:w="30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line="206" w:lineRule="exact"/>
              <w:rPr>
                <w:sz w:val="20"/>
                <w:szCs w:val="20"/>
                <w:color w:val="auto"/>
              </w:rPr>
            </w:pPr>
            <w:r>
              <w:rPr>
                <w:rFonts w:ascii="Arial" w:cs="Arial" w:eastAsia="Arial" w:hAnsi="Arial"/>
                <w:sz w:val="18"/>
                <w:szCs w:val="18"/>
                <w:color w:val="auto"/>
              </w:rPr>
              <w:t>3.1</w:t>
            </w:r>
          </w:p>
        </w:tc>
        <w:tc>
          <w:tcPr>
            <w:tcW w:w="4660" w:type="dxa"/>
            <w:vAlign w:val="bottom"/>
            <w:gridSpan w:val="12"/>
          </w:tcPr>
          <w:p>
            <w:pPr>
              <w:spacing w:after="0" w:line="206" w:lineRule="exact"/>
              <w:rPr>
                <w:rFonts w:ascii="Arial" w:cs="Arial" w:eastAsia="Arial" w:hAnsi="Arial"/>
                <w:sz w:val="18"/>
                <w:szCs w:val="18"/>
                <w:color w:val="0000FF"/>
                <w:w w:val="97"/>
              </w:rPr>
            </w:pPr>
            <w:hyperlink r:id="rId75">
              <w:r>
                <w:rPr>
                  <w:rFonts w:ascii="Arial" w:cs="Arial" w:eastAsia="Arial" w:hAnsi="Arial"/>
                  <w:sz w:val="18"/>
                  <w:szCs w:val="18"/>
                  <w:color w:val="0000FF"/>
                  <w:w w:val="97"/>
                </w:rPr>
                <w:t>Amended and Restated Certificate of Incorporation of Zoom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Video Communications, Inc.</w:t>
              </w:r>
            </w:hyperlink>
          </w:p>
        </w:tc>
        <w:tc>
          <w:tcPr>
            <w:tcW w:w="228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4660" w:type="dxa"/>
            <w:vAlign w:val="bottom"/>
            <w:gridSpan w:val="12"/>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Communications, Inc.</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4660" w:type="dxa"/>
            <w:vAlign w:val="bottom"/>
            <w:gridSpan w:val="12"/>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Certification of Chief Executive Officer pursuant to Exchange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0"/>
          </w:tcPr>
          <w:p>
            <w:pPr>
              <w:spacing w:after="0" w:line="156" w:lineRule="exact"/>
              <w:rPr>
                <w:rFonts w:ascii="Arial" w:cs="Arial" w:eastAsia="Arial" w:hAnsi="Arial"/>
                <w:sz w:val="18"/>
                <w:szCs w:val="18"/>
                <w:color w:val="0000FF"/>
                <w:w w:val="94"/>
              </w:rPr>
            </w:pPr>
            <w:hyperlink w:anchor="page65">
              <w:r>
                <w:rPr>
                  <w:rFonts w:ascii="Arial" w:cs="Arial" w:eastAsia="Arial" w:hAnsi="Arial"/>
                  <w:sz w:val="18"/>
                  <w:szCs w:val="18"/>
                  <w:color w:val="0000FF"/>
                  <w:w w:val="94"/>
                </w:rPr>
                <w:t>Act Rules 13a-14(a) and 15d-14(a), as adopted pursuant to</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Section 302 of the Sarbanes-Oxley Act of 2002.</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660" w:type="dxa"/>
            <w:vAlign w:val="bottom"/>
            <w:gridSpan w:val="12"/>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Certification of Chief Financial Officer pursuant to Exchange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44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w:anchor="page66">
              <w:r>
                <w:rPr>
                  <w:rFonts w:ascii="Arial" w:cs="Arial" w:eastAsia="Arial" w:hAnsi="Arial"/>
                  <w:sz w:val="18"/>
                  <w:szCs w:val="18"/>
                  <w:color w:val="0000FF"/>
                  <w:w w:val="93"/>
                </w:rPr>
                <w:t>Act Rules 13a-14(a) and 15d-14(a), as adopted pursuant to</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Section 302 of the Sarbanes-Oxley Act of 2002.</w:t>
              </w:r>
            </w:hyperlink>
          </w:p>
        </w:tc>
        <w:tc>
          <w:tcPr>
            <w:tcW w:w="20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42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Certifications of Chief Executive Officer and Chief Financial</w:t>
              </w:r>
            </w:hyperlink>
          </w:p>
        </w:tc>
        <w:tc>
          <w:tcPr>
            <w:tcW w:w="2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60" w:type="dxa"/>
            <w:vAlign w:val="bottom"/>
            <w:gridSpan w:val="12"/>
          </w:tcPr>
          <w:p>
            <w:pPr>
              <w:spacing w:after="0" w:line="15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Officer pursuant to 18 U.S.C. Section 1350, as adopted pursuant</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6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to Section 906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vMerge w:val="continue"/>
          </w:tcPr>
          <w:p>
            <w:pPr>
              <w:spacing w:after="0"/>
              <w:rPr>
                <w:sz w:val="20"/>
                <w:szCs w:val="20"/>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auto"/>
                <w:w w:val="98"/>
              </w:rPr>
              <w:t>XBRL Instance Document (the instance document does not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660" w:type="dxa"/>
            <w:vAlign w:val="bottom"/>
            <w:gridSpan w:val="12"/>
          </w:tcPr>
          <w:p>
            <w:pPr>
              <w:spacing w:after="0" w:line="202" w:lineRule="exact"/>
              <w:rPr>
                <w:sz w:val="20"/>
                <w:szCs w:val="20"/>
                <w:color w:val="auto"/>
              </w:rPr>
            </w:pPr>
            <w:r>
              <w:rPr>
                <w:rFonts w:ascii="Arial" w:cs="Arial" w:eastAsia="Arial" w:hAnsi="Arial"/>
                <w:sz w:val="18"/>
                <w:szCs w:val="18"/>
                <w:color w:val="auto"/>
                <w:w w:val="95"/>
              </w:rPr>
              <w:t>appear in the Interactive Data File because its XBRL tags are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auto"/>
              </w:rPr>
              <w:t>embedded within the Inline EXBRL document)</w:t>
            </w: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gridSpan w:val="12"/>
          </w:tcPr>
          <w:p>
            <w:pPr>
              <w:spacing w:after="0"/>
              <w:rPr>
                <w:sz w:val="20"/>
                <w:szCs w:val="20"/>
                <w:color w:val="auto"/>
              </w:rPr>
            </w:pPr>
            <w:r>
              <w:rPr>
                <w:rFonts w:ascii="Arial" w:cs="Arial" w:eastAsia="Arial" w:hAnsi="Arial"/>
                <w:sz w:val="18"/>
                <w:szCs w:val="18"/>
                <w:color w:val="auto"/>
                <w:w w:val="97"/>
              </w:rPr>
              <w:t>XBRL Taxonomy Extension Calculation Linkbase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gridSpan w:val="12"/>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gridSpan w:val="12"/>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0" w:type="dxa"/>
            <w:vAlign w:val="bottom"/>
          </w:tcPr>
          <w:p>
            <w:pPr>
              <w:spacing w:after="0"/>
              <w:rPr>
                <w:sz w:val="1"/>
                <w:szCs w:val="1"/>
                <w:color w:val="auto"/>
              </w:rPr>
            </w:pPr>
          </w:p>
        </w:tc>
      </w:tr>
    </w:tbl>
    <w:p>
      <w:pPr>
        <w:ind w:left="1180" w:right="360" w:hanging="1154"/>
        <w:spacing w:after="0" w:line="258"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(the cover page from the Registrant’s Quarterly Report on Form 10-Q for the quarter endedApril 30, 2021,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40640</wp:posOffset>
            </wp:positionV>
            <wp:extent cx="3317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400" w:type="dxa"/>
            <w:vAlign w:val="bottom"/>
          </w:tcPr>
          <w:p>
            <w:pPr>
              <w:ind w:left="640"/>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ind w:left="640"/>
              <w:spacing w:after="0"/>
              <w:rPr>
                <w:sz w:val="20"/>
                <w:szCs w:val="20"/>
                <w:color w:val="auto"/>
              </w:rPr>
            </w:pPr>
            <w:r>
              <w:rPr>
                <w:rFonts w:ascii="Arial" w:cs="Arial" w:eastAsia="Arial" w:hAnsi="Arial"/>
                <w:sz w:val="14"/>
                <w:szCs w:val="14"/>
                <w:b w:val="1"/>
                <w:bCs w:val="1"/>
                <w:color w:val="auto"/>
                <w:w w:val="94"/>
              </w:rPr>
              <w:t>Filing Date</w:t>
            </w:r>
          </w:p>
        </w:tc>
      </w:tr>
      <w:tr>
        <w:trPr>
          <w:trHeight w:val="255"/>
        </w:trPr>
        <w:tc>
          <w:tcPr>
            <w:tcW w:w="84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ind w:left="220"/>
              <w:spacing w:after="0"/>
              <w:rPr>
                <w:sz w:val="20"/>
                <w:szCs w:val="20"/>
                <w:color w:val="auto"/>
              </w:rPr>
            </w:pPr>
            <w:r>
              <w:rPr>
                <w:rFonts w:ascii="Arial" w:cs="Arial" w:eastAsia="Arial" w:hAnsi="Arial"/>
                <w:sz w:val="18"/>
                <w:szCs w:val="18"/>
                <w:color w:val="auto"/>
              </w:rPr>
              <w:t>001-38865</w:t>
            </w:r>
          </w:p>
        </w:tc>
        <w:tc>
          <w:tcPr>
            <w:tcW w:w="1160" w:type="dxa"/>
            <w:vAlign w:val="bottom"/>
          </w:tcPr>
          <w:p>
            <w:pPr>
              <w:jc w:val="right"/>
              <w:ind w:right="576"/>
              <w:spacing w:after="0"/>
              <w:rPr>
                <w:sz w:val="20"/>
                <w:szCs w:val="20"/>
                <w:color w:val="auto"/>
              </w:rPr>
            </w:pPr>
            <w:r>
              <w:rPr>
                <w:rFonts w:ascii="Arial" w:cs="Arial" w:eastAsia="Arial" w:hAnsi="Arial"/>
                <w:sz w:val="18"/>
                <w:szCs w:val="18"/>
                <w:color w:val="auto"/>
              </w:rPr>
              <w:t>3.1</w:t>
            </w:r>
          </w:p>
        </w:tc>
        <w:tc>
          <w:tcPr>
            <w:tcW w:w="1340" w:type="dxa"/>
            <w:vAlign w:val="bottom"/>
          </w:tcPr>
          <w:p>
            <w:pPr>
              <w:ind w:left="200"/>
              <w:spacing w:after="0"/>
              <w:rPr>
                <w:sz w:val="20"/>
                <w:szCs w:val="20"/>
                <w:color w:val="auto"/>
              </w:rPr>
            </w:pPr>
            <w:r>
              <w:rPr>
                <w:rFonts w:ascii="Arial" w:cs="Arial" w:eastAsia="Arial" w:hAnsi="Arial"/>
                <w:sz w:val="18"/>
                <w:szCs w:val="18"/>
                <w:color w:val="auto"/>
              </w:rPr>
              <w:t>April 23, 2019</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400" w:type="dxa"/>
            <w:vAlign w:val="bottom"/>
          </w:tcPr>
          <w:p>
            <w:pPr>
              <w:ind w:left="220"/>
              <w:spacing w:after="0"/>
              <w:rPr>
                <w:sz w:val="20"/>
                <w:szCs w:val="20"/>
                <w:color w:val="auto"/>
              </w:rPr>
            </w:pPr>
            <w:r>
              <w:rPr>
                <w:rFonts w:ascii="Arial" w:cs="Arial" w:eastAsia="Arial" w:hAnsi="Arial"/>
                <w:sz w:val="18"/>
                <w:szCs w:val="18"/>
                <w:color w:val="auto"/>
              </w:rPr>
              <w:t>333-230444</w:t>
            </w:r>
          </w:p>
        </w:tc>
        <w:tc>
          <w:tcPr>
            <w:tcW w:w="1160" w:type="dxa"/>
            <w:vAlign w:val="bottom"/>
          </w:tcPr>
          <w:p>
            <w:pPr>
              <w:jc w:val="right"/>
              <w:ind w:right="576"/>
              <w:spacing w:after="0"/>
              <w:rPr>
                <w:sz w:val="20"/>
                <w:szCs w:val="20"/>
                <w:color w:val="auto"/>
              </w:rPr>
            </w:pPr>
            <w:r>
              <w:rPr>
                <w:rFonts w:ascii="Arial" w:cs="Arial" w:eastAsia="Arial" w:hAnsi="Arial"/>
                <w:sz w:val="18"/>
                <w:szCs w:val="18"/>
                <w:color w:val="auto"/>
              </w:rPr>
              <w:t>3.4</w:t>
            </w:r>
          </w:p>
        </w:tc>
        <w:tc>
          <w:tcPr>
            <w:tcW w:w="1340" w:type="dxa"/>
            <w:vAlign w:val="bottom"/>
          </w:tcPr>
          <w:p>
            <w:pPr>
              <w:ind w:left="200"/>
              <w:spacing w:after="0"/>
              <w:rPr>
                <w:sz w:val="20"/>
                <w:szCs w:val="20"/>
                <w:color w:val="auto"/>
              </w:rPr>
            </w:pPr>
            <w:r>
              <w:rPr>
                <w:rFonts w:ascii="Arial" w:cs="Arial" w:eastAsia="Arial" w:hAnsi="Arial"/>
                <w:sz w:val="18"/>
                <w:szCs w:val="18"/>
                <w:color w:val="auto"/>
              </w:rPr>
              <w:t>April 8, 2019</w:t>
            </w:r>
          </w:p>
        </w:tc>
      </w:tr>
    </w:tbl>
    <w:p>
      <w:pPr>
        <w:spacing w:after="0" w:line="4440" w:lineRule="exact"/>
        <w:rPr>
          <w:sz w:val="20"/>
          <w:szCs w:val="20"/>
          <w:color w:val="auto"/>
        </w:rPr>
      </w:pPr>
    </w:p>
    <w:p>
      <w:pPr>
        <w:sectPr>
          <w:pgSz w:w="11900" w:h="16838" w:orient="portrait"/>
          <w:cols w:equalWidth="0" w:num="2">
            <w:col w:w="5820" w:space="180"/>
            <w:col w:w="5240"/>
          </w:cols>
          <w:pgMar w:left="320" w:top="125" w:right="339" w:bottom="1440" w:gutter="0" w:footer="0" w:header="0"/>
        </w:sect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660" w:hanging="652"/>
        <w:spacing w:after="0" w:line="255" w:lineRule="auto"/>
        <w:tabs>
          <w:tab w:leader="none" w:pos="3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160" w:type="dxa"/>
            <w:vAlign w:val="bottom"/>
            <w:gridSpan w:val="2"/>
          </w:tcPr>
          <w:p>
            <w:pPr>
              <w:ind w:left="270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4040" w:type="dxa"/>
            <w:vAlign w:val="bottom"/>
          </w:tcPr>
          <w:p>
            <w:pPr>
              <w:spacing w:after="0"/>
              <w:rPr>
                <w:sz w:val="20"/>
                <w:szCs w:val="20"/>
                <w:color w:val="auto"/>
              </w:rPr>
            </w:pPr>
            <w:r>
              <w:rPr>
                <w:rFonts w:ascii="Arial" w:cs="Arial" w:eastAsia="Arial" w:hAnsi="Arial"/>
                <w:sz w:val="18"/>
                <w:szCs w:val="18"/>
                <w:color w:val="auto"/>
              </w:rPr>
              <w:t>Date: June 2, 2021</w:t>
            </w:r>
          </w:p>
        </w:tc>
        <w:tc>
          <w:tcPr>
            <w:tcW w:w="3220" w:type="dxa"/>
            <w:vAlign w:val="bottom"/>
          </w:tcPr>
          <w:p>
            <w:pPr>
              <w:ind w:left="270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 Yuan</w:t>
            </w:r>
          </w:p>
        </w:tc>
      </w:tr>
      <w:tr>
        <w:trPr>
          <w:trHeight w:val="222"/>
        </w:trPr>
        <w:tc>
          <w:tcPr>
            <w:tcW w:w="40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Eric S. Yuan</w:t>
            </w:r>
          </w:p>
        </w:tc>
      </w:tr>
      <w:tr>
        <w:trPr>
          <w:trHeight w:val="229"/>
        </w:trPr>
        <w:tc>
          <w:tcPr>
            <w:tcW w:w="40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4040" w:type="dxa"/>
            <w:vAlign w:val="bottom"/>
          </w:tcPr>
          <w:p>
            <w:pPr>
              <w:spacing w:after="0"/>
              <w:rPr>
                <w:sz w:val="20"/>
                <w:szCs w:val="20"/>
                <w:color w:val="auto"/>
              </w:rPr>
            </w:pPr>
            <w:r>
              <w:rPr>
                <w:rFonts w:ascii="Arial" w:cs="Arial" w:eastAsia="Arial" w:hAnsi="Arial"/>
                <w:sz w:val="18"/>
                <w:szCs w:val="18"/>
                <w:color w:val="auto"/>
              </w:rPr>
              <w:t>Date: June 2, 2021</w:t>
            </w:r>
          </w:p>
        </w:tc>
        <w:tc>
          <w:tcPr>
            <w:tcW w:w="3220" w:type="dxa"/>
            <w:vAlign w:val="bottom"/>
          </w:tcPr>
          <w:p>
            <w:pPr>
              <w:ind w:left="270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Steckelberg</w:t>
            </w:r>
          </w:p>
        </w:tc>
      </w:tr>
      <w:tr>
        <w:trPr>
          <w:trHeight w:val="222"/>
        </w:trPr>
        <w:tc>
          <w:tcPr>
            <w:tcW w:w="40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Kelly Steckelberg</w:t>
            </w:r>
          </w:p>
        </w:tc>
      </w:tr>
      <w:tr>
        <w:trPr>
          <w:trHeight w:val="230"/>
        </w:trPr>
        <w:tc>
          <w:tcPr>
            <w:tcW w:w="40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0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60" w:type="dxa"/>
            <w:vAlign w:val="bottom"/>
          </w:tcPr>
          <w:p>
            <w:pPr>
              <w:ind w:left="65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 Yuan</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Date: June 2, 2021</w:t>
            </w:r>
          </w:p>
        </w:tc>
        <w:tc>
          <w:tcPr>
            <w:tcW w:w="3940" w:type="dxa"/>
            <w:vAlign w:val="bottom"/>
          </w:tcPr>
          <w:p>
            <w:pPr>
              <w:spacing w:after="0"/>
              <w:rPr>
                <w:sz w:val="20"/>
                <w:szCs w:val="20"/>
                <w:color w:val="auto"/>
              </w:rPr>
            </w:pPr>
            <w:r>
              <w:rPr>
                <w:rFonts w:ascii="Arial" w:cs="Arial" w:eastAsia="Arial" w:hAnsi="Arial"/>
                <w:sz w:val="18"/>
                <w:szCs w:val="18"/>
                <w:color w:val="auto"/>
              </w:rPr>
              <w:t>Eric S. Yuan</w:t>
            </w:r>
          </w:p>
        </w:tc>
      </w:tr>
      <w:tr>
        <w:trPr>
          <w:trHeight w:val="229"/>
        </w:trPr>
        <w:tc>
          <w:tcPr>
            <w:tcW w:w="72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ZOOM VIDEO COMMUNICATIONS,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40" w:type="dxa"/>
            <w:vAlign w:val="bottom"/>
          </w:tcPr>
          <w:p>
            <w:pPr>
              <w:ind w:left="67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Kelly Steckelberg</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Date: June 2, 2021</w:t>
            </w:r>
          </w:p>
        </w:tc>
        <w:tc>
          <w:tcPr>
            <w:tcW w:w="3940" w:type="dxa"/>
            <w:vAlign w:val="bottom"/>
          </w:tcPr>
          <w:p>
            <w:pPr>
              <w:ind w:left="20"/>
              <w:spacing w:after="0"/>
              <w:rPr>
                <w:sz w:val="20"/>
                <w:szCs w:val="20"/>
                <w:color w:val="auto"/>
              </w:rPr>
            </w:pPr>
            <w:r>
              <w:rPr>
                <w:rFonts w:ascii="Arial" w:cs="Arial" w:eastAsia="Arial" w:hAnsi="Arial"/>
                <w:sz w:val="18"/>
                <w:szCs w:val="18"/>
                <w:color w:val="auto"/>
              </w:rPr>
              <w:t>Kelly Steckelberg</w:t>
            </w:r>
          </w:p>
        </w:tc>
      </w:tr>
      <w:tr>
        <w:trPr>
          <w:trHeight w:val="229"/>
        </w:trPr>
        <w:tc>
          <w:tcPr>
            <w:tcW w:w="72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2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066" w:right="339"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Eric S. Yuan, certify, pursuant to 18 U.S.C. Section 1350, as adopted pursuant to Section 906 of the Sarbanes-Oxley Act of 2002, that the Quarterly Report on Form 10-Q of Zoom Video Communications, Inc.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040" w:type="dxa"/>
            <w:vAlign w:val="bottom"/>
            <w:gridSpan w:val="2"/>
          </w:tcPr>
          <w:p>
            <w:pPr>
              <w:ind w:left="2680"/>
              <w:spacing w:after="0"/>
              <w:rPr>
                <w:sz w:val="20"/>
                <w:szCs w:val="20"/>
                <w:color w:val="auto"/>
              </w:rPr>
            </w:pPr>
            <w:r>
              <w:rPr>
                <w:rFonts w:ascii="Arial" w:cs="Arial" w:eastAsia="Arial" w:hAnsi="Arial"/>
                <w:sz w:val="18"/>
                <w:szCs w:val="18"/>
                <w:b w:val="1"/>
                <w:bCs w:val="1"/>
                <w:color w:val="auto"/>
              </w:rPr>
              <w:t>ZOOM VIDEO COMMUNICATIONS, INC.</w:t>
            </w:r>
          </w:p>
        </w:tc>
      </w:tr>
      <w:tr>
        <w:trPr>
          <w:trHeight w:val="459"/>
        </w:trPr>
        <w:tc>
          <w:tcPr>
            <w:tcW w:w="4040" w:type="dxa"/>
            <w:vAlign w:val="bottom"/>
          </w:tcPr>
          <w:p>
            <w:pPr>
              <w:spacing w:after="0"/>
              <w:rPr>
                <w:sz w:val="20"/>
                <w:szCs w:val="20"/>
                <w:color w:val="auto"/>
              </w:rPr>
            </w:pPr>
            <w:r>
              <w:rPr>
                <w:rFonts w:ascii="Arial" w:cs="Arial" w:eastAsia="Arial" w:hAnsi="Arial"/>
                <w:sz w:val="18"/>
                <w:szCs w:val="18"/>
                <w:color w:val="auto"/>
              </w:rPr>
              <w:t>Date: June 2, 2021</w:t>
            </w:r>
          </w:p>
        </w:tc>
        <w:tc>
          <w:tcPr>
            <w:tcW w:w="7040" w:type="dxa"/>
            <w:vAlign w:val="bottom"/>
            <w:gridSpan w:val="2"/>
          </w:tcPr>
          <w:p>
            <w:pPr>
              <w:ind w:left="2680"/>
              <w:spacing w:after="0"/>
              <w:rPr>
                <w:sz w:val="20"/>
                <w:szCs w:val="20"/>
                <w:color w:val="auto"/>
              </w:rPr>
            </w:pPr>
            <w:r>
              <w:rPr>
                <w:rFonts w:ascii="Arial" w:cs="Arial" w:eastAsia="Arial" w:hAnsi="Arial"/>
                <w:sz w:val="18"/>
                <w:szCs w:val="18"/>
                <w:color w:val="auto"/>
              </w:rPr>
              <w:t>By:  /s/ Eric S. Yuan</w:t>
            </w:r>
          </w:p>
        </w:tc>
      </w:tr>
      <w:tr>
        <w:trPr>
          <w:trHeight w:val="222"/>
        </w:trPr>
        <w:tc>
          <w:tcPr>
            <w:tcW w:w="40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S. Yuan</w:t>
            </w:r>
          </w:p>
        </w:tc>
      </w:tr>
      <w:tr>
        <w:trPr>
          <w:trHeight w:val="229"/>
        </w:trPr>
        <w:tc>
          <w:tcPr>
            <w:tcW w:w="40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Kelly Steckelberg, certify, pursuant to 18 U.S.C. Section 1350, as adopted pursuant to Section 906 of the Sarbanes-Oxley Act of 2002, that the Quarterly Report on Form 10-Q of Zoom Video Communications, Inc.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040" w:type="dxa"/>
            <w:vAlign w:val="bottom"/>
            <w:gridSpan w:val="2"/>
          </w:tcPr>
          <w:p>
            <w:pPr>
              <w:ind w:left="2680"/>
              <w:spacing w:after="0"/>
              <w:rPr>
                <w:sz w:val="20"/>
                <w:szCs w:val="20"/>
                <w:color w:val="auto"/>
              </w:rPr>
            </w:pPr>
            <w:r>
              <w:rPr>
                <w:rFonts w:ascii="Arial" w:cs="Arial" w:eastAsia="Arial" w:hAnsi="Arial"/>
                <w:sz w:val="18"/>
                <w:szCs w:val="18"/>
                <w:b w:val="1"/>
                <w:bCs w:val="1"/>
                <w:color w:val="auto"/>
              </w:rPr>
              <w:t>ZOOM VIDEO COMMUNICATIONS, INC.</w:t>
            </w:r>
          </w:p>
        </w:tc>
      </w:tr>
      <w:tr>
        <w:trPr>
          <w:trHeight w:val="459"/>
        </w:trPr>
        <w:tc>
          <w:tcPr>
            <w:tcW w:w="4040" w:type="dxa"/>
            <w:vAlign w:val="bottom"/>
          </w:tcPr>
          <w:p>
            <w:pPr>
              <w:spacing w:after="0"/>
              <w:rPr>
                <w:sz w:val="20"/>
                <w:szCs w:val="20"/>
                <w:color w:val="auto"/>
              </w:rPr>
            </w:pPr>
            <w:r>
              <w:rPr>
                <w:rFonts w:ascii="Arial" w:cs="Arial" w:eastAsia="Arial" w:hAnsi="Arial"/>
                <w:sz w:val="18"/>
                <w:szCs w:val="18"/>
                <w:color w:val="auto"/>
              </w:rPr>
              <w:t>Date: June 2, 2021</w:t>
            </w:r>
          </w:p>
        </w:tc>
        <w:tc>
          <w:tcPr>
            <w:tcW w:w="7040" w:type="dxa"/>
            <w:vAlign w:val="bottom"/>
            <w:gridSpan w:val="2"/>
          </w:tcPr>
          <w:p>
            <w:pPr>
              <w:ind w:left="2680"/>
              <w:spacing w:after="0"/>
              <w:rPr>
                <w:sz w:val="20"/>
                <w:szCs w:val="20"/>
                <w:color w:val="auto"/>
              </w:rPr>
            </w:pPr>
            <w:r>
              <w:rPr>
                <w:rFonts w:ascii="Arial" w:cs="Arial" w:eastAsia="Arial" w:hAnsi="Arial"/>
                <w:sz w:val="18"/>
                <w:szCs w:val="18"/>
                <w:color w:val="auto"/>
              </w:rPr>
              <w:t>By:  /s/ Kelly Steckelberg</w:t>
            </w:r>
          </w:p>
        </w:tc>
      </w:tr>
      <w:tr>
        <w:trPr>
          <w:trHeight w:val="222"/>
        </w:trPr>
        <w:tc>
          <w:tcPr>
            <w:tcW w:w="40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Steckelberg</w:t>
            </w:r>
          </w:p>
        </w:tc>
      </w:tr>
      <w:tr>
        <w:trPr>
          <w:trHeight w:val="229"/>
        </w:trPr>
        <w:tc>
          <w:tcPr>
            <w:tcW w:w="40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5" Type="http://schemas.openxmlformats.org/officeDocument/2006/relationships/hyperlink" Target="http://www.sec.gov/Archives/edgar/data/1585521/000119312519115111/d736915dex31.htm" TargetMode="External"/><Relationship Id="rId76"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2021-06-02T15:05:50Z</dcterms:created>
  <dcterms:modified xsi:type="dcterms:W3CDTF">2021-06-02T15:05:50Z</dcterms:modified>
</cp:coreProperties>
</file>