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302260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322580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line="231" w:lineRule="auto"/>
        <w:rPr>
          <w:sz w:val="20"/>
          <w:szCs w:val="20"/>
          <w:color w:val="auto"/>
        </w:rPr>
      </w:pPr>
      <w:r>
        <w:rPr>
          <w:rFonts w:ascii="Arial" w:cs="Arial" w:eastAsia="Arial" w:hAnsi="Arial"/>
          <w:sz w:val="16"/>
          <w:szCs w:val="16"/>
          <w:b w:val="1"/>
          <w:bCs w:val="1"/>
          <w:color w:val="auto"/>
        </w:rPr>
        <w:t>Washington, D.C. 20549</w:t>
      </w:r>
    </w:p>
    <w:p>
      <w:pPr>
        <w:ind w:left="376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5" w:lineRule="exact"/>
        <w:rPr>
          <w:sz w:val="24"/>
          <w:szCs w:val="24"/>
          <w:color w:val="auto"/>
        </w:rPr>
      </w:pPr>
    </w:p>
    <w:p>
      <w:pPr>
        <w:ind w:left="580" w:hanging="561"/>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April 30, 2020</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5" w:lineRule="exact"/>
        <w:rPr>
          <w:sz w:val="24"/>
          <w:szCs w:val="24"/>
          <w:color w:val="auto"/>
        </w:rPr>
      </w:pPr>
    </w:p>
    <w:p>
      <w:pPr>
        <w:ind w:left="580" w:hanging="561"/>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80"/>
          </w:cols>
          <w:pgMar w:left="300" w:top="214" w:right="319" w:bottom="1440" w:gutter="0" w:footer="0" w:header="0"/>
        </w:sectPr>
      </w:pPr>
    </w:p>
    <w:p>
      <w:pPr>
        <w:spacing w:after="0" w:line="119"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1" w:lineRule="exact"/>
        <w:rPr>
          <w:sz w:val="24"/>
          <w:szCs w:val="24"/>
          <w:color w:val="auto"/>
        </w:rPr>
      </w:pPr>
    </w:p>
    <w:p>
      <w:pPr>
        <w:sectPr>
          <w:pgSz w:w="11900" w:h="16838" w:orient="portrait"/>
          <w:cols w:equalWidth="0" w:num="2">
            <w:col w:w="6560" w:space="600"/>
            <w:col w:w="4120"/>
          </w:cols>
          <w:pgMar w:left="300" w:top="214" w:right="31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Commission File Number 001-38865</w:t>
      </w:r>
    </w:p>
    <w:p>
      <w:pPr>
        <w:spacing w:after="0" w:line="18" w:lineRule="exact"/>
        <w:rPr>
          <w:sz w:val="24"/>
          <w:szCs w:val="24"/>
          <w:color w:val="auto"/>
        </w:rPr>
      </w:pPr>
    </w:p>
    <w:p>
      <w:pPr>
        <w:ind w:left="376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Zoom Video Communications, Inc.</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ectPr>
          <w:pgSz w:w="11900" w:h="16838" w:orient="portrait"/>
          <w:cols w:equalWidth="0" w:num="1">
            <w:col w:w="11280"/>
          </w:cols>
          <w:pgMar w:left="300" w:top="214" w:right="319" w:bottom="1440" w:gutter="0" w:footer="0" w:header="0"/>
          <w:type w:val="continuous"/>
        </w:sectPr>
      </w:pPr>
    </w:p>
    <w:p>
      <w:pPr>
        <w:spacing w:after="0" w:line="34" w:lineRule="exact"/>
        <w:rPr>
          <w:sz w:val="24"/>
          <w:szCs w:val="24"/>
          <w:color w:val="auto"/>
        </w:rPr>
      </w:pPr>
    </w:p>
    <w:p>
      <w:pPr>
        <w:ind w:left="25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61-1648780</w:t>
      </w:r>
    </w:p>
    <w:p>
      <w:pPr>
        <w:spacing w:after="0" w:line="72" w:lineRule="exact"/>
        <w:rPr>
          <w:sz w:val="24"/>
          <w:szCs w:val="24"/>
          <w:color w:val="auto"/>
        </w:rPr>
      </w:pPr>
    </w:p>
    <w:p>
      <w:pPr>
        <w:sectPr>
          <w:pgSz w:w="11900" w:h="16838" w:orient="portrait"/>
          <w:cols w:equalWidth="0" w:num="2">
            <w:col w:w="7400" w:space="720"/>
            <w:col w:w="3160"/>
          </w:cols>
          <w:pgMar w:left="300" w:top="214" w:right="319" w:bottom="1440" w:gutter="0" w:footer="0" w:header="0"/>
          <w:type w:val="continuous"/>
        </w:sectPr>
      </w:pPr>
    </w:p>
    <w:p>
      <w:pPr>
        <w:jc w:val="center"/>
        <w:ind w:right="1620"/>
        <w:spacing w:after="0"/>
        <w:rPr>
          <w:sz w:val="20"/>
          <w:szCs w:val="20"/>
          <w:color w:val="auto"/>
        </w:rPr>
      </w:pPr>
      <w:r>
        <w:rPr>
          <w:rFonts w:ascii="Arial" w:cs="Arial" w:eastAsia="Arial" w:hAnsi="Arial"/>
          <w:sz w:val="11"/>
          <w:szCs w:val="11"/>
          <w:b w:val="1"/>
          <w:bCs w:val="1"/>
          <w:color w:val="auto"/>
        </w:rPr>
        <w:t>(State or other jurisdiction</w:t>
      </w:r>
    </w:p>
    <w:p>
      <w:pPr>
        <w:spacing w:after="0" w:line="2" w:lineRule="exact"/>
        <w:rPr>
          <w:sz w:val="24"/>
          <w:szCs w:val="24"/>
          <w:color w:val="auto"/>
        </w:rPr>
      </w:pPr>
    </w:p>
    <w:p>
      <w:pPr>
        <w:jc w:val="center"/>
        <w:ind w:right="1620"/>
        <w:spacing w:after="0"/>
        <w:rPr>
          <w:sz w:val="20"/>
          <w:szCs w:val="20"/>
          <w:color w:val="auto"/>
        </w:rPr>
      </w:pPr>
      <w:r>
        <w:rPr>
          <w:rFonts w:ascii="Arial" w:cs="Arial" w:eastAsia="Arial" w:hAnsi="Arial"/>
          <w:sz w:val="10"/>
          <w:szCs w:val="10"/>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98" w:lineRule="exact"/>
        <w:rPr>
          <w:sz w:val="24"/>
          <w:szCs w:val="24"/>
          <w:color w:val="auto"/>
        </w:rPr>
      </w:pPr>
    </w:p>
    <w:p>
      <w:pPr>
        <w:sectPr>
          <w:pgSz w:w="11900" w:h="16838" w:orient="portrait"/>
          <w:cols w:equalWidth="0" w:num="2">
            <w:col w:w="7300" w:space="720"/>
            <w:col w:w="3260"/>
          </w:cols>
          <w:pgMar w:left="300" w:top="214" w:right="319" w:bottom="1440" w:gutter="0" w:footer="0" w:header="0"/>
          <w:type w:val="continuous"/>
        </w:sectPr>
      </w:pPr>
    </w:p>
    <w:p>
      <w:pPr>
        <w:ind w:left="4640"/>
        <w:spacing w:after="0"/>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San Jose, California 95113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b w:val="1"/>
          <w:bCs w:val="1"/>
          <w:i w:val="1"/>
          <w:iCs w:val="1"/>
          <w:color w:val="auto"/>
        </w:rPr>
        <w:t>(Address of principal executive offices and Zip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(888) 799-9666</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1"/>
          <w:szCs w:val="11"/>
          <w:b w:val="1"/>
          <w:bCs w:val="1"/>
          <w:i w:val="1"/>
          <w:iCs w:val="1"/>
          <w:color w:val="auto"/>
        </w:rPr>
        <w:t>(Registrant’s telephone number, including area code)</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700" w:type="dxa"/>
            <w:vAlign w:val="bottom"/>
            <w:gridSpan w:val="5"/>
          </w:tcPr>
          <w:p>
            <w:pPr>
              <w:jc w:val="center"/>
              <w:ind w:right="4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720" w:type="dxa"/>
            <w:vAlign w:val="bottom"/>
          </w:tcPr>
          <w:p>
            <w:pPr>
              <w:spacing w:after="0"/>
              <w:rPr>
                <w:sz w:val="14"/>
                <w:szCs w:val="14"/>
                <w:color w:val="auto"/>
              </w:rPr>
            </w:pPr>
          </w:p>
        </w:tc>
      </w:tr>
      <w:tr>
        <w:trPr>
          <w:trHeight w:val="191"/>
        </w:trPr>
        <w:tc>
          <w:tcPr>
            <w:tcW w:w="3820" w:type="dxa"/>
            <w:vAlign w:val="bottom"/>
          </w:tcPr>
          <w:p>
            <w:pPr>
              <w:jc w:val="center"/>
              <w:ind w:left="436"/>
              <w:spacing w:after="0"/>
              <w:rPr>
                <w:sz w:val="20"/>
                <w:szCs w:val="20"/>
                <w:color w:val="auto"/>
              </w:rPr>
            </w:pPr>
            <w:r>
              <w:rPr>
                <w:rFonts w:ascii="Arial" w:cs="Arial" w:eastAsia="Arial" w:hAnsi="Arial"/>
                <w:sz w:val="13"/>
                <w:szCs w:val="13"/>
                <w:b w:val="1"/>
                <w:bCs w:val="1"/>
                <w:color w:val="auto"/>
                <w:w w:val="85"/>
              </w:rPr>
              <w:t>Title of each class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9"/>
              </w:rPr>
              <w:t>Trading Symbol(s)</w:t>
            </w:r>
          </w:p>
        </w:tc>
        <w:tc>
          <w:tcPr>
            <w:tcW w:w="3720" w:type="dxa"/>
            <w:vAlign w:val="bottom"/>
          </w:tcPr>
          <w:p>
            <w:pPr>
              <w:jc w:val="center"/>
              <w:ind w:right="456"/>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6"/>
        </w:trPr>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67"/>
        </w:trPr>
        <w:tc>
          <w:tcPr>
            <w:tcW w:w="3820" w:type="dxa"/>
            <w:vAlign w:val="bottom"/>
          </w:tcPr>
          <w:p>
            <w:pPr>
              <w:jc w:val="center"/>
              <w:ind w:left="436"/>
              <w:spacing w:after="0"/>
              <w:rPr>
                <w:sz w:val="20"/>
                <w:szCs w:val="20"/>
                <w:color w:val="auto"/>
              </w:rPr>
            </w:pPr>
            <w:r>
              <w:rPr>
                <w:rFonts w:ascii="Arial" w:cs="Arial" w:eastAsia="Arial" w:hAnsi="Arial"/>
                <w:sz w:val="13"/>
                <w:szCs w:val="13"/>
                <w:color w:val="auto"/>
                <w:w w:val="88"/>
              </w:rPr>
              <w:t>Class A Common Stock, $0.001 par value 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620"/>
              <w:spacing w:after="0"/>
              <w:rPr>
                <w:sz w:val="20"/>
                <w:szCs w:val="20"/>
                <w:color w:val="auto"/>
              </w:rPr>
            </w:pPr>
            <w:r>
              <w:rPr>
                <w:rFonts w:ascii="Arial" w:cs="Arial" w:eastAsia="Arial" w:hAnsi="Arial"/>
                <w:sz w:val="13"/>
                <w:szCs w:val="13"/>
                <w:color w:val="auto"/>
                <w:w w:val="95"/>
              </w:rPr>
              <w:t>ZM</w:t>
            </w:r>
          </w:p>
        </w:tc>
        <w:tc>
          <w:tcPr>
            <w:tcW w:w="3720" w:type="dxa"/>
            <w:vAlign w:val="bottom"/>
          </w:tcPr>
          <w:p>
            <w:pPr>
              <w:jc w:val="center"/>
              <w:ind w:right="456"/>
              <w:spacing w:after="0"/>
              <w:rPr>
                <w:sz w:val="20"/>
                <w:szCs w:val="20"/>
                <w:color w:val="auto"/>
              </w:rPr>
            </w:pPr>
            <w:r>
              <w:rPr>
                <w:rFonts w:ascii="Arial" w:cs="Arial" w:eastAsia="Arial" w:hAnsi="Arial"/>
                <w:sz w:val="13"/>
                <w:szCs w:val="13"/>
                <w:color w:val="auto"/>
                <w:w w:val="88"/>
              </w:rPr>
              <w:t>The Nasdaq Global Select Market</w:t>
            </w:r>
          </w:p>
        </w:tc>
      </w:tr>
    </w:tbl>
    <w:p>
      <w:pPr>
        <w:spacing w:after="0" w:line="104"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2020" w:type="dxa"/>
            <w:vAlign w:val="bottom"/>
          </w:tcPr>
          <w:p>
            <w:pPr>
              <w:spacing w:after="0"/>
              <w:rPr>
                <w:sz w:val="20"/>
                <w:szCs w:val="20"/>
                <w:color w:val="auto"/>
              </w:rPr>
            </w:pPr>
            <w:r>
              <w:rPr>
                <w:rFonts w:ascii="Arial" w:cs="Arial" w:eastAsia="Arial" w:hAnsi="Arial"/>
                <w:sz w:val="13"/>
                <w:szCs w:val="13"/>
                <w:color w:val="auto"/>
              </w:rPr>
              <w:t>Non-accelerated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20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85"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tabs>
          <w:tab w:leader="none" w:pos="5900" w:val="left"/>
          <w:tab w:leader="none" w:pos="63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As of May 22, 2020, the number of shares of the registrant’s Class A common stock outstanding was 182,105,837 and the number of shares of the registrant’s Class B common stock outstanding was 99,997,149.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671830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52070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780" w:type="dxa"/>
            <w:vAlign w:val="bottom"/>
            <w:gridSpan w:val="1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4"/>
        </w:trPr>
        <w:tc>
          <w:tcPr>
            <w:tcW w:w="9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40" w:type="dxa"/>
            <w:vAlign w:val="bottom"/>
            <w:gridSpan w:val="10"/>
          </w:tcPr>
          <w:p>
            <w:pPr>
              <w:jc w:val="center"/>
              <w:ind w:right="3020"/>
              <w:spacing w:after="0"/>
              <w:rPr>
                <w:sz w:val="20"/>
                <w:szCs w:val="20"/>
                <w:color w:val="auto"/>
              </w:rPr>
            </w:pPr>
            <w:r>
              <w:rPr>
                <w:rFonts w:ascii="Arial" w:cs="Arial" w:eastAsia="Arial" w:hAnsi="Arial"/>
                <w:sz w:val="14"/>
                <w:szCs w:val="14"/>
                <w:b w:val="1"/>
                <w:bCs w:val="1"/>
                <w:color w:val="auto"/>
                <w:w w:val="91"/>
              </w:rPr>
              <w:t>Zoom Video Communications, Inc.</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40" w:type="dxa"/>
            <w:vAlign w:val="bottom"/>
            <w:gridSpan w:val="10"/>
          </w:tcPr>
          <w:p>
            <w:pPr>
              <w:jc w:val="center"/>
              <w:ind w:right="3040"/>
              <w:spacing w:after="0"/>
              <w:rPr>
                <w:sz w:val="20"/>
                <w:szCs w:val="20"/>
                <w:color w:val="auto"/>
              </w:rPr>
            </w:pPr>
            <w:r>
              <w:rPr>
                <w:rFonts w:ascii="Arial" w:cs="Arial" w:eastAsia="Arial" w:hAnsi="Arial"/>
                <w:sz w:val="14"/>
                <w:szCs w:val="14"/>
                <w:b w:val="1"/>
                <w:bCs w:val="1"/>
                <w:color w:val="auto"/>
                <w:w w:val="95"/>
              </w:rPr>
              <w:t>Quarterly Report on Form 10-Q</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80" w:type="dxa"/>
            <w:vAlign w:val="bottom"/>
            <w:gridSpan w:val="12"/>
          </w:tcPr>
          <w:p>
            <w:pPr>
              <w:jc w:val="center"/>
              <w:ind w:left="429"/>
              <w:spacing w:after="0"/>
              <w:rPr>
                <w:sz w:val="20"/>
                <w:szCs w:val="20"/>
                <w:color w:val="auto"/>
              </w:rPr>
            </w:pPr>
            <w:r>
              <w:rPr>
                <w:rFonts w:ascii="Arial" w:cs="Arial" w:eastAsia="Arial" w:hAnsi="Arial"/>
                <w:sz w:val="14"/>
                <w:szCs w:val="14"/>
                <w:b w:val="1"/>
                <w:bCs w:val="1"/>
                <w:color w:val="auto"/>
                <w:w w:val="94"/>
              </w:rPr>
              <w:t>For the Quarterly Period Ended April 30, 2020</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40" w:type="dxa"/>
            <w:vAlign w:val="bottom"/>
            <w:gridSpan w:val="10"/>
          </w:tcPr>
          <w:p>
            <w:pPr>
              <w:jc w:val="center"/>
              <w:ind w:right="3040"/>
              <w:spacing w:after="0"/>
              <w:rPr>
                <w:sz w:val="20"/>
                <w:szCs w:val="20"/>
                <w:color w:val="auto"/>
              </w:rPr>
            </w:pPr>
            <w:r>
              <w:rPr>
                <w:rFonts w:ascii="Arial" w:cs="Arial" w:eastAsia="Arial" w:hAnsi="Arial"/>
                <w:sz w:val="14"/>
                <w:szCs w:val="14"/>
                <w:b w:val="1"/>
                <w:bCs w:val="1"/>
                <w:color w:val="auto"/>
              </w:rPr>
              <w:t>TABLE OF CONTENTS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gridSpan w:val="2"/>
          </w:tcPr>
          <w:p>
            <w:pPr>
              <w:ind w:left="5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8860" w:type="dxa"/>
            <w:vAlign w:val="bottom"/>
            <w:gridSpan w:val="13"/>
            <w:vMerge w:val="restart"/>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PART I – Financial Information</w:t>
              </w:r>
            </w:hyperlink>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8860" w:type="dxa"/>
            <w:vAlign w:val="bottom"/>
            <w:gridSpan w:val="13"/>
            <w:vMerge w:val="continue"/>
          </w:tcPr>
          <w:p>
            <w:pPr>
              <w:spacing w:after="0"/>
              <w:rPr>
                <w:sz w:val="14"/>
                <w:szCs w:val="14"/>
                <w:color w:val="auto"/>
              </w:rPr>
            </w:pPr>
          </w:p>
        </w:tc>
        <w:tc>
          <w:tcPr>
            <w:tcW w:w="1420" w:type="dxa"/>
            <w:vAlign w:val="bottom"/>
          </w:tcPr>
          <w:p>
            <w:pPr>
              <w:jc w:val="center"/>
              <w:spacing w:after="0"/>
              <w:rPr>
                <w:rFonts w:ascii="Arial" w:cs="Arial" w:eastAsia="Arial" w:hAnsi="Arial"/>
                <w:sz w:val="14"/>
                <w:szCs w:val="14"/>
                <w:color w:val="auto"/>
                <w:w w:val="76"/>
              </w:rPr>
            </w:pPr>
            <w:hyperlink w:anchor="page3">
              <w:r>
                <w:rPr>
                  <w:rFonts w:ascii="Arial" w:cs="Arial" w:eastAsia="Arial" w:hAnsi="Arial"/>
                  <w:sz w:val="14"/>
                  <w:szCs w:val="14"/>
                  <w:color w:val="auto"/>
                  <w:w w:val="76"/>
                </w:rPr>
                <w:t>4</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rFonts w:ascii="Arial" w:cs="Arial" w:eastAsia="Arial" w:hAnsi="Arial"/>
                <w:sz w:val="14"/>
                <w:szCs w:val="14"/>
                <w:color w:val="auto"/>
              </w:rPr>
            </w:pPr>
            <w:hyperlink w:anchor="page4">
              <w:r>
                <w:rPr>
                  <w:rFonts w:ascii="Arial" w:cs="Arial" w:eastAsia="Arial" w:hAnsi="Arial"/>
                  <w:sz w:val="14"/>
                  <w:szCs w:val="14"/>
                  <w:color w:val="auto"/>
                </w:rPr>
                <w:t>Item 1.</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Financial Statements (Unaudited)</w:t>
              </w:r>
            </w:hyperlink>
          </w:p>
        </w:tc>
        <w:tc>
          <w:tcPr>
            <w:tcW w:w="1420" w:type="dxa"/>
            <w:vAlign w:val="bottom"/>
          </w:tcPr>
          <w:p>
            <w:pPr>
              <w:jc w:val="center"/>
              <w:spacing w:after="0"/>
              <w:rPr>
                <w:rFonts w:ascii="Arial" w:cs="Arial" w:eastAsia="Arial" w:hAnsi="Arial"/>
                <w:sz w:val="14"/>
                <w:szCs w:val="14"/>
                <w:color w:val="auto"/>
                <w:w w:val="76"/>
              </w:rPr>
            </w:pPr>
            <w:hyperlink w:anchor="page4">
              <w:r>
                <w:rPr>
                  <w:rFonts w:ascii="Arial" w:cs="Arial" w:eastAsia="Arial" w:hAnsi="Arial"/>
                  <w:sz w:val="14"/>
                  <w:szCs w:val="14"/>
                  <w:color w:val="auto"/>
                  <w:w w:val="76"/>
                </w:rPr>
                <w:t>4</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8860" w:type="dxa"/>
            <w:vAlign w:val="bottom"/>
            <w:gridSpan w:val="13"/>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Condensed Consolidated Balance Sheets as of April 30, 2020 and January 31, 2020</w:t>
              </w:r>
            </w:hyperlink>
          </w:p>
        </w:tc>
        <w:tc>
          <w:tcPr>
            <w:tcW w:w="1420" w:type="dxa"/>
            <w:vAlign w:val="bottom"/>
          </w:tcPr>
          <w:p>
            <w:pPr>
              <w:jc w:val="center"/>
              <w:spacing w:after="0"/>
              <w:rPr>
                <w:rFonts w:ascii="Arial" w:cs="Arial" w:eastAsia="Arial" w:hAnsi="Arial"/>
                <w:sz w:val="14"/>
                <w:szCs w:val="14"/>
                <w:color w:val="auto"/>
                <w:w w:val="76"/>
              </w:rPr>
            </w:pPr>
            <w:hyperlink w:anchor="page4">
              <w:r>
                <w:rPr>
                  <w:rFonts w:ascii="Arial" w:cs="Arial" w:eastAsia="Arial" w:hAnsi="Arial"/>
                  <w:sz w:val="14"/>
                  <w:szCs w:val="14"/>
                  <w:color w:val="auto"/>
                  <w:w w:val="76"/>
                </w:rPr>
                <w:t>4</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8860" w:type="dxa"/>
            <w:vAlign w:val="bottom"/>
            <w:gridSpan w:val="13"/>
          </w:tcPr>
          <w:p>
            <w:pPr>
              <w:spacing w:after="0"/>
              <w:rPr>
                <w:rFonts w:ascii="Arial" w:cs="Arial" w:eastAsia="Arial" w:hAnsi="Arial"/>
                <w:sz w:val="14"/>
                <w:szCs w:val="14"/>
                <w:color w:val="0000FF"/>
              </w:rPr>
            </w:pPr>
            <w:hyperlink w:anchor="page4">
              <w:r>
                <w:rPr>
                  <w:rFonts w:ascii="Arial" w:cs="Arial" w:eastAsia="Arial" w:hAnsi="Arial"/>
                  <w:sz w:val="14"/>
                  <w:szCs w:val="14"/>
                  <w:u w:val="single" w:color="auto"/>
                  <w:color w:val="0000FF"/>
                </w:rPr>
                <w:t>Condensed Consolidated Statements of Operations for the</w:t>
              </w:r>
              <w:r>
                <w:rPr>
                  <w:rFonts w:ascii="Arial" w:cs="Arial" w:eastAsia="Arial" w:hAnsi="Arial"/>
                  <w:sz w:val="14"/>
                  <w:szCs w:val="14"/>
                  <w:color w:val="0000FF"/>
                </w:rPr>
                <w:t xml:space="preserve"> Three Months Ended </w:t>
              </w:r>
              <w:r>
                <w:rPr>
                  <w:rFonts w:ascii="Arial" w:cs="Arial" w:eastAsia="Arial" w:hAnsi="Arial"/>
                  <w:sz w:val="14"/>
                  <w:szCs w:val="14"/>
                  <w:u w:val="single" w:color="auto"/>
                  <w:color w:val="0000FF"/>
                </w:rPr>
                <w:t>April 30, 2020</w:t>
              </w:r>
              <w:r>
                <w:rPr>
                  <w:rFonts w:ascii="Arial" w:cs="Arial" w:eastAsia="Arial" w:hAnsi="Arial"/>
                  <w:sz w:val="14"/>
                  <w:szCs w:val="14"/>
                  <w:color w:val="0000FF"/>
                </w:rPr>
                <w:t xml:space="preserve"> and 2019</w:t>
              </w:r>
            </w:hyperlink>
          </w:p>
        </w:tc>
        <w:tc>
          <w:tcPr>
            <w:tcW w:w="1420" w:type="dxa"/>
            <w:vAlign w:val="bottom"/>
          </w:tcPr>
          <w:p>
            <w:pPr>
              <w:jc w:val="center"/>
              <w:spacing w:after="0"/>
              <w:rPr>
                <w:rFonts w:ascii="Arial" w:cs="Arial" w:eastAsia="Arial" w:hAnsi="Arial"/>
                <w:sz w:val="14"/>
                <w:szCs w:val="14"/>
                <w:color w:val="auto"/>
                <w:w w:val="76"/>
              </w:rPr>
            </w:pPr>
            <w:hyperlink w:anchor="page4">
              <w:r>
                <w:rPr>
                  <w:rFonts w:ascii="Arial" w:cs="Arial" w:eastAsia="Arial" w:hAnsi="Arial"/>
                  <w:sz w:val="14"/>
                  <w:szCs w:val="14"/>
                  <w:color w:val="auto"/>
                  <w:w w:val="76"/>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20" w:type="dxa"/>
            <w:vAlign w:val="bottom"/>
          </w:tcPr>
          <w:p>
            <w:pPr>
              <w:spacing w:after="0"/>
              <w:rPr>
                <w:sz w:val="24"/>
                <w:szCs w:val="24"/>
                <w:color w:val="auto"/>
              </w:rPr>
            </w:pPr>
          </w:p>
        </w:tc>
        <w:tc>
          <w:tcPr>
            <w:tcW w:w="8860" w:type="dxa"/>
            <w:vAlign w:val="bottom"/>
            <w:gridSpan w:val="13"/>
          </w:tcPr>
          <w:p>
            <w:pPr>
              <w:spacing w:after="0"/>
              <w:rPr>
                <w:rFonts w:ascii="Arial" w:cs="Arial" w:eastAsia="Arial" w:hAnsi="Arial"/>
                <w:sz w:val="14"/>
                <w:szCs w:val="14"/>
                <w:color w:val="0000FF"/>
              </w:rPr>
            </w:pPr>
            <w:hyperlink w:anchor="page5">
              <w:r>
                <w:rPr>
                  <w:rFonts w:ascii="Arial" w:cs="Arial" w:eastAsia="Arial" w:hAnsi="Arial"/>
                  <w:sz w:val="14"/>
                  <w:szCs w:val="14"/>
                  <w:u w:val="single" w:color="auto"/>
                  <w:color w:val="0000FF"/>
                </w:rPr>
                <w:t>Condensed Consolidated Statements of Comprehensive Income</w:t>
              </w:r>
              <w:r>
                <w:rPr>
                  <w:rFonts w:ascii="Arial" w:cs="Arial" w:eastAsia="Arial" w:hAnsi="Arial"/>
                  <w:sz w:val="14"/>
                  <w:szCs w:val="14"/>
                  <w:color w:val="0000FF"/>
                </w:rPr>
                <w:t xml:space="preserve"> for the Three Months Ended </w:t>
              </w:r>
              <w:r>
                <w:rPr>
                  <w:rFonts w:ascii="Arial" w:cs="Arial" w:eastAsia="Arial" w:hAnsi="Arial"/>
                  <w:sz w:val="14"/>
                  <w:szCs w:val="14"/>
                  <w:u w:val="single" w:color="auto"/>
                  <w:color w:val="0000FF"/>
                </w:rPr>
                <w:t>April 30, 2020</w:t>
              </w:r>
              <w:r>
                <w:rPr>
                  <w:rFonts w:ascii="Arial" w:cs="Arial" w:eastAsia="Arial" w:hAnsi="Arial"/>
                  <w:sz w:val="14"/>
                  <w:szCs w:val="14"/>
                  <w:color w:val="0000FF"/>
                </w:rPr>
                <w:t xml:space="preserve"> and 2019</w:t>
              </w:r>
            </w:hyperlink>
          </w:p>
        </w:tc>
        <w:tc>
          <w:tcPr>
            <w:tcW w:w="1420" w:type="dxa"/>
            <w:vAlign w:val="bottom"/>
          </w:tcPr>
          <w:p>
            <w:pPr>
              <w:jc w:val="center"/>
              <w:spacing w:after="0"/>
              <w:rPr>
                <w:rFonts w:ascii="Arial" w:cs="Arial" w:eastAsia="Arial" w:hAnsi="Arial"/>
                <w:sz w:val="14"/>
                <w:szCs w:val="14"/>
                <w:color w:val="auto"/>
                <w:w w:val="76"/>
              </w:rPr>
            </w:pPr>
            <w:hyperlink w:anchor="page5">
              <w:r>
                <w:rPr>
                  <w:rFonts w:ascii="Arial" w:cs="Arial" w:eastAsia="Arial" w:hAnsi="Arial"/>
                  <w:sz w:val="14"/>
                  <w:szCs w:val="14"/>
                  <w:color w:val="auto"/>
                  <w:w w:val="76"/>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20" w:type="dxa"/>
            <w:vAlign w:val="bottom"/>
          </w:tcPr>
          <w:p>
            <w:pPr>
              <w:spacing w:after="0"/>
              <w:rPr>
                <w:sz w:val="24"/>
                <w:szCs w:val="24"/>
                <w:color w:val="auto"/>
              </w:rPr>
            </w:pPr>
          </w:p>
        </w:tc>
        <w:tc>
          <w:tcPr>
            <w:tcW w:w="8860" w:type="dxa"/>
            <w:vAlign w:val="bottom"/>
            <w:gridSpan w:val="13"/>
          </w:tcPr>
          <w:p>
            <w:pPr>
              <w:spacing w:after="0"/>
              <w:rPr>
                <w:rFonts w:ascii="Arial" w:cs="Arial" w:eastAsia="Arial" w:hAnsi="Arial"/>
                <w:sz w:val="14"/>
                <w:szCs w:val="14"/>
                <w:color w:val="0000FF"/>
                <w:w w:val="95"/>
              </w:rPr>
            </w:pPr>
            <w:hyperlink w:anchor="page6">
              <w:r>
                <w:rPr>
                  <w:rFonts w:ascii="Arial" w:cs="Arial" w:eastAsia="Arial" w:hAnsi="Arial"/>
                  <w:sz w:val="14"/>
                  <w:szCs w:val="14"/>
                  <w:u w:val="single" w:color="auto"/>
                  <w:color w:val="0000FF"/>
                  <w:w w:val="95"/>
                </w:rPr>
                <w:t>Condensed Consolidated Statements of Convertible Preferred Stock and Stockholders’ Equity (Deficit)</w:t>
              </w:r>
              <w:r>
                <w:rPr>
                  <w:rFonts w:ascii="Arial" w:cs="Arial" w:eastAsia="Arial" w:hAnsi="Arial"/>
                  <w:sz w:val="14"/>
                  <w:szCs w:val="14"/>
                  <w:color w:val="0000FF"/>
                  <w:w w:val="95"/>
                </w:rPr>
                <w:t xml:space="preserve"> for the Three Months Ended </w:t>
              </w:r>
              <w:r>
                <w:rPr>
                  <w:rFonts w:ascii="Arial" w:cs="Arial" w:eastAsia="Arial" w:hAnsi="Arial"/>
                  <w:sz w:val="14"/>
                  <w:szCs w:val="14"/>
                  <w:u w:val="single" w:color="auto"/>
                  <w:color w:val="0000FF"/>
                  <w:w w:val="95"/>
                </w:rPr>
                <w:t>April 30, 2020 and</w:t>
              </w:r>
            </w:hyperlink>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3300" w:type="dxa"/>
            <w:vAlign w:val="bottom"/>
            <w:gridSpan w:val="2"/>
          </w:tcPr>
          <w:p>
            <w:pPr>
              <w:spacing w:after="0" w:line="150" w:lineRule="exact"/>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2019</w:t>
              </w:r>
            </w:hyperlink>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jc w:val="center"/>
              <w:spacing w:after="0" w:line="150" w:lineRule="exact"/>
              <w:rPr>
                <w:rFonts w:ascii="Arial" w:cs="Arial" w:eastAsia="Arial" w:hAnsi="Arial"/>
                <w:sz w:val="14"/>
                <w:szCs w:val="14"/>
                <w:color w:val="auto"/>
                <w:w w:val="76"/>
              </w:rPr>
            </w:pPr>
            <w:hyperlink w:anchor="page6">
              <w:r>
                <w:rPr>
                  <w:rFonts w:ascii="Arial" w:cs="Arial" w:eastAsia="Arial" w:hAnsi="Arial"/>
                  <w:sz w:val="14"/>
                  <w:szCs w:val="14"/>
                  <w:color w:val="auto"/>
                  <w:w w:val="76"/>
                </w:rPr>
                <w:t>7</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860" w:type="dxa"/>
            <w:vAlign w:val="bottom"/>
            <w:gridSpan w:val="13"/>
          </w:tcPr>
          <w:p>
            <w:pPr>
              <w:spacing w:after="0" w:line="149" w:lineRule="exact"/>
              <w:rPr>
                <w:rFonts w:ascii="Arial" w:cs="Arial" w:eastAsia="Arial" w:hAnsi="Arial"/>
                <w:sz w:val="14"/>
                <w:szCs w:val="14"/>
                <w:color w:val="0000FF"/>
              </w:rPr>
            </w:pPr>
            <w:hyperlink w:anchor="page7">
              <w:r>
                <w:rPr>
                  <w:rFonts w:ascii="Arial" w:cs="Arial" w:eastAsia="Arial" w:hAnsi="Arial"/>
                  <w:sz w:val="14"/>
                  <w:szCs w:val="14"/>
                  <w:color w:val="0000FF"/>
                </w:rPr>
                <w:t xml:space="preserve">Condensed Consolidated Statements of Cash Flows for the Three Months Ended </w:t>
              </w:r>
              <w:r>
                <w:rPr>
                  <w:rFonts w:ascii="Arial" w:cs="Arial" w:eastAsia="Arial" w:hAnsi="Arial"/>
                  <w:sz w:val="14"/>
                  <w:szCs w:val="14"/>
                  <w:u w:val="single" w:color="auto"/>
                  <w:color w:val="0000FF"/>
                </w:rPr>
                <w:t>April 30, 2020</w:t>
              </w:r>
              <w:r>
                <w:rPr>
                  <w:rFonts w:ascii="Arial" w:cs="Arial" w:eastAsia="Arial" w:hAnsi="Arial"/>
                  <w:sz w:val="14"/>
                  <w:szCs w:val="14"/>
                  <w:color w:val="0000FF"/>
                </w:rPr>
                <w:t xml:space="preserve"> and 2019</w:t>
              </w:r>
            </w:hyperlink>
          </w:p>
        </w:tc>
        <w:tc>
          <w:tcPr>
            <w:tcW w:w="1420" w:type="dxa"/>
            <w:vAlign w:val="bottom"/>
          </w:tcPr>
          <w:p>
            <w:pPr>
              <w:jc w:val="center"/>
              <w:spacing w:after="0" w:line="149" w:lineRule="exact"/>
              <w:rPr>
                <w:rFonts w:ascii="Arial" w:cs="Arial" w:eastAsia="Arial" w:hAnsi="Arial"/>
                <w:sz w:val="14"/>
                <w:szCs w:val="14"/>
                <w:color w:val="auto"/>
                <w:w w:val="76"/>
              </w:rPr>
            </w:pPr>
            <w:hyperlink w:anchor="page7">
              <w:r>
                <w:rPr>
                  <w:rFonts w:ascii="Arial" w:cs="Arial" w:eastAsia="Arial" w:hAnsi="Arial"/>
                  <w:sz w:val="14"/>
                  <w:szCs w:val="14"/>
                  <w:color w:val="auto"/>
                  <w:w w:val="76"/>
                </w:rPr>
                <w:t>8</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580" w:type="dxa"/>
            <w:vAlign w:val="bottom"/>
            <w:tcBorders>
              <w:top w:val="single" w:sz="8" w:color="0000FF"/>
            </w:tcBorders>
            <w:gridSpan w:val="5"/>
          </w:tcPr>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Notes to Condensed Consolidated Financial Statements</w:t>
              </w:r>
            </w:hyperlink>
          </w:p>
        </w:tc>
        <w:tc>
          <w:tcPr>
            <w:tcW w:w="820" w:type="dxa"/>
            <w:vAlign w:val="bottom"/>
            <w:gridSpan w:val="2"/>
          </w:tcPr>
          <w:p>
            <w:pPr>
              <w:spacing w:after="0"/>
              <w:rPr>
                <w:sz w:val="16"/>
                <w:szCs w:val="16"/>
                <w:color w:val="auto"/>
              </w:rPr>
            </w:pPr>
          </w:p>
        </w:tc>
        <w:tc>
          <w:tcPr>
            <w:tcW w:w="560" w:type="dxa"/>
            <w:vAlign w:val="bottom"/>
            <w:tcBorders>
              <w:top w:val="single" w:sz="8" w:color="0000FF"/>
            </w:tcBorders>
            <w:gridSpan w:val="2"/>
          </w:tcPr>
          <w:p>
            <w:pPr>
              <w:spacing w:after="0"/>
              <w:rPr>
                <w:sz w:val="16"/>
                <w:szCs w:val="16"/>
                <w:color w:val="auto"/>
              </w:rPr>
            </w:pPr>
          </w:p>
        </w:tc>
        <w:tc>
          <w:tcPr>
            <w:tcW w:w="2900" w:type="dxa"/>
            <w:vAlign w:val="bottom"/>
            <w:gridSpan w:val="4"/>
          </w:tcPr>
          <w:p>
            <w:pPr>
              <w:spacing w:after="0"/>
              <w:rPr>
                <w:sz w:val="16"/>
                <w:szCs w:val="16"/>
                <w:color w:val="auto"/>
              </w:rPr>
            </w:pPr>
          </w:p>
        </w:tc>
        <w:tc>
          <w:tcPr>
            <w:tcW w:w="1420" w:type="dxa"/>
            <w:vAlign w:val="bottom"/>
          </w:tcPr>
          <w:p>
            <w:pPr>
              <w:jc w:val="center"/>
              <w:spacing w:after="0"/>
              <w:rPr>
                <w:rFonts w:ascii="Arial" w:cs="Arial" w:eastAsia="Arial" w:hAnsi="Arial"/>
                <w:sz w:val="14"/>
                <w:szCs w:val="14"/>
                <w:color w:val="auto"/>
                <w:w w:val="89"/>
              </w:rPr>
            </w:pPr>
            <w:hyperlink w:anchor="page9">
              <w:r>
                <w:rPr>
                  <w:rFonts w:ascii="Arial" w:cs="Arial" w:eastAsia="Arial" w:hAnsi="Arial"/>
                  <w:sz w:val="14"/>
                  <w:szCs w:val="14"/>
                  <w:color w:val="auto"/>
                  <w:w w:val="89"/>
                </w:rPr>
                <w:t>10</w:t>
              </w:r>
            </w:hyperlink>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21">
              <w:r>
                <w:rPr>
                  <w:rFonts w:ascii="Arial" w:cs="Arial" w:eastAsia="Arial" w:hAnsi="Arial"/>
                  <w:sz w:val="14"/>
                  <w:szCs w:val="14"/>
                  <w:color w:val="auto"/>
                </w:rPr>
                <w:t>Item 2.</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Management’s Discussion and Analysis of Financial Condition and Results of Operations</w:t>
              </w:r>
            </w:hyperlink>
          </w:p>
        </w:tc>
        <w:tc>
          <w:tcPr>
            <w:tcW w:w="1420" w:type="dxa"/>
            <w:vAlign w:val="bottom"/>
          </w:tcPr>
          <w:p>
            <w:pPr>
              <w:jc w:val="center"/>
              <w:spacing w:after="0"/>
              <w:rPr>
                <w:rFonts w:ascii="Arial" w:cs="Arial" w:eastAsia="Arial" w:hAnsi="Arial"/>
                <w:sz w:val="14"/>
                <w:szCs w:val="14"/>
                <w:color w:val="auto"/>
                <w:w w:val="89"/>
              </w:rPr>
            </w:pPr>
            <w:hyperlink w:anchor="page21">
              <w:r>
                <w:rPr>
                  <w:rFonts w:ascii="Arial" w:cs="Arial" w:eastAsia="Arial" w:hAnsi="Arial"/>
                  <w:sz w:val="14"/>
                  <w:szCs w:val="14"/>
                  <w:color w:val="auto"/>
                  <w:w w:val="89"/>
                </w:rPr>
                <w:t>21</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30">
              <w:r>
                <w:rPr>
                  <w:rFonts w:ascii="Arial" w:cs="Arial" w:eastAsia="Arial" w:hAnsi="Arial"/>
                  <w:sz w:val="14"/>
                  <w:szCs w:val="14"/>
                  <w:color w:val="auto"/>
                </w:rPr>
                <w:t>Item 3.</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Quantitative and Qualitative Disclosures About Market Risk</w:t>
              </w:r>
            </w:hyperlink>
          </w:p>
        </w:tc>
        <w:tc>
          <w:tcPr>
            <w:tcW w:w="1420" w:type="dxa"/>
            <w:vAlign w:val="bottom"/>
          </w:tcPr>
          <w:p>
            <w:pPr>
              <w:jc w:val="center"/>
              <w:spacing w:after="0"/>
              <w:rPr>
                <w:rFonts w:ascii="Arial" w:cs="Arial" w:eastAsia="Arial" w:hAnsi="Arial"/>
                <w:sz w:val="14"/>
                <w:szCs w:val="14"/>
                <w:color w:val="auto"/>
                <w:w w:val="89"/>
              </w:rPr>
            </w:pPr>
            <w:hyperlink w:anchor="page30">
              <w:r>
                <w:rPr>
                  <w:rFonts w:ascii="Arial" w:cs="Arial" w:eastAsia="Arial" w:hAnsi="Arial"/>
                  <w:sz w:val="14"/>
                  <w:szCs w:val="14"/>
                  <w:color w:val="auto"/>
                  <w:w w:val="89"/>
                </w:rPr>
                <w:t>30</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31">
              <w:r>
                <w:rPr>
                  <w:rFonts w:ascii="Arial" w:cs="Arial" w:eastAsia="Arial" w:hAnsi="Arial"/>
                  <w:sz w:val="14"/>
                  <w:szCs w:val="14"/>
                  <w:color w:val="auto"/>
                </w:rPr>
                <w:t>Item 4.</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Controls and Procedures</w:t>
              </w:r>
            </w:hyperlink>
          </w:p>
        </w:tc>
        <w:tc>
          <w:tcPr>
            <w:tcW w:w="1420" w:type="dxa"/>
            <w:vAlign w:val="bottom"/>
          </w:tcPr>
          <w:p>
            <w:pPr>
              <w:jc w:val="center"/>
              <w:spacing w:after="0"/>
              <w:rPr>
                <w:rFonts w:ascii="Arial" w:cs="Arial" w:eastAsia="Arial" w:hAnsi="Arial"/>
                <w:sz w:val="14"/>
                <w:szCs w:val="14"/>
                <w:color w:val="auto"/>
                <w:w w:val="89"/>
              </w:rPr>
            </w:pPr>
            <w:hyperlink w:anchor="page31">
              <w:r>
                <w:rPr>
                  <w:rFonts w:ascii="Arial" w:cs="Arial" w:eastAsia="Arial" w:hAnsi="Arial"/>
                  <w:sz w:val="14"/>
                  <w:szCs w:val="14"/>
                  <w:color w:val="auto"/>
                  <w:w w:val="89"/>
                </w:rPr>
                <w:t>31</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860" w:type="dxa"/>
            <w:vAlign w:val="bottom"/>
            <w:gridSpan w:val="13"/>
          </w:tcPr>
          <w:p>
            <w:pPr>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PART II – Other Information</w:t>
              </w:r>
            </w:hyperlink>
          </w:p>
        </w:tc>
        <w:tc>
          <w:tcPr>
            <w:tcW w:w="1420" w:type="dxa"/>
            <w:vAlign w:val="bottom"/>
          </w:tcPr>
          <w:p>
            <w:pPr>
              <w:jc w:val="center"/>
              <w:spacing w:after="0"/>
              <w:rPr>
                <w:rFonts w:ascii="Arial" w:cs="Arial" w:eastAsia="Arial" w:hAnsi="Arial"/>
                <w:sz w:val="14"/>
                <w:szCs w:val="14"/>
                <w:color w:val="auto"/>
                <w:w w:val="89"/>
              </w:rPr>
            </w:pPr>
            <w:hyperlink w:anchor="page31">
              <w:r>
                <w:rPr>
                  <w:rFonts w:ascii="Arial" w:cs="Arial" w:eastAsia="Arial" w:hAnsi="Arial"/>
                  <w:sz w:val="14"/>
                  <w:szCs w:val="14"/>
                  <w:color w:val="auto"/>
                  <w:w w:val="89"/>
                </w:rPr>
                <w:t>32</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rFonts w:ascii="Arial" w:cs="Arial" w:eastAsia="Arial" w:hAnsi="Arial"/>
                <w:sz w:val="14"/>
                <w:szCs w:val="14"/>
                <w:color w:val="auto"/>
              </w:rPr>
            </w:pPr>
            <w:hyperlink w:anchor="page32">
              <w:r>
                <w:rPr>
                  <w:rFonts w:ascii="Arial" w:cs="Arial" w:eastAsia="Arial" w:hAnsi="Arial"/>
                  <w:sz w:val="14"/>
                  <w:szCs w:val="14"/>
                  <w:color w:val="auto"/>
                </w:rPr>
                <w:t>Item 1.</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32">
              <w:r>
                <w:rPr>
                  <w:rFonts w:ascii="Arial" w:cs="Arial" w:eastAsia="Arial" w:hAnsi="Arial"/>
                  <w:sz w:val="14"/>
                  <w:szCs w:val="14"/>
                  <w:u w:val="single" w:color="auto"/>
                  <w:color w:val="0000FF"/>
                </w:rPr>
                <w:t>Legal Proceedings</w:t>
              </w:r>
            </w:hyperlink>
          </w:p>
        </w:tc>
        <w:tc>
          <w:tcPr>
            <w:tcW w:w="1420" w:type="dxa"/>
            <w:vAlign w:val="bottom"/>
          </w:tcPr>
          <w:p>
            <w:pPr>
              <w:jc w:val="center"/>
              <w:spacing w:after="0"/>
              <w:rPr>
                <w:rFonts w:ascii="Arial" w:cs="Arial" w:eastAsia="Arial" w:hAnsi="Arial"/>
                <w:sz w:val="14"/>
                <w:szCs w:val="14"/>
                <w:color w:val="auto"/>
                <w:w w:val="89"/>
              </w:rPr>
            </w:pPr>
            <w:hyperlink w:anchor="page32">
              <w:r>
                <w:rPr>
                  <w:rFonts w:ascii="Arial" w:cs="Arial" w:eastAsia="Arial" w:hAnsi="Arial"/>
                  <w:sz w:val="14"/>
                  <w:szCs w:val="14"/>
                  <w:color w:val="auto"/>
                  <w:w w:val="89"/>
                </w:rPr>
                <w:t>32</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32">
              <w:r>
                <w:rPr>
                  <w:rFonts w:ascii="Arial" w:cs="Arial" w:eastAsia="Arial" w:hAnsi="Arial"/>
                  <w:sz w:val="14"/>
                  <w:szCs w:val="14"/>
                  <w:color w:val="auto"/>
                </w:rPr>
                <w:t>Item 1A</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32">
              <w:r>
                <w:rPr>
                  <w:rFonts w:ascii="Arial" w:cs="Arial" w:eastAsia="Arial" w:hAnsi="Arial"/>
                  <w:sz w:val="14"/>
                  <w:szCs w:val="14"/>
                  <w:u w:val="single" w:color="auto"/>
                  <w:color w:val="0000FF"/>
                </w:rPr>
                <w:t>Risk Factors</w:t>
              </w:r>
            </w:hyperlink>
          </w:p>
        </w:tc>
        <w:tc>
          <w:tcPr>
            <w:tcW w:w="1420" w:type="dxa"/>
            <w:vAlign w:val="bottom"/>
          </w:tcPr>
          <w:p>
            <w:pPr>
              <w:jc w:val="center"/>
              <w:spacing w:after="0"/>
              <w:rPr>
                <w:rFonts w:ascii="Arial" w:cs="Arial" w:eastAsia="Arial" w:hAnsi="Arial"/>
                <w:sz w:val="14"/>
                <w:szCs w:val="14"/>
                <w:color w:val="auto"/>
                <w:w w:val="89"/>
              </w:rPr>
            </w:pPr>
            <w:hyperlink w:anchor="page32">
              <w:r>
                <w:rPr>
                  <w:rFonts w:ascii="Arial" w:cs="Arial" w:eastAsia="Arial" w:hAnsi="Arial"/>
                  <w:sz w:val="14"/>
                  <w:szCs w:val="14"/>
                  <w:color w:val="auto"/>
                  <w:w w:val="89"/>
                </w:rPr>
                <w:t>32</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60">
              <w:r>
                <w:rPr>
                  <w:rFonts w:ascii="Arial" w:cs="Arial" w:eastAsia="Arial" w:hAnsi="Arial"/>
                  <w:sz w:val="14"/>
                  <w:szCs w:val="14"/>
                  <w:color w:val="auto"/>
                </w:rPr>
                <w:t>Item 2.</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Unregistered Sales of Equity Securities and Use of Proceeds</w:t>
              </w:r>
            </w:hyperlink>
          </w:p>
        </w:tc>
        <w:tc>
          <w:tcPr>
            <w:tcW w:w="1420" w:type="dxa"/>
            <w:vAlign w:val="bottom"/>
          </w:tcPr>
          <w:p>
            <w:pPr>
              <w:jc w:val="center"/>
              <w:spacing w:after="0"/>
              <w:rPr>
                <w:rFonts w:ascii="Arial" w:cs="Arial" w:eastAsia="Arial" w:hAnsi="Arial"/>
                <w:sz w:val="14"/>
                <w:szCs w:val="14"/>
                <w:color w:val="auto"/>
                <w:w w:val="89"/>
              </w:rPr>
            </w:pPr>
            <w:hyperlink w:anchor="page60">
              <w:r>
                <w:rPr>
                  <w:rFonts w:ascii="Arial" w:cs="Arial" w:eastAsia="Arial" w:hAnsi="Arial"/>
                  <w:sz w:val="14"/>
                  <w:szCs w:val="14"/>
                  <w:color w:val="auto"/>
                  <w:w w:val="89"/>
                </w:rPr>
                <w:t>60</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60">
              <w:r>
                <w:rPr>
                  <w:rFonts w:ascii="Arial" w:cs="Arial" w:eastAsia="Arial" w:hAnsi="Arial"/>
                  <w:sz w:val="14"/>
                  <w:szCs w:val="14"/>
                  <w:color w:val="auto"/>
                </w:rPr>
                <w:t>Item 3.</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Defaults Upon Senior Securities</w:t>
              </w:r>
            </w:hyperlink>
          </w:p>
        </w:tc>
        <w:tc>
          <w:tcPr>
            <w:tcW w:w="1420" w:type="dxa"/>
            <w:vAlign w:val="bottom"/>
          </w:tcPr>
          <w:p>
            <w:pPr>
              <w:jc w:val="center"/>
              <w:spacing w:after="0"/>
              <w:rPr>
                <w:rFonts w:ascii="Arial" w:cs="Arial" w:eastAsia="Arial" w:hAnsi="Arial"/>
                <w:sz w:val="14"/>
                <w:szCs w:val="14"/>
                <w:color w:val="auto"/>
                <w:w w:val="89"/>
              </w:rPr>
            </w:pPr>
            <w:hyperlink w:anchor="page60">
              <w:r>
                <w:rPr>
                  <w:rFonts w:ascii="Arial" w:cs="Arial" w:eastAsia="Arial" w:hAnsi="Arial"/>
                  <w:sz w:val="14"/>
                  <w:szCs w:val="14"/>
                  <w:color w:val="auto"/>
                  <w:w w:val="89"/>
                </w:rPr>
                <w:t>60</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60">
              <w:r>
                <w:rPr>
                  <w:rFonts w:ascii="Arial" w:cs="Arial" w:eastAsia="Arial" w:hAnsi="Arial"/>
                  <w:sz w:val="14"/>
                  <w:szCs w:val="14"/>
                  <w:color w:val="auto"/>
                </w:rPr>
                <w:t>Item 4.</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Mine Safety Disclosures</w:t>
              </w:r>
            </w:hyperlink>
          </w:p>
        </w:tc>
        <w:tc>
          <w:tcPr>
            <w:tcW w:w="1420" w:type="dxa"/>
            <w:vAlign w:val="bottom"/>
          </w:tcPr>
          <w:p>
            <w:pPr>
              <w:jc w:val="center"/>
              <w:spacing w:after="0"/>
              <w:rPr>
                <w:rFonts w:ascii="Arial" w:cs="Arial" w:eastAsia="Arial" w:hAnsi="Arial"/>
                <w:sz w:val="14"/>
                <w:szCs w:val="14"/>
                <w:color w:val="auto"/>
                <w:w w:val="89"/>
              </w:rPr>
            </w:pPr>
            <w:hyperlink w:anchor="page60">
              <w:r>
                <w:rPr>
                  <w:rFonts w:ascii="Arial" w:cs="Arial" w:eastAsia="Arial" w:hAnsi="Arial"/>
                  <w:sz w:val="14"/>
                  <w:szCs w:val="14"/>
                  <w:color w:val="auto"/>
                  <w:w w:val="89"/>
                </w:rPr>
                <w:t>60</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60">
              <w:r>
                <w:rPr>
                  <w:rFonts w:ascii="Arial" w:cs="Arial" w:eastAsia="Arial" w:hAnsi="Arial"/>
                  <w:sz w:val="14"/>
                  <w:szCs w:val="14"/>
                  <w:color w:val="auto"/>
                </w:rPr>
                <w:t>Item 5.</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Other Information</w:t>
              </w:r>
            </w:hyperlink>
          </w:p>
        </w:tc>
        <w:tc>
          <w:tcPr>
            <w:tcW w:w="1420" w:type="dxa"/>
            <w:vAlign w:val="bottom"/>
          </w:tcPr>
          <w:p>
            <w:pPr>
              <w:jc w:val="center"/>
              <w:spacing w:after="0"/>
              <w:rPr>
                <w:rFonts w:ascii="Arial" w:cs="Arial" w:eastAsia="Arial" w:hAnsi="Arial"/>
                <w:sz w:val="14"/>
                <w:szCs w:val="14"/>
                <w:color w:val="auto"/>
                <w:w w:val="89"/>
              </w:rPr>
            </w:pPr>
            <w:hyperlink w:anchor="page60">
              <w:r>
                <w:rPr>
                  <w:rFonts w:ascii="Arial" w:cs="Arial" w:eastAsia="Arial" w:hAnsi="Arial"/>
                  <w:sz w:val="14"/>
                  <w:szCs w:val="14"/>
                  <w:color w:val="auto"/>
                  <w:w w:val="89"/>
                </w:rPr>
                <w:t>60</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rFonts w:ascii="Arial" w:cs="Arial" w:eastAsia="Arial" w:hAnsi="Arial"/>
                <w:sz w:val="14"/>
                <w:szCs w:val="14"/>
                <w:color w:val="auto"/>
              </w:rPr>
            </w:pPr>
            <w:hyperlink w:anchor="page60">
              <w:r>
                <w:rPr>
                  <w:rFonts w:ascii="Arial" w:cs="Arial" w:eastAsia="Arial" w:hAnsi="Arial"/>
                  <w:sz w:val="14"/>
                  <w:szCs w:val="14"/>
                  <w:color w:val="auto"/>
                </w:rPr>
                <w:t>Item 6.</w:t>
              </w:r>
            </w:hyperlink>
          </w:p>
        </w:tc>
        <w:tc>
          <w:tcPr>
            <w:tcW w:w="8860" w:type="dxa"/>
            <w:vAlign w:val="bottom"/>
            <w:gridSpan w:val="13"/>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Exhibits</w:t>
              </w:r>
            </w:hyperlink>
          </w:p>
        </w:tc>
        <w:tc>
          <w:tcPr>
            <w:tcW w:w="1420" w:type="dxa"/>
            <w:vAlign w:val="bottom"/>
          </w:tcPr>
          <w:p>
            <w:pPr>
              <w:jc w:val="center"/>
              <w:spacing w:after="0"/>
              <w:rPr>
                <w:rFonts w:ascii="Arial" w:cs="Arial" w:eastAsia="Arial" w:hAnsi="Arial"/>
                <w:sz w:val="14"/>
                <w:szCs w:val="14"/>
                <w:color w:val="auto"/>
                <w:w w:val="89"/>
              </w:rPr>
            </w:pPr>
            <w:hyperlink w:anchor="page60">
              <w:r>
                <w:rPr>
                  <w:rFonts w:ascii="Arial" w:cs="Arial" w:eastAsia="Arial" w:hAnsi="Arial"/>
                  <w:sz w:val="14"/>
                  <w:szCs w:val="14"/>
                  <w:color w:val="auto"/>
                  <w:w w:val="89"/>
                </w:rPr>
                <w:t>61</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8860" w:type="dxa"/>
            <w:vAlign w:val="bottom"/>
            <w:gridSpan w:val="13"/>
          </w:tcPr>
          <w:p>
            <w:pPr>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Signatures</w:t>
              </w:r>
            </w:hyperlink>
          </w:p>
        </w:tc>
        <w:tc>
          <w:tcPr>
            <w:tcW w:w="1420" w:type="dxa"/>
            <w:vAlign w:val="bottom"/>
          </w:tcPr>
          <w:p>
            <w:pPr>
              <w:jc w:val="center"/>
              <w:spacing w:after="0"/>
              <w:rPr>
                <w:rFonts w:ascii="Arial" w:cs="Arial" w:eastAsia="Arial" w:hAnsi="Arial"/>
                <w:sz w:val="14"/>
                <w:szCs w:val="14"/>
                <w:color w:val="auto"/>
                <w:w w:val="89"/>
              </w:rPr>
            </w:pPr>
            <w:hyperlink w:anchor="page61">
              <w:r>
                <w:rPr>
                  <w:rFonts w:ascii="Arial" w:cs="Arial" w:eastAsia="Arial" w:hAnsi="Arial"/>
                  <w:sz w:val="14"/>
                  <w:szCs w:val="14"/>
                  <w:color w:val="auto"/>
                  <w:w w:val="89"/>
                </w:rPr>
                <w:t>62</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6"/>
        </w:trPr>
        <w:tc>
          <w:tcPr>
            <w:tcW w:w="920" w:type="dxa"/>
            <w:vAlign w:val="bottom"/>
          </w:tcPr>
          <w:p>
            <w:pPr>
              <w:spacing w:after="0"/>
              <w:rPr>
                <w:sz w:val="24"/>
                <w:szCs w:val="24"/>
                <w:color w:val="auto"/>
              </w:rPr>
            </w:pPr>
          </w:p>
        </w:tc>
        <w:tc>
          <w:tcPr>
            <w:tcW w:w="5260" w:type="dxa"/>
            <w:vAlign w:val="bottom"/>
            <w:gridSpan w:val="6"/>
          </w:tcPr>
          <w:p>
            <w:pPr>
              <w:jc w:val="center"/>
              <w:ind w:left="410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83"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outbreak of the coronavirus disease 2019 (“COVID-19”)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14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As of</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ind w:right="437"/>
              <w:spacing w:after="0" w:line="116"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jc w:val="right"/>
              <w:ind w:right="497"/>
              <w:spacing w:after="0" w:line="116" w:lineRule="exact"/>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1"/>
        </w:trPr>
        <w:tc>
          <w:tcPr>
            <w:tcW w:w="78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Cash and cash equivalents</w:t>
            </w: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488,653</w:t>
            </w:r>
          </w:p>
        </w:tc>
        <w:tc>
          <w:tcPr>
            <w:tcW w:w="52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283,134</w:t>
            </w:r>
          </w:p>
        </w:tc>
        <w:tc>
          <w:tcPr>
            <w:tcW w:w="0" w:type="dxa"/>
            <w:vAlign w:val="bottom"/>
          </w:tcPr>
          <w:p>
            <w:pPr>
              <w:spacing w:after="0"/>
              <w:rPr>
                <w:sz w:val="1"/>
                <w:szCs w:val="1"/>
                <w:color w:val="auto"/>
              </w:rPr>
            </w:pPr>
          </w:p>
        </w:tc>
      </w:tr>
      <w:tr>
        <w:trPr>
          <w:trHeight w:val="176"/>
        </w:trPr>
        <w:tc>
          <w:tcPr>
            <w:tcW w:w="7860" w:type="dxa"/>
            <w:vAlign w:val="bottom"/>
          </w:tcPr>
          <w:p>
            <w:pPr>
              <w:ind w:left="160"/>
              <w:spacing w:after="0"/>
              <w:rPr>
                <w:sz w:val="20"/>
                <w:szCs w:val="20"/>
                <w:color w:val="auto"/>
              </w:rPr>
            </w:pPr>
            <w:r>
              <w:rPr>
                <w:rFonts w:ascii="Arial" w:cs="Arial" w:eastAsia="Arial" w:hAnsi="Arial"/>
                <w:sz w:val="13"/>
                <w:szCs w:val="13"/>
                <w:color w:val="auto"/>
              </w:rPr>
              <w:t>Marketable securities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616,714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572,060</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receivable, net of allowances of $11,990 and $7,634 as of April 30, 2020 and January 31, 2020, respectively</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257,512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120,435</w:t>
            </w:r>
          </w:p>
        </w:tc>
        <w:tc>
          <w:tcPr>
            <w:tcW w:w="0" w:type="dxa"/>
            <w:vAlign w:val="bottom"/>
          </w:tcPr>
          <w:p>
            <w:pPr>
              <w:spacing w:after="0"/>
              <w:rPr>
                <w:sz w:val="1"/>
                <w:szCs w:val="1"/>
                <w:color w:val="auto"/>
              </w:rPr>
            </w:pPr>
          </w:p>
        </w:tc>
      </w:tr>
      <w:tr>
        <w:trPr>
          <w:trHeight w:val="176"/>
        </w:trPr>
        <w:tc>
          <w:tcPr>
            <w:tcW w:w="7860" w:type="dxa"/>
            <w:vAlign w:val="bottom"/>
          </w:tcPr>
          <w:p>
            <w:pPr>
              <w:ind w:left="160"/>
              <w:spacing w:after="0"/>
              <w:rPr>
                <w:sz w:val="20"/>
                <w:szCs w:val="20"/>
                <w:color w:val="auto"/>
              </w:rPr>
            </w:pPr>
            <w:r>
              <w:rPr>
                <w:rFonts w:ascii="Arial" w:cs="Arial" w:eastAsia="Arial" w:hAnsi="Arial"/>
                <w:sz w:val="13"/>
                <w:szCs w:val="13"/>
                <w:color w:val="auto"/>
              </w:rPr>
              <w:t>Deferred contract acquisition costs, current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84,054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44,885</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336,024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75,008</w:t>
            </w:r>
          </w:p>
        </w:tc>
        <w:tc>
          <w:tcPr>
            <w:tcW w:w="0" w:type="dxa"/>
            <w:vAlign w:val="bottom"/>
          </w:tcPr>
          <w:p>
            <w:pPr>
              <w:spacing w:after="0"/>
              <w:rPr>
                <w:sz w:val="1"/>
                <w:szCs w:val="1"/>
                <w:color w:val="auto"/>
              </w:rPr>
            </w:pPr>
          </w:p>
        </w:tc>
      </w:tr>
      <w:tr>
        <w:trPr>
          <w:trHeight w:val="167"/>
        </w:trPr>
        <w:tc>
          <w:tcPr>
            <w:tcW w:w="7860" w:type="dxa"/>
            <w:vAlign w:val="bottom"/>
          </w:tcPr>
          <w:p>
            <w:pPr>
              <w:ind w:left="360"/>
              <w:spacing w:after="0"/>
              <w:rPr>
                <w:sz w:val="20"/>
                <w:szCs w:val="20"/>
                <w:color w:val="auto"/>
              </w:rPr>
            </w:pPr>
            <w:r>
              <w:rPr>
                <w:rFonts w:ascii="Arial" w:cs="Arial" w:eastAsia="Arial" w:hAnsi="Arial"/>
                <w:sz w:val="13"/>
                <w:szCs w:val="13"/>
                <w:color w:val="auto"/>
              </w:rPr>
              <w:t>Total current assets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1,782,957</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1,095,522</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contract acquisition costs, noncurrent</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115,643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46,245</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60,479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57,138</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65,316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68,608</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3"/>
                <w:szCs w:val="13"/>
                <w:color w:val="auto"/>
              </w:rPr>
              <w:t>Other assets, noncurrent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43,314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22,332</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2,067,709</w:t>
            </w:r>
          </w:p>
        </w:tc>
        <w:tc>
          <w:tcPr>
            <w:tcW w:w="52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1,289,845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60"/>
              <w:spacing w:after="0"/>
              <w:rPr>
                <w:sz w:val="20"/>
                <w:szCs w:val="20"/>
                <w:color w:val="auto"/>
              </w:rPr>
            </w:pPr>
            <w:r>
              <w:rPr>
                <w:rFonts w:ascii="Arial" w:cs="Arial" w:eastAsia="Arial" w:hAnsi="Arial"/>
                <w:sz w:val="13"/>
                <w:szCs w:val="13"/>
                <w:color w:val="auto"/>
              </w:rPr>
              <w:t>Accounts payable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3,472</w:t>
            </w:r>
          </w:p>
        </w:tc>
        <w:tc>
          <w:tcPr>
            <w:tcW w:w="520" w:type="dxa"/>
            <w:vAlign w:val="bottom"/>
            <w:gridSpan w:val="3"/>
          </w:tcPr>
          <w:p>
            <w:pPr>
              <w:jc w:val="right"/>
              <w:ind w:right="17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1,596</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507,010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122,692</w:t>
            </w:r>
          </w:p>
        </w:tc>
        <w:tc>
          <w:tcPr>
            <w:tcW w:w="0" w:type="dxa"/>
            <w:vAlign w:val="bottom"/>
          </w:tcPr>
          <w:p>
            <w:pPr>
              <w:spacing w:after="0"/>
              <w:rPr>
                <w:sz w:val="1"/>
                <w:szCs w:val="1"/>
                <w:color w:val="auto"/>
              </w:rPr>
            </w:pPr>
          </w:p>
        </w:tc>
      </w:tr>
      <w:tr>
        <w:trPr>
          <w:trHeight w:val="176"/>
        </w:trPr>
        <w:tc>
          <w:tcPr>
            <w:tcW w:w="7860" w:type="dxa"/>
            <w:vAlign w:val="bottom"/>
          </w:tcPr>
          <w:p>
            <w:pPr>
              <w:ind w:left="160"/>
              <w:spacing w:after="0"/>
              <w:rPr>
                <w:sz w:val="20"/>
                <w:szCs w:val="20"/>
                <w:color w:val="auto"/>
              </w:rPr>
            </w:pPr>
            <w:r>
              <w:rPr>
                <w:rFonts w:ascii="Arial" w:cs="Arial" w:eastAsia="Arial" w:hAnsi="Arial"/>
                <w:sz w:val="13"/>
                <w:szCs w:val="13"/>
                <w:color w:val="auto"/>
              </w:rPr>
              <w:t>Deferred revenue, current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523,246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209,542</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current liabilities</w:t>
            </w:r>
          </w:p>
        </w:tc>
        <w:tc>
          <w:tcPr>
            <w:tcW w:w="3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1,033,728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333,830</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28,596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20,994</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62,989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64,792</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Arial" w:cs="Arial" w:eastAsia="Arial" w:hAnsi="Arial"/>
                <w:sz w:val="13"/>
                <w:szCs w:val="13"/>
                <w:color w:val="auto"/>
              </w:rPr>
              <w:t>Other liabilities, noncurrent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40,765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36,286</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1,166,078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455,902</w:t>
            </w:r>
          </w:p>
        </w:tc>
        <w:tc>
          <w:tcPr>
            <w:tcW w:w="0" w:type="dxa"/>
            <w:vAlign w:val="bottom"/>
          </w:tcPr>
          <w:p>
            <w:pPr>
              <w:spacing w:after="0"/>
              <w:rPr>
                <w:sz w:val="1"/>
                <w:szCs w:val="1"/>
                <w:color w:val="auto"/>
              </w:rPr>
            </w:pPr>
          </w:p>
        </w:tc>
      </w:tr>
      <w:tr>
        <w:trPr>
          <w:trHeight w:val="156"/>
        </w:trPr>
        <w:tc>
          <w:tcPr>
            <w:tcW w:w="7860" w:type="dxa"/>
            <w:vAlign w:val="bottom"/>
          </w:tcPr>
          <w:p>
            <w:pPr>
              <w:ind w:left="20"/>
              <w:spacing w:after="0"/>
              <w:rPr>
                <w:sz w:val="20"/>
                <w:szCs w:val="20"/>
                <w:color w:val="auto"/>
              </w:rPr>
            </w:pPr>
            <w:r>
              <w:rPr>
                <w:rFonts w:ascii="Arial" w:cs="Arial" w:eastAsia="Arial" w:hAnsi="Arial"/>
                <w:sz w:val="13"/>
                <w:szCs w:val="13"/>
                <w:color w:val="auto"/>
              </w:rPr>
              <w:t>Commitments and contingencies (Note 6)</w:t>
            </w: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80"/>
              <w:spacing w:after="0" w:line="131" w:lineRule="exact"/>
              <w:rPr>
                <w:sz w:val="20"/>
                <w:szCs w:val="20"/>
                <w:color w:val="auto"/>
              </w:rPr>
            </w:pPr>
            <w:r>
              <w:rPr>
                <w:rFonts w:ascii="Arial" w:cs="Arial" w:eastAsia="Arial" w:hAnsi="Arial"/>
                <w:sz w:val="13"/>
                <w:szCs w:val="13"/>
                <w:color w:val="auto"/>
                <w:w w:val="91"/>
              </w:rPr>
              <w:t>Preferred stock, $0.001 par value per share, 200,000,000 shares authorized as of April 30, 2020 and January 31, 2020; zero shares issued and</w:t>
            </w:r>
          </w:p>
        </w:tc>
        <w:tc>
          <w:tcPr>
            <w:tcW w:w="3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860" w:type="dxa"/>
            <w:vAlign w:val="bottom"/>
          </w:tcPr>
          <w:p>
            <w:pPr>
              <w:ind w:left="280"/>
              <w:spacing w:after="0"/>
              <w:rPr>
                <w:sz w:val="20"/>
                <w:szCs w:val="20"/>
                <w:color w:val="auto"/>
              </w:rPr>
            </w:pPr>
            <w:r>
              <w:rPr>
                <w:rFonts w:ascii="Arial" w:cs="Arial" w:eastAsia="Arial" w:hAnsi="Arial"/>
                <w:sz w:val="13"/>
                <w:szCs w:val="13"/>
                <w:color w:val="auto"/>
              </w:rPr>
              <w:t>outstanding as of April 30, 2020 and January 31, 2020</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86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w w:val="89"/>
              </w:rPr>
              <w:t>Common stock, $0.001 par value per share, 2,000,000,000 Class A shares authorized as of April 30, 2020 and January 31, 2020; 167,647,512 and</w:t>
            </w: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6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0"/>
              </w:rPr>
              <w:t>123,391,114 shares issued and outstanding as of April 30, 2020 and January 31, 2020, respectively; 300,000,000 Class B shares authorized as of</w:t>
            </w: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6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2"/>
              </w:rPr>
              <w:t>April 30, 2020 and January 31, 2020; 114,344,499 and 155,336,747 shares issued and outstanding as of April 30, 2020 and January 31, 2020,</w:t>
            </w:r>
          </w:p>
        </w:tc>
        <w:tc>
          <w:tcPr>
            <w:tcW w:w="3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66"/>
        </w:trPr>
        <w:tc>
          <w:tcPr>
            <w:tcW w:w="7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respectively</w:t>
            </w:r>
          </w:p>
        </w:tc>
        <w:tc>
          <w:tcPr>
            <w:tcW w:w="3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872,237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832,705</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Accumulated other comprehensive income</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3"/>
                <w:szCs w:val="13"/>
                <w:color w:val="auto"/>
              </w:rPr>
              <w:t>Retained earnings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27,227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97"/>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901,631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833,943</w:t>
            </w:r>
          </w:p>
        </w:tc>
        <w:tc>
          <w:tcPr>
            <w:tcW w:w="0" w:type="dxa"/>
            <w:vAlign w:val="bottom"/>
          </w:tcPr>
          <w:p>
            <w:pPr>
              <w:spacing w:after="0"/>
              <w:rPr>
                <w:sz w:val="1"/>
                <w:szCs w:val="1"/>
                <w:color w:val="auto"/>
              </w:rPr>
            </w:pPr>
          </w:p>
        </w:tc>
      </w:tr>
      <w:tr>
        <w:trPr>
          <w:trHeight w:val="167"/>
        </w:trPr>
        <w:tc>
          <w:tcPr>
            <w:tcW w:w="7860" w:type="dxa"/>
            <w:vAlign w:val="bottom"/>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2,067,709</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1,289,845</w:t>
            </w: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April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9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328,167</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121,988</w:t>
            </w:r>
          </w:p>
        </w:tc>
        <w:tc>
          <w:tcPr>
            <w:tcW w:w="0" w:type="dxa"/>
            <w:vAlign w:val="bottom"/>
          </w:tcPr>
          <w:p>
            <w:pPr>
              <w:spacing w:after="0"/>
              <w:rPr>
                <w:sz w:val="1"/>
                <w:szCs w:val="1"/>
                <w:color w:val="auto"/>
              </w:rPr>
            </w:pPr>
          </w:p>
        </w:tc>
      </w:tr>
      <w:tr>
        <w:trPr>
          <w:trHeight w:val="191"/>
        </w:trPr>
        <w:tc>
          <w:tcPr>
            <w:tcW w:w="79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40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103,707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24,104</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224,460</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97,884</w:t>
            </w:r>
          </w:p>
        </w:tc>
        <w:tc>
          <w:tcPr>
            <w:tcW w:w="0" w:type="dxa"/>
            <w:vAlign w:val="bottom"/>
          </w:tcPr>
          <w:p>
            <w:pPr>
              <w:spacing w:after="0"/>
              <w:rPr>
                <w:sz w:val="1"/>
                <w:szCs w:val="1"/>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26,389</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13,783</w:t>
            </w:r>
          </w:p>
        </w:tc>
        <w:tc>
          <w:tcPr>
            <w:tcW w:w="0" w:type="dxa"/>
            <w:vAlign w:val="bottom"/>
          </w:tcPr>
          <w:p>
            <w:pPr>
              <w:spacing w:after="0"/>
              <w:rPr>
                <w:sz w:val="1"/>
                <w:szCs w:val="1"/>
                <w:color w:val="auto"/>
              </w:rPr>
            </w:pPr>
          </w:p>
        </w:tc>
      </w:tr>
      <w:tr>
        <w:trPr>
          <w:trHeight w:val="191"/>
        </w:trPr>
        <w:tc>
          <w:tcPr>
            <w:tcW w:w="7920" w:type="dxa"/>
            <w:vAlign w:val="bottom"/>
          </w:tcPr>
          <w:p>
            <w:pPr>
              <w:ind w:left="160"/>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121,556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64,041</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53,130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18,503</w:t>
            </w:r>
          </w:p>
        </w:tc>
        <w:tc>
          <w:tcPr>
            <w:tcW w:w="0" w:type="dxa"/>
            <w:vAlign w:val="bottom"/>
          </w:tcPr>
          <w:p>
            <w:pPr>
              <w:spacing w:after="0"/>
              <w:rPr>
                <w:sz w:val="1"/>
                <w:szCs w:val="1"/>
                <w:color w:val="auto"/>
              </w:rPr>
            </w:pPr>
          </w:p>
        </w:tc>
      </w:tr>
      <w:tr>
        <w:trPr>
          <w:trHeight w:val="181"/>
        </w:trPr>
        <w:tc>
          <w:tcPr>
            <w:tcW w:w="792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201,075</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96,327</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4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23,385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191"/>
        </w:trPr>
        <w:tc>
          <w:tcPr>
            <w:tcW w:w="7920" w:type="dxa"/>
            <w:vAlign w:val="bottom"/>
          </w:tcPr>
          <w:p>
            <w:pPr>
              <w:ind w:left="20"/>
              <w:spacing w:after="0"/>
              <w:rPr>
                <w:sz w:val="20"/>
                <w:szCs w:val="20"/>
                <w:color w:val="auto"/>
              </w:rPr>
            </w:pPr>
            <w:r>
              <w:rPr>
                <w:rFonts w:ascii="Arial" w:cs="Arial" w:eastAsia="Arial" w:hAnsi="Arial"/>
                <w:sz w:val="14"/>
                <w:szCs w:val="14"/>
                <w:color w:val="auto"/>
              </w:rPr>
              <w:t>Interest income and other, net</w:t>
            </w:r>
          </w:p>
        </w:tc>
        <w:tc>
          <w:tcPr>
            <w:tcW w:w="40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5,790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before provision for income taxes</w:t>
            </w:r>
          </w:p>
        </w:tc>
        <w:tc>
          <w:tcPr>
            <w:tcW w:w="4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29,175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91"/>
        </w:trPr>
        <w:tc>
          <w:tcPr>
            <w:tcW w:w="792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40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27,075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191"/>
        </w:trPr>
        <w:tc>
          <w:tcPr>
            <w:tcW w:w="7920" w:type="dxa"/>
            <w:vAlign w:val="bottom"/>
          </w:tcPr>
          <w:p>
            <w:pPr>
              <w:ind w:left="20"/>
              <w:spacing w:after="0"/>
              <w:rPr>
                <w:sz w:val="20"/>
                <w:szCs w:val="20"/>
                <w:color w:val="auto"/>
              </w:rPr>
            </w:pPr>
            <w:r>
              <w:rPr>
                <w:rFonts w:ascii="Arial" w:cs="Arial" w:eastAsia="Arial" w:hAnsi="Arial"/>
                <w:sz w:val="14"/>
                <w:szCs w:val="14"/>
                <w:color w:val="auto"/>
              </w:rPr>
              <w:t>Undistributed earnings attributable to participating securities</w:t>
            </w:r>
          </w:p>
        </w:tc>
        <w:tc>
          <w:tcPr>
            <w:tcW w:w="40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27,036</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 attributable to common stockholders: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9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7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20" w:type="dxa"/>
            <w:vAlign w:val="bottom"/>
            <w:vMerge w:val="continue"/>
          </w:tcPr>
          <w:p>
            <w:pPr>
              <w:spacing w:after="0"/>
              <w:rPr>
                <w:sz w:val="13"/>
                <w:szCs w:val="13"/>
                <w:color w:val="auto"/>
              </w:rPr>
            </w:pPr>
          </w:p>
        </w:tc>
        <w:tc>
          <w:tcPr>
            <w:tcW w:w="400" w:type="dxa"/>
            <w:vAlign w:val="bottom"/>
          </w:tcPr>
          <w:p>
            <w:pPr>
              <w:jc w:val="right"/>
              <w:ind w:right="249"/>
              <w:spacing w:after="0" w:line="153"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ind w:right="71"/>
              <w:spacing w:after="0" w:line="153" w:lineRule="exact"/>
              <w:rPr>
                <w:sz w:val="20"/>
                <w:szCs w:val="20"/>
                <w:color w:val="auto"/>
              </w:rPr>
            </w:pPr>
            <w:r>
              <w:rPr>
                <w:rFonts w:ascii="Arial" w:cs="Arial" w:eastAsia="Arial" w:hAnsi="Arial"/>
                <w:sz w:val="14"/>
                <w:szCs w:val="14"/>
                <w:color w:val="auto"/>
              </w:rPr>
              <w:t>0.09</w:t>
            </w:r>
          </w:p>
        </w:tc>
        <w:tc>
          <w:tcPr>
            <w:tcW w:w="80" w:type="dxa"/>
            <w:vAlign w:val="bottom"/>
          </w:tcPr>
          <w:p>
            <w:pPr>
              <w:spacing w:after="0"/>
              <w:rPr>
                <w:sz w:val="13"/>
                <w:szCs w:val="13"/>
                <w:color w:val="auto"/>
              </w:rPr>
            </w:pPr>
          </w:p>
        </w:tc>
        <w:tc>
          <w:tcPr>
            <w:tcW w:w="700" w:type="dxa"/>
            <w:vAlign w:val="bottom"/>
          </w:tcPr>
          <w:p>
            <w:pPr>
              <w:jc w:val="right"/>
              <w:ind w:right="52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line="153"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Weighted-average shares used in computing net income per share attributable</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 common stockholders:</w:t>
            </w:r>
          </w:p>
        </w:tc>
        <w:tc>
          <w:tcPr>
            <w:tcW w:w="4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920" w:type="dxa"/>
            <w:vAlign w:val="bottom"/>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279,891,111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109,708,898</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295,184,958</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136,428,379</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Three Months Ended April 30,</w:t>
            </w:r>
          </w:p>
        </w:tc>
        <w:tc>
          <w:tcPr>
            <w:tcW w:w="980" w:type="dxa"/>
            <w:vAlign w:val="bottom"/>
            <w:tcBorders>
              <w:bottom w:val="single" w:sz="8" w:color="auto"/>
            </w:tcBorders>
          </w:tcPr>
          <w:p>
            <w:pPr>
              <w:spacing w:after="0"/>
              <w:rPr>
                <w:sz w:val="13"/>
                <w:szCs w:val="13"/>
                <w:color w:val="auto"/>
              </w:rPr>
            </w:pPr>
          </w:p>
        </w:tc>
      </w:tr>
      <w:tr>
        <w:trPr>
          <w:trHeight w:val="150"/>
        </w:trPr>
        <w:tc>
          <w:tcPr>
            <w:tcW w:w="77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w w:val="89"/>
              </w:rPr>
              <w:t>2019</w:t>
            </w:r>
          </w:p>
        </w:tc>
      </w:tr>
      <w:tr>
        <w:trPr>
          <w:trHeight w:val="18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27,075</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2,214</w:t>
            </w:r>
          </w:p>
        </w:tc>
      </w:tr>
      <w:tr>
        <w:trPr>
          <w:trHeight w:val="191"/>
        </w:trPr>
        <w:tc>
          <w:tcPr>
            <w:tcW w:w="77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7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Unrealized gain on available-for-sale marketable securities, net of tax</w:t>
            </w:r>
          </w:p>
        </w:tc>
        <w:tc>
          <w:tcPr>
            <w:tcW w:w="9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1,078</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143</w:t>
            </w:r>
          </w:p>
        </w:tc>
      </w:tr>
      <w:tr>
        <w:trPr>
          <w:trHeight w:val="181"/>
        </w:trPr>
        <w:tc>
          <w:tcPr>
            <w:tcW w:w="77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80" w:type="dxa"/>
            <w:vAlign w:val="bottom"/>
            <w:tcBorders>
              <w:top w:val="single" w:sz="8" w:color="auto"/>
            </w:tcBorders>
          </w:tcPr>
          <w:p>
            <w:pPr>
              <w:jc w:val="right"/>
              <w:ind w:right="834"/>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color w:val="auto"/>
              </w:rPr>
              <w:t>28,153</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2,357</w:t>
            </w:r>
          </w:p>
        </w:tc>
      </w:tr>
      <w:tr>
        <w:trPr>
          <w:trHeight w:val="22"/>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Three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07555" cy="1313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7555" cy="131381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780" w:type="dxa"/>
            <w:vAlign w:val="bottom"/>
          </w:tcPr>
          <w:p>
            <w:pPr>
              <w:spacing w:after="0"/>
              <w:rPr>
                <w:sz w:val="10"/>
                <w:szCs w:val="10"/>
                <w:color w:val="auto"/>
              </w:rPr>
            </w:pPr>
          </w:p>
        </w:tc>
        <w:tc>
          <w:tcPr>
            <w:tcW w:w="1540" w:type="dxa"/>
            <w:vAlign w:val="bottom"/>
            <w:gridSpan w:val="3"/>
          </w:tcPr>
          <w:p>
            <w:pPr>
              <w:ind w:left="840"/>
              <w:spacing w:after="0"/>
              <w:rPr>
                <w:sz w:val="20"/>
                <w:szCs w:val="20"/>
                <w:color w:val="auto"/>
              </w:rPr>
            </w:pPr>
            <w:r>
              <w:rPr>
                <w:rFonts w:ascii="Arial" w:cs="Arial" w:eastAsia="Arial" w:hAnsi="Arial"/>
                <w:sz w:val="11"/>
                <w:szCs w:val="11"/>
                <w:b w:val="1"/>
                <w:bCs w:val="1"/>
                <w:color w:val="auto"/>
              </w:rPr>
              <w:t>Convertible</w:t>
            </w:r>
          </w:p>
        </w:tc>
        <w:tc>
          <w:tcPr>
            <w:tcW w:w="700" w:type="dxa"/>
            <w:vAlign w:val="bottom"/>
          </w:tcPr>
          <w:p>
            <w:pPr>
              <w:spacing w:after="0"/>
              <w:rPr>
                <w:sz w:val="10"/>
                <w:szCs w:val="10"/>
                <w:color w:val="auto"/>
              </w:rPr>
            </w:pPr>
          </w:p>
        </w:tc>
      </w:tr>
      <w:tr>
        <w:trPr>
          <w:trHeight w:val="151"/>
        </w:trPr>
        <w:tc>
          <w:tcPr>
            <w:tcW w:w="1780" w:type="dxa"/>
            <w:vAlign w:val="bottom"/>
          </w:tcPr>
          <w:p>
            <w:pPr>
              <w:spacing w:after="0"/>
              <w:rPr>
                <w:sz w:val="13"/>
                <w:szCs w:val="13"/>
                <w:color w:val="auto"/>
              </w:rPr>
            </w:pPr>
          </w:p>
        </w:tc>
        <w:tc>
          <w:tcPr>
            <w:tcW w:w="1540" w:type="dxa"/>
            <w:vAlign w:val="bottom"/>
            <w:tcBorders>
              <w:bottom w:val="single" w:sz="8" w:color="auto"/>
            </w:tcBorders>
            <w:gridSpan w:val="3"/>
          </w:tcPr>
          <w:p>
            <w:pPr>
              <w:ind w:left="740"/>
              <w:spacing w:after="0"/>
              <w:rPr>
                <w:sz w:val="20"/>
                <w:szCs w:val="20"/>
                <w:color w:val="auto"/>
              </w:rPr>
            </w:pPr>
            <w:r>
              <w:rPr>
                <w:rFonts w:ascii="Arial" w:cs="Arial" w:eastAsia="Arial" w:hAnsi="Arial"/>
                <w:sz w:val="11"/>
                <w:szCs w:val="11"/>
                <w:b w:val="1"/>
                <w:bCs w:val="1"/>
                <w:color w:val="auto"/>
                <w:w w:val="95"/>
              </w:rPr>
              <w:t>Preferred Stock</w:t>
            </w:r>
          </w:p>
        </w:tc>
        <w:tc>
          <w:tcPr>
            <w:tcW w:w="700" w:type="dxa"/>
            <w:vAlign w:val="bottom"/>
            <w:tcBorders>
              <w:bottom w:val="single" w:sz="8" w:color="auto"/>
            </w:tcBorders>
          </w:tcPr>
          <w:p>
            <w:pPr>
              <w:spacing w:after="0"/>
              <w:rPr>
                <w:sz w:val="13"/>
                <w:szCs w:val="13"/>
                <w:color w:val="auto"/>
              </w:rPr>
            </w:pPr>
          </w:p>
        </w:tc>
      </w:tr>
      <w:tr>
        <w:trPr>
          <w:trHeight w:val="177"/>
        </w:trPr>
        <w:tc>
          <w:tcPr>
            <w:tcW w:w="1780" w:type="dxa"/>
            <w:vAlign w:val="bottom"/>
          </w:tcPr>
          <w:p>
            <w:pPr>
              <w:spacing w:after="0"/>
              <w:rPr>
                <w:sz w:val="15"/>
                <w:szCs w:val="15"/>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Amount</w:t>
            </w:r>
          </w:p>
        </w:tc>
      </w:tr>
      <w:tr>
        <w:trPr>
          <w:trHeight w:val="150"/>
        </w:trPr>
        <w:tc>
          <w:tcPr>
            <w:tcW w:w="1780" w:type="dxa"/>
            <w:vAlign w:val="bottom"/>
          </w:tcPr>
          <w:p>
            <w:pPr>
              <w:spacing w:after="0"/>
              <w:rPr>
                <w:sz w:val="20"/>
                <w:szCs w:val="20"/>
                <w:color w:val="auto"/>
              </w:rPr>
            </w:pPr>
            <w:r>
              <w:rPr>
                <w:rFonts w:ascii="Arial" w:cs="Arial" w:eastAsia="Arial" w:hAnsi="Arial"/>
                <w:sz w:val="11"/>
                <w:szCs w:val="11"/>
                <w:color w:val="auto"/>
              </w:rPr>
              <w:t>Balance as of January 31, 2020</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31"/>
        </w:trPr>
        <w:tc>
          <w:tcPr>
            <w:tcW w:w="1780" w:type="dxa"/>
            <w:vAlign w:val="bottom"/>
          </w:tcPr>
          <w:p>
            <w:pPr>
              <w:spacing w:after="0"/>
              <w:rPr>
                <w:sz w:val="20"/>
                <w:szCs w:val="20"/>
                <w:color w:val="auto"/>
              </w:rPr>
            </w:pPr>
            <w:r>
              <w:rPr>
                <w:rFonts w:ascii="Arial" w:cs="Arial" w:eastAsia="Arial" w:hAnsi="Arial"/>
                <w:sz w:val="11"/>
                <w:szCs w:val="11"/>
                <w:color w:val="auto"/>
              </w:rPr>
              <w:t>Issuance of common stock upon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5"/>
        </w:trPr>
        <w:tc>
          <w:tcPr>
            <w:tcW w:w="17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31"/>
        </w:trPr>
        <w:tc>
          <w:tcPr>
            <w:tcW w:w="1780" w:type="dxa"/>
            <w:vAlign w:val="bottom"/>
          </w:tcPr>
          <w:p>
            <w:pPr>
              <w:spacing w:after="0"/>
              <w:rPr>
                <w:sz w:val="20"/>
                <w:szCs w:val="20"/>
                <w:color w:val="auto"/>
              </w:rPr>
            </w:pPr>
            <w:r>
              <w:rPr>
                <w:rFonts w:ascii="Arial" w:cs="Arial" w:eastAsia="Arial" w:hAnsi="Arial"/>
                <w:sz w:val="11"/>
                <w:szCs w:val="11"/>
                <w:color w:val="auto"/>
              </w:rPr>
              <w:t>Issuance of restricted shares of</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5"/>
        </w:trPr>
        <w:tc>
          <w:tcPr>
            <w:tcW w:w="1780" w:type="dxa"/>
            <w:vAlign w:val="bottom"/>
          </w:tcPr>
          <w:p>
            <w:pPr>
              <w:spacing w:after="0"/>
              <w:rPr>
                <w:sz w:val="20"/>
                <w:szCs w:val="20"/>
                <w:color w:val="auto"/>
              </w:rPr>
            </w:pPr>
            <w:r>
              <w:rPr>
                <w:rFonts w:ascii="Arial" w:cs="Arial" w:eastAsia="Arial" w:hAnsi="Arial"/>
                <w:sz w:val="11"/>
                <w:szCs w:val="11"/>
                <w:color w:val="auto"/>
              </w:rPr>
              <w:t>common stock</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59"/>
        </w:trPr>
        <w:tc>
          <w:tcPr>
            <w:tcW w:w="1780" w:type="dxa"/>
            <w:vAlign w:val="bottom"/>
          </w:tcPr>
          <w:p>
            <w:pPr>
              <w:spacing w:after="0"/>
              <w:rPr>
                <w:sz w:val="20"/>
                <w:szCs w:val="20"/>
                <w:color w:val="auto"/>
              </w:rPr>
            </w:pPr>
            <w:r>
              <w:rPr>
                <w:rFonts w:ascii="Arial" w:cs="Arial" w:eastAsia="Arial" w:hAnsi="Arial"/>
                <w:sz w:val="11"/>
                <w:szCs w:val="11"/>
                <w:color w:val="auto"/>
                <w:w w:val="96"/>
              </w:rPr>
              <w:t>Charitable donation of common stock</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59"/>
        </w:trPr>
        <w:tc>
          <w:tcPr>
            <w:tcW w:w="1780" w:type="dxa"/>
            <w:vAlign w:val="bottom"/>
          </w:tcPr>
          <w:p>
            <w:pPr>
              <w:spacing w:after="0"/>
              <w:rPr>
                <w:sz w:val="20"/>
                <w:szCs w:val="20"/>
                <w:color w:val="auto"/>
              </w:rPr>
            </w:pPr>
            <w:r>
              <w:rPr>
                <w:rFonts w:ascii="Arial" w:cs="Arial" w:eastAsia="Arial" w:hAnsi="Arial"/>
                <w:sz w:val="11"/>
                <w:szCs w:val="11"/>
                <w:color w:val="auto"/>
                <w:w w:val="99"/>
              </w:rPr>
              <w:t>Stock-based compensation expense</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59"/>
        </w:trPr>
        <w:tc>
          <w:tcPr>
            <w:tcW w:w="17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159"/>
        </w:trPr>
        <w:tc>
          <w:tcPr>
            <w:tcW w:w="1780" w:type="dxa"/>
            <w:vAlign w:val="bottom"/>
          </w:tcPr>
          <w:p>
            <w:pPr>
              <w:spacing w:after="0"/>
              <w:rPr>
                <w:sz w:val="20"/>
                <w:szCs w:val="20"/>
                <w:color w:val="auto"/>
              </w:rPr>
            </w:pPr>
            <w:r>
              <w:rPr>
                <w:rFonts w:ascii="Arial" w:cs="Arial" w:eastAsia="Arial" w:hAnsi="Arial"/>
                <w:sz w:val="11"/>
                <w:szCs w:val="11"/>
                <w:color w:val="auto"/>
              </w:rPr>
              <w:t>Net income</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w:t>
            </w:r>
          </w:p>
        </w:tc>
      </w:tr>
      <w:tr>
        <w:trPr>
          <w:trHeight w:val="154"/>
        </w:trPr>
        <w:tc>
          <w:tcPr>
            <w:tcW w:w="1780" w:type="dxa"/>
            <w:vAlign w:val="bottom"/>
          </w:tcPr>
          <w:p>
            <w:pPr>
              <w:spacing w:after="0"/>
              <w:rPr>
                <w:sz w:val="20"/>
                <w:szCs w:val="20"/>
                <w:color w:val="auto"/>
              </w:rPr>
            </w:pPr>
            <w:r>
              <w:rPr>
                <w:rFonts w:ascii="Arial" w:cs="Arial" w:eastAsia="Arial" w:hAnsi="Arial"/>
                <w:sz w:val="11"/>
                <w:szCs w:val="11"/>
                <w:color w:val="auto"/>
              </w:rPr>
              <w:t>Balance as of April 30, 2020</w:t>
            </w:r>
          </w:p>
        </w:tc>
        <w:tc>
          <w:tcPr>
            <w:tcW w:w="128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r>
      <w:tr>
        <w:trPr>
          <w:trHeight w:val="20"/>
        </w:trPr>
        <w:tc>
          <w:tcPr>
            <w:tcW w:w="1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2"/>
        </w:trPr>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89" w:lineRule="exact"/>
              <w:rPr>
                <w:sz w:val="20"/>
                <w:szCs w:val="20"/>
                <w:color w:val="auto"/>
              </w:rPr>
            </w:pPr>
            <w:r>
              <w:rPr>
                <w:rFonts w:ascii="Arial" w:cs="Arial" w:eastAsia="Arial" w:hAnsi="Arial"/>
                <w:sz w:val="10"/>
                <w:szCs w:val="10"/>
                <w:b w:val="1"/>
                <w:bCs w:val="1"/>
                <w:color w:val="auto"/>
              </w:rPr>
              <w:t>Paid-In</w:t>
            </w:r>
          </w:p>
        </w:tc>
        <w:tc>
          <w:tcPr>
            <w:tcW w:w="180" w:type="dxa"/>
            <w:vAlign w:val="bottom"/>
          </w:tcPr>
          <w:p>
            <w:pPr>
              <w:spacing w:after="0"/>
              <w:rPr>
                <w:sz w:val="3"/>
                <w:szCs w:val="3"/>
                <w:color w:val="auto"/>
              </w:rPr>
            </w:pPr>
          </w:p>
        </w:tc>
        <w:tc>
          <w:tcPr>
            <w:tcW w:w="1240" w:type="dxa"/>
            <w:vAlign w:val="bottom"/>
            <w:gridSpan w:val="2"/>
            <w:vMerge w:val="restart"/>
          </w:tcPr>
          <w:p>
            <w:pPr>
              <w:jc w:val="center"/>
              <w:ind w:right="280"/>
              <w:spacing w:after="0" w:line="89" w:lineRule="exact"/>
              <w:rPr>
                <w:sz w:val="20"/>
                <w:szCs w:val="20"/>
                <w:color w:val="auto"/>
              </w:rPr>
            </w:pPr>
            <w:r>
              <w:rPr>
                <w:rFonts w:ascii="Arial" w:cs="Arial" w:eastAsia="Arial" w:hAnsi="Arial"/>
                <w:sz w:val="10"/>
                <w:szCs w:val="10"/>
                <w:b w:val="1"/>
                <w:bCs w:val="1"/>
                <w:color w:val="auto"/>
              </w:rPr>
              <w:t>Comprehensive</w:t>
            </w: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vMerge w:val="restart"/>
          </w:tcPr>
          <w:p>
            <w:pPr>
              <w:jc w:val="center"/>
              <w:ind w:right="104"/>
              <w:spacing w:after="0" w:line="89"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26"/>
        </w:trPr>
        <w:tc>
          <w:tcPr>
            <w:tcW w:w="114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Income</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2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6"/>
        </w:trPr>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278,731,143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277</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832,705</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809</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833,943</w:t>
            </w:r>
          </w:p>
        </w:tc>
        <w:tc>
          <w:tcPr>
            <w:tcW w:w="0" w:type="dxa"/>
            <w:vAlign w:val="bottom"/>
          </w:tcPr>
          <w:p>
            <w:pPr>
              <w:spacing w:after="0"/>
              <w:rPr>
                <w:sz w:val="1"/>
                <w:szCs w:val="1"/>
                <w:color w:val="auto"/>
              </w:rPr>
            </w:pPr>
          </w:p>
        </w:tc>
      </w:tr>
      <w:tr>
        <w:trPr>
          <w:trHeight w:val="276"/>
        </w:trPr>
        <w:tc>
          <w:tcPr>
            <w:tcW w:w="1040" w:type="dxa"/>
            <w:vAlign w:val="bottom"/>
          </w:tcPr>
          <w:p>
            <w:pPr>
              <w:jc w:val="right"/>
              <w:ind w:right="83"/>
              <w:spacing w:after="0"/>
              <w:rPr>
                <w:sz w:val="20"/>
                <w:szCs w:val="20"/>
                <w:color w:val="auto"/>
              </w:rPr>
            </w:pPr>
            <w:r>
              <w:rPr>
                <w:rFonts w:ascii="Arial" w:cs="Arial" w:eastAsia="Arial" w:hAnsi="Arial"/>
                <w:sz w:val="11"/>
                <w:szCs w:val="11"/>
                <w:color w:val="auto"/>
              </w:rPr>
              <w:t>3,232,991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9,722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9,725</w:t>
            </w:r>
          </w:p>
        </w:tc>
        <w:tc>
          <w:tcPr>
            <w:tcW w:w="0" w:type="dxa"/>
            <w:vAlign w:val="bottom"/>
          </w:tcPr>
          <w:p>
            <w:pPr>
              <w:spacing w:after="0"/>
              <w:rPr>
                <w:sz w:val="1"/>
                <w:szCs w:val="1"/>
                <w:color w:val="auto"/>
              </w:rPr>
            </w:pPr>
          </w:p>
        </w:tc>
      </w:tr>
      <w:tr>
        <w:trPr>
          <w:trHeight w:val="276"/>
        </w:trPr>
        <w:tc>
          <w:tcPr>
            <w:tcW w:w="1040" w:type="dxa"/>
            <w:vAlign w:val="bottom"/>
          </w:tcPr>
          <w:p>
            <w:pPr>
              <w:jc w:val="right"/>
              <w:ind w:right="83"/>
              <w:spacing w:after="0"/>
              <w:rPr>
                <w:sz w:val="20"/>
                <w:szCs w:val="20"/>
                <w:color w:val="auto"/>
              </w:rPr>
            </w:pPr>
            <w:r>
              <w:rPr>
                <w:rFonts w:ascii="Arial" w:cs="Arial" w:eastAsia="Arial" w:hAnsi="Arial"/>
                <w:sz w:val="11"/>
                <w:szCs w:val="11"/>
                <w:color w:val="auto"/>
              </w:rPr>
              <w:t>27,877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59"/>
        </w:trPr>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28,810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28,810</w:t>
            </w:r>
          </w:p>
        </w:tc>
        <w:tc>
          <w:tcPr>
            <w:tcW w:w="0" w:type="dxa"/>
            <w:vAlign w:val="bottom"/>
          </w:tcPr>
          <w:p>
            <w:pPr>
              <w:spacing w:after="0"/>
              <w:rPr>
                <w:sz w:val="1"/>
                <w:szCs w:val="1"/>
                <w:color w:val="auto"/>
              </w:rPr>
            </w:pPr>
          </w:p>
        </w:tc>
      </w:tr>
      <w:tr>
        <w:trPr>
          <w:trHeight w:val="159"/>
        </w:trPr>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ind w:right="84"/>
              <w:spacing w:after="0"/>
              <w:rPr>
                <w:sz w:val="20"/>
                <w:szCs w:val="20"/>
                <w:color w:val="auto"/>
              </w:rPr>
            </w:pPr>
            <w:r>
              <w:rPr>
                <w:rFonts w:ascii="Arial" w:cs="Arial" w:eastAsia="Arial" w:hAnsi="Arial"/>
                <w:sz w:val="11"/>
                <w:szCs w:val="11"/>
                <w:color w:val="auto"/>
              </w:rPr>
              <w:t>1,078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1,078</w:t>
            </w:r>
          </w:p>
        </w:tc>
        <w:tc>
          <w:tcPr>
            <w:tcW w:w="0" w:type="dxa"/>
            <w:vAlign w:val="bottom"/>
          </w:tcPr>
          <w:p>
            <w:pPr>
              <w:spacing w:after="0"/>
              <w:rPr>
                <w:sz w:val="1"/>
                <w:szCs w:val="1"/>
                <w:color w:val="auto"/>
              </w:rPr>
            </w:pPr>
          </w:p>
        </w:tc>
      </w:tr>
      <w:tr>
        <w:trPr>
          <w:trHeight w:val="163"/>
        </w:trPr>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27,075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27,075</w:t>
            </w:r>
          </w:p>
        </w:tc>
        <w:tc>
          <w:tcPr>
            <w:tcW w:w="0" w:type="dxa"/>
            <w:vAlign w:val="bottom"/>
          </w:tcPr>
          <w:p>
            <w:pPr>
              <w:spacing w:after="0"/>
              <w:rPr>
                <w:sz w:val="1"/>
                <w:szCs w:val="1"/>
                <w:color w:val="auto"/>
              </w:rPr>
            </w:pPr>
          </w:p>
        </w:tc>
      </w:tr>
      <w:tr>
        <w:trPr>
          <w:trHeight w:val="150"/>
        </w:trPr>
        <w:tc>
          <w:tcPr>
            <w:tcW w:w="10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281,992,011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872,237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1,887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27,227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901,631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Three Months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18415</wp:posOffset>
            </wp:positionV>
            <wp:extent cx="7107555" cy="1892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7555" cy="189293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4040" w:space="220"/>
            <w:col w:w="6940"/>
          </w:cols>
          <w:pgMar w:left="300" w:top="129" w:right="399" w:bottom="1440" w:gutter="0" w:footer="0" w:header="0"/>
          <w:type w:val="continuous"/>
        </w:sectPr>
      </w:pPr>
    </w:p>
    <w:tbl>
      <w:tblPr>
        <w:tblLayout w:type="fixed"/>
        <w:tblInd w:w="2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1520" w:type="dxa"/>
            <w:vAlign w:val="bottom"/>
            <w:gridSpan w:val="3"/>
          </w:tcPr>
          <w:p>
            <w:pPr>
              <w:jc w:val="center"/>
              <w:ind w:left="663"/>
              <w:spacing w:after="0"/>
              <w:rPr>
                <w:sz w:val="20"/>
                <w:szCs w:val="20"/>
                <w:color w:val="auto"/>
              </w:rPr>
            </w:pPr>
            <w:r>
              <w:rPr>
                <w:rFonts w:ascii="Arial" w:cs="Arial" w:eastAsia="Arial" w:hAnsi="Arial"/>
                <w:sz w:val="11"/>
                <w:szCs w:val="11"/>
                <w:b w:val="1"/>
                <w:bCs w:val="1"/>
                <w:color w:val="auto"/>
                <w:w w:val="92"/>
              </w:rPr>
              <w:t>Convertible</w:t>
            </w:r>
          </w:p>
        </w:tc>
        <w:tc>
          <w:tcPr>
            <w:tcW w:w="720" w:type="dxa"/>
            <w:vAlign w:val="bottom"/>
          </w:tcPr>
          <w:p>
            <w:pPr>
              <w:spacing w:after="0"/>
              <w:rPr>
                <w:sz w:val="10"/>
                <w:szCs w:val="10"/>
                <w:color w:val="auto"/>
              </w:rPr>
            </w:pPr>
          </w:p>
        </w:tc>
      </w:tr>
      <w:tr>
        <w:trPr>
          <w:trHeight w:val="151"/>
        </w:trPr>
        <w:tc>
          <w:tcPr>
            <w:tcW w:w="1820" w:type="dxa"/>
            <w:vAlign w:val="bottom"/>
          </w:tcPr>
          <w:p>
            <w:pPr>
              <w:spacing w:after="0"/>
              <w:rPr>
                <w:sz w:val="13"/>
                <w:szCs w:val="13"/>
                <w:color w:val="auto"/>
              </w:rPr>
            </w:pPr>
          </w:p>
        </w:tc>
        <w:tc>
          <w:tcPr>
            <w:tcW w:w="1520" w:type="dxa"/>
            <w:vAlign w:val="bottom"/>
            <w:tcBorders>
              <w:bottom w:val="single" w:sz="8" w:color="auto"/>
            </w:tcBorders>
            <w:gridSpan w:val="3"/>
          </w:tcPr>
          <w:p>
            <w:pPr>
              <w:jc w:val="center"/>
              <w:ind w:left="663"/>
              <w:spacing w:after="0"/>
              <w:rPr>
                <w:sz w:val="20"/>
                <w:szCs w:val="20"/>
                <w:color w:val="auto"/>
              </w:rPr>
            </w:pPr>
            <w:r>
              <w:rPr>
                <w:rFonts w:ascii="Arial" w:cs="Arial" w:eastAsia="Arial" w:hAnsi="Arial"/>
                <w:sz w:val="11"/>
                <w:szCs w:val="11"/>
                <w:b w:val="1"/>
                <w:bCs w:val="1"/>
                <w:color w:val="auto"/>
                <w:w w:val="92"/>
              </w:rPr>
              <w:t>Preferred Stock</w:t>
            </w:r>
          </w:p>
        </w:tc>
        <w:tc>
          <w:tcPr>
            <w:tcW w:w="720" w:type="dxa"/>
            <w:vAlign w:val="bottom"/>
            <w:tcBorders>
              <w:bottom w:val="single" w:sz="8" w:color="auto"/>
            </w:tcBorders>
          </w:tcPr>
          <w:p>
            <w:pPr>
              <w:spacing w:after="0"/>
              <w:rPr>
                <w:sz w:val="13"/>
                <w:szCs w:val="13"/>
                <w:color w:val="auto"/>
              </w:rPr>
            </w:pPr>
          </w:p>
        </w:tc>
      </w:tr>
      <w:tr>
        <w:trPr>
          <w:trHeight w:val="146"/>
        </w:trPr>
        <w:tc>
          <w:tcPr>
            <w:tcW w:w="1820" w:type="dxa"/>
            <w:vAlign w:val="bottom"/>
          </w:tcPr>
          <w:p>
            <w:pPr>
              <w:spacing w:after="0"/>
              <w:rPr>
                <w:sz w:val="12"/>
                <w:szCs w:val="12"/>
                <w:color w:val="auto"/>
              </w:rPr>
            </w:pPr>
          </w:p>
        </w:tc>
        <w:tc>
          <w:tcPr>
            <w:tcW w:w="1260" w:type="dxa"/>
            <w:vAlign w:val="bottom"/>
            <w:gridSpan w:val="2"/>
          </w:tcPr>
          <w:p>
            <w:pPr>
              <w:ind w:left="42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2"/>
                <w:szCs w:val="12"/>
                <w:color w:val="auto"/>
              </w:rPr>
            </w:pPr>
          </w:p>
        </w:tc>
        <w:tc>
          <w:tcPr>
            <w:tcW w:w="720" w:type="dxa"/>
            <w:vAlign w:val="bottom"/>
          </w:tcPr>
          <w:p>
            <w:pPr>
              <w:jc w:val="right"/>
              <w:ind w:right="243"/>
              <w:spacing w:after="0"/>
              <w:rPr>
                <w:sz w:val="20"/>
                <w:szCs w:val="20"/>
                <w:color w:val="auto"/>
              </w:rPr>
            </w:pPr>
            <w:r>
              <w:rPr>
                <w:rFonts w:ascii="Arial" w:cs="Arial" w:eastAsia="Arial" w:hAnsi="Arial"/>
                <w:sz w:val="11"/>
                <w:szCs w:val="11"/>
                <w:b w:val="1"/>
                <w:bCs w:val="1"/>
                <w:color w:val="auto"/>
                <w:w w:val="96"/>
              </w:rPr>
              <w:t>Amount</w:t>
            </w:r>
          </w:p>
        </w:tc>
      </w:tr>
      <w:tr>
        <w:trPr>
          <w:trHeight w:val="150"/>
        </w:trPr>
        <w:tc>
          <w:tcPr>
            <w:tcW w:w="1820" w:type="dxa"/>
            <w:vAlign w:val="bottom"/>
          </w:tcPr>
          <w:p>
            <w:pPr>
              <w:spacing w:after="0"/>
              <w:rPr>
                <w:sz w:val="20"/>
                <w:szCs w:val="20"/>
                <w:color w:val="auto"/>
              </w:rPr>
            </w:pPr>
            <w:r>
              <w:rPr>
                <w:rFonts w:ascii="Arial" w:cs="Arial" w:eastAsia="Arial" w:hAnsi="Arial"/>
                <w:sz w:val="11"/>
                <w:szCs w:val="11"/>
                <w:color w:val="auto"/>
              </w:rPr>
              <w:t>Balance as of January 31, 2019</w:t>
            </w:r>
          </w:p>
        </w:tc>
        <w:tc>
          <w:tcPr>
            <w:tcW w:w="116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152,665,804</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159,552</w:t>
            </w:r>
          </w:p>
        </w:tc>
      </w:tr>
      <w:tr>
        <w:trPr>
          <w:trHeight w:val="131"/>
        </w:trPr>
        <w:tc>
          <w:tcPr>
            <w:tcW w:w="1820" w:type="dxa"/>
            <w:vAlign w:val="bottom"/>
          </w:tcPr>
          <w:p>
            <w:pPr>
              <w:spacing w:after="0"/>
              <w:rPr>
                <w:sz w:val="20"/>
                <w:szCs w:val="20"/>
                <w:color w:val="auto"/>
              </w:rPr>
            </w:pPr>
            <w:r>
              <w:rPr>
                <w:rFonts w:ascii="Arial" w:cs="Arial" w:eastAsia="Arial" w:hAnsi="Arial"/>
                <w:sz w:val="11"/>
                <w:szCs w:val="11"/>
                <w:color w:val="auto"/>
              </w:rPr>
              <w:t>Conversion of convertible preferred</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1"/>
                <w:szCs w:val="11"/>
                <w:color w:val="auto"/>
              </w:rPr>
              <w:t>stock to common stock upon initial</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1"/>
                <w:szCs w:val="11"/>
                <w:color w:val="auto"/>
              </w:rPr>
              <w:t>public offering</w:t>
            </w:r>
          </w:p>
        </w:tc>
        <w:tc>
          <w:tcPr>
            <w:tcW w:w="1160" w:type="dxa"/>
            <w:vAlign w:val="bottom"/>
          </w:tcPr>
          <w:p>
            <w:pPr>
              <w:ind w:left="420"/>
              <w:spacing w:after="0"/>
              <w:rPr>
                <w:sz w:val="20"/>
                <w:szCs w:val="20"/>
                <w:color w:val="auto"/>
              </w:rPr>
            </w:pPr>
            <w:r>
              <w:rPr>
                <w:rFonts w:ascii="Arial" w:cs="Arial" w:eastAsia="Arial" w:hAnsi="Arial"/>
                <w:sz w:val="11"/>
                <w:szCs w:val="11"/>
                <w:color w:val="auto"/>
              </w:rPr>
              <w:t>(152,665,804)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(159,552)</w:t>
            </w:r>
          </w:p>
        </w:tc>
      </w:tr>
      <w:tr>
        <w:trPr>
          <w:trHeight w:val="131"/>
        </w:trPr>
        <w:tc>
          <w:tcPr>
            <w:tcW w:w="1820" w:type="dxa"/>
            <w:vAlign w:val="bottom"/>
          </w:tcPr>
          <w:p>
            <w:pPr>
              <w:spacing w:after="0"/>
              <w:rPr>
                <w:sz w:val="20"/>
                <w:szCs w:val="20"/>
                <w:color w:val="auto"/>
              </w:rPr>
            </w:pPr>
            <w:r>
              <w:rPr>
                <w:rFonts w:ascii="Arial" w:cs="Arial" w:eastAsia="Arial" w:hAnsi="Arial"/>
                <w:sz w:val="11"/>
                <w:szCs w:val="11"/>
                <w:color w:val="auto"/>
                <w:w w:val="99"/>
              </w:rPr>
              <w:t>Conversion of convertible promissory</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1"/>
                <w:szCs w:val="11"/>
                <w:color w:val="auto"/>
                <w:w w:val="96"/>
              </w:rPr>
              <w:t>notes and accrued interest to common</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1"/>
                <w:szCs w:val="11"/>
                <w:color w:val="auto"/>
              </w:rPr>
              <w:t>stock upon initial public offering</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31"/>
        </w:trPr>
        <w:tc>
          <w:tcPr>
            <w:tcW w:w="1820" w:type="dxa"/>
            <w:vAlign w:val="bottom"/>
          </w:tcPr>
          <w:p>
            <w:pPr>
              <w:spacing w:after="0"/>
              <w:rPr>
                <w:sz w:val="20"/>
                <w:szCs w:val="20"/>
                <w:color w:val="auto"/>
              </w:rPr>
            </w:pPr>
            <w:r>
              <w:rPr>
                <w:rFonts w:ascii="Arial" w:cs="Arial" w:eastAsia="Arial" w:hAnsi="Arial"/>
                <w:sz w:val="11"/>
                <w:szCs w:val="11"/>
                <w:color w:val="auto"/>
                <w:w w:val="96"/>
              </w:rPr>
              <w:t>Issuance of common stock upon initial</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1"/>
                <w:szCs w:val="11"/>
                <w:color w:val="auto"/>
                <w:w w:val="98"/>
              </w:rPr>
              <w:t>public offering and private placement,</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1"/>
                <w:szCs w:val="11"/>
                <w:color w:val="auto"/>
              </w:rPr>
              <w:t>net of underwriting discounts and</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1"/>
                <w:szCs w:val="11"/>
                <w:color w:val="auto"/>
                <w:w w:val="99"/>
              </w:rPr>
              <w:t>commissions and other offering costs</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31"/>
        </w:trPr>
        <w:tc>
          <w:tcPr>
            <w:tcW w:w="1820" w:type="dxa"/>
            <w:vAlign w:val="bottom"/>
          </w:tcPr>
          <w:p>
            <w:pPr>
              <w:spacing w:after="0"/>
              <w:rPr>
                <w:sz w:val="20"/>
                <w:szCs w:val="20"/>
                <w:color w:val="auto"/>
              </w:rPr>
            </w:pPr>
            <w:r>
              <w:rPr>
                <w:rFonts w:ascii="Arial" w:cs="Arial" w:eastAsia="Arial" w:hAnsi="Arial"/>
                <w:sz w:val="11"/>
                <w:szCs w:val="11"/>
                <w:color w:val="auto"/>
              </w:rPr>
              <w:t>Issuance of common stock upon</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1"/>
                <w:szCs w:val="11"/>
                <w:color w:val="auto"/>
              </w:rPr>
              <w:t>exercise of stock options, net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1"/>
                <w:szCs w:val="11"/>
                <w:color w:val="auto"/>
              </w:rPr>
              <w:t>repurchases</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59"/>
        </w:trPr>
        <w:tc>
          <w:tcPr>
            <w:tcW w:w="182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59"/>
        </w:trPr>
        <w:tc>
          <w:tcPr>
            <w:tcW w:w="182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3"/>
        </w:trPr>
        <w:tc>
          <w:tcPr>
            <w:tcW w:w="1820" w:type="dxa"/>
            <w:vAlign w:val="bottom"/>
          </w:tcPr>
          <w:p>
            <w:pPr>
              <w:spacing w:after="0"/>
              <w:rPr>
                <w:sz w:val="20"/>
                <w:szCs w:val="20"/>
                <w:color w:val="auto"/>
              </w:rPr>
            </w:pPr>
            <w:r>
              <w:rPr>
                <w:rFonts w:ascii="Arial" w:cs="Arial" w:eastAsia="Arial" w:hAnsi="Arial"/>
                <w:sz w:val="11"/>
                <w:szCs w:val="11"/>
                <w:color w:val="auto"/>
              </w:rPr>
              <w:t>Net income</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154"/>
        </w:trPr>
        <w:tc>
          <w:tcPr>
            <w:tcW w:w="1820" w:type="dxa"/>
            <w:vAlign w:val="bottom"/>
          </w:tcPr>
          <w:p>
            <w:pPr>
              <w:spacing w:after="0"/>
              <w:rPr>
                <w:sz w:val="20"/>
                <w:szCs w:val="20"/>
                <w:color w:val="auto"/>
              </w:rPr>
            </w:pPr>
            <w:r>
              <w:rPr>
                <w:rFonts w:ascii="Arial" w:cs="Arial" w:eastAsia="Arial" w:hAnsi="Arial"/>
                <w:sz w:val="11"/>
                <w:szCs w:val="11"/>
                <w:color w:val="auto"/>
              </w:rPr>
              <w:t>Balance as of April 30, 2019</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1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960" w:type="dxa"/>
            <w:vAlign w:val="bottom"/>
            <w:gridSpan w:val="4"/>
            <w:vMerge w:val="restart"/>
          </w:tcPr>
          <w:p>
            <w:pPr>
              <w:jc w:val="right"/>
              <w:ind w:right="563"/>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Accumulated Other</w:t>
            </w: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99"/>
        </w:trPr>
        <w:tc>
          <w:tcPr>
            <w:tcW w:w="19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40"/>
              <w:spacing w:after="0" w:line="93"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8"/>
                <w:szCs w:val="8"/>
                <w:color w:val="auto"/>
              </w:rPr>
            </w:pPr>
          </w:p>
        </w:tc>
        <w:tc>
          <w:tcPr>
            <w:tcW w:w="132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rPr>
              <w:t>Comprehensive (Loss)</w:t>
            </w: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jc w:val="center"/>
              <w:ind w:right="84"/>
              <w:spacing w:after="0" w:line="9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54"/>
        </w:trPr>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Income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Accumulated Deficit</w:t>
            </w:r>
          </w:p>
        </w:tc>
        <w:tc>
          <w:tcPr>
            <w:tcW w:w="160" w:type="dxa"/>
            <w:vAlign w:val="bottom"/>
          </w:tcPr>
          <w:p>
            <w:pPr>
              <w:spacing w:after="0"/>
              <w:rPr>
                <w:sz w:val="13"/>
                <w:szCs w:val="13"/>
                <w:color w:val="auto"/>
              </w:rPr>
            </w:pPr>
          </w:p>
        </w:tc>
        <w:tc>
          <w:tcPr>
            <w:tcW w:w="1040" w:type="dxa"/>
            <w:vAlign w:val="bottom"/>
          </w:tcPr>
          <w:p>
            <w:pPr>
              <w:jc w:val="center"/>
              <w:ind w:right="104"/>
              <w:spacing w:after="0"/>
              <w:rPr>
                <w:sz w:val="20"/>
                <w:szCs w:val="20"/>
                <w:color w:val="auto"/>
              </w:rPr>
            </w:pPr>
            <w:r>
              <w:rPr>
                <w:rFonts w:ascii="Arial" w:cs="Arial" w:eastAsia="Arial" w:hAnsi="Arial"/>
                <w:sz w:val="11"/>
                <w:szCs w:val="11"/>
                <w:b w:val="1"/>
                <w:bCs w:val="1"/>
                <w:color w:val="auto"/>
                <w:w w:val="97"/>
              </w:rPr>
              <w:t>(Deficit) Equity</w:t>
            </w:r>
          </w:p>
        </w:tc>
        <w:tc>
          <w:tcPr>
            <w:tcW w:w="0" w:type="dxa"/>
            <w:vAlign w:val="bottom"/>
          </w:tcPr>
          <w:p>
            <w:pPr>
              <w:spacing w:after="0"/>
              <w:rPr>
                <w:sz w:val="1"/>
                <w:szCs w:val="1"/>
                <w:color w:val="auto"/>
              </w:rPr>
            </w:pPr>
          </w:p>
        </w:tc>
      </w:tr>
      <w:tr>
        <w:trPr>
          <w:trHeight w:val="146"/>
        </w:trPr>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90,327,435</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17,760</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(25,153)</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(7,439)</w:t>
            </w:r>
          </w:p>
        </w:tc>
        <w:tc>
          <w:tcPr>
            <w:tcW w:w="0" w:type="dxa"/>
            <w:vAlign w:val="bottom"/>
          </w:tcPr>
          <w:p>
            <w:pPr>
              <w:spacing w:after="0"/>
              <w:rPr>
                <w:sz w:val="1"/>
                <w:szCs w:val="1"/>
                <w:color w:val="auto"/>
              </w:rPr>
            </w:pPr>
          </w:p>
        </w:tc>
      </w:tr>
      <w:tr>
        <w:trPr>
          <w:trHeight w:val="393"/>
        </w:trPr>
        <w:tc>
          <w:tcPr>
            <w:tcW w:w="1020" w:type="dxa"/>
            <w:vAlign w:val="bottom"/>
          </w:tcPr>
          <w:p>
            <w:pPr>
              <w:jc w:val="right"/>
              <w:ind w:right="63"/>
              <w:spacing w:after="0"/>
              <w:rPr>
                <w:sz w:val="20"/>
                <w:szCs w:val="20"/>
                <w:color w:val="auto"/>
              </w:rPr>
            </w:pPr>
            <w:r>
              <w:rPr>
                <w:rFonts w:ascii="Arial" w:cs="Arial" w:eastAsia="Arial" w:hAnsi="Arial"/>
                <w:sz w:val="11"/>
                <w:szCs w:val="11"/>
                <w:color w:val="auto"/>
              </w:rPr>
              <w:t>152,665,804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159,399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159,552</w:t>
            </w:r>
          </w:p>
        </w:tc>
        <w:tc>
          <w:tcPr>
            <w:tcW w:w="0" w:type="dxa"/>
            <w:vAlign w:val="bottom"/>
          </w:tcPr>
          <w:p>
            <w:pPr>
              <w:spacing w:after="0"/>
              <w:rPr>
                <w:sz w:val="1"/>
                <w:szCs w:val="1"/>
                <w:color w:val="auto"/>
              </w:rPr>
            </w:pPr>
          </w:p>
        </w:tc>
      </w:tr>
      <w:tr>
        <w:trPr>
          <w:trHeight w:val="393"/>
        </w:trPr>
        <w:tc>
          <w:tcPr>
            <w:tcW w:w="1020" w:type="dxa"/>
            <w:vAlign w:val="bottom"/>
          </w:tcPr>
          <w:p>
            <w:pPr>
              <w:jc w:val="right"/>
              <w:ind w:right="63"/>
              <w:spacing w:after="0"/>
              <w:rPr>
                <w:sz w:val="20"/>
                <w:szCs w:val="20"/>
                <w:color w:val="auto"/>
              </w:rPr>
            </w:pPr>
            <w:r>
              <w:rPr>
                <w:rFonts w:ascii="Arial" w:cs="Arial" w:eastAsia="Arial" w:hAnsi="Arial"/>
                <w:sz w:val="11"/>
                <w:szCs w:val="11"/>
                <w:color w:val="auto"/>
              </w:rPr>
              <w:t>426,223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15,344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15,344</w:t>
            </w:r>
          </w:p>
        </w:tc>
        <w:tc>
          <w:tcPr>
            <w:tcW w:w="0" w:type="dxa"/>
            <w:vAlign w:val="bottom"/>
          </w:tcPr>
          <w:p>
            <w:pPr>
              <w:spacing w:after="0"/>
              <w:rPr>
                <w:sz w:val="1"/>
                <w:szCs w:val="1"/>
                <w:color w:val="auto"/>
              </w:rPr>
            </w:pPr>
          </w:p>
        </w:tc>
      </w:tr>
      <w:tr>
        <w:trPr>
          <w:trHeight w:val="509"/>
        </w:trPr>
        <w:tc>
          <w:tcPr>
            <w:tcW w:w="1020" w:type="dxa"/>
            <w:vAlign w:val="bottom"/>
          </w:tcPr>
          <w:p>
            <w:pPr>
              <w:jc w:val="right"/>
              <w:ind w:right="63"/>
              <w:spacing w:after="0"/>
              <w:rPr>
                <w:sz w:val="20"/>
                <w:szCs w:val="20"/>
                <w:color w:val="auto"/>
              </w:rPr>
            </w:pPr>
            <w:r>
              <w:rPr>
                <w:rFonts w:ascii="Arial" w:cs="Arial" w:eastAsia="Arial" w:hAnsi="Arial"/>
                <w:sz w:val="11"/>
                <w:szCs w:val="11"/>
                <w:color w:val="auto"/>
              </w:rPr>
              <w:t>15,819,646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541,483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541,499</w:t>
            </w:r>
          </w:p>
        </w:tc>
        <w:tc>
          <w:tcPr>
            <w:tcW w:w="0" w:type="dxa"/>
            <w:vAlign w:val="bottom"/>
          </w:tcPr>
          <w:p>
            <w:pPr>
              <w:spacing w:after="0"/>
              <w:rPr>
                <w:sz w:val="1"/>
                <w:szCs w:val="1"/>
                <w:color w:val="auto"/>
              </w:rPr>
            </w:pPr>
          </w:p>
        </w:tc>
      </w:tr>
      <w:tr>
        <w:trPr>
          <w:trHeight w:val="393"/>
        </w:trPr>
        <w:tc>
          <w:tcPr>
            <w:tcW w:w="1020" w:type="dxa"/>
            <w:vAlign w:val="bottom"/>
          </w:tcPr>
          <w:p>
            <w:pPr>
              <w:jc w:val="right"/>
              <w:ind w:right="63"/>
              <w:spacing w:after="0"/>
              <w:rPr>
                <w:sz w:val="20"/>
                <w:szCs w:val="20"/>
                <w:color w:val="auto"/>
              </w:rPr>
            </w:pPr>
            <w:r>
              <w:rPr>
                <w:rFonts w:ascii="Arial" w:cs="Arial" w:eastAsia="Arial" w:hAnsi="Arial"/>
                <w:sz w:val="11"/>
                <w:szCs w:val="11"/>
                <w:color w:val="auto"/>
              </w:rPr>
              <w:t>13,097,754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1,740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1,753</w:t>
            </w:r>
          </w:p>
        </w:tc>
        <w:tc>
          <w:tcPr>
            <w:tcW w:w="0" w:type="dxa"/>
            <w:vAlign w:val="bottom"/>
          </w:tcPr>
          <w:p>
            <w:pPr>
              <w:spacing w:after="0"/>
              <w:rPr>
                <w:sz w:val="1"/>
                <w:szCs w:val="1"/>
                <w:color w:val="auto"/>
              </w:rPr>
            </w:pPr>
          </w:p>
        </w:tc>
      </w:tr>
      <w:tr>
        <w:trPr>
          <w:trHeight w:val="159"/>
        </w:trPr>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6,662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6,662</w:t>
            </w:r>
          </w:p>
        </w:tc>
        <w:tc>
          <w:tcPr>
            <w:tcW w:w="0" w:type="dxa"/>
            <w:vAlign w:val="bottom"/>
          </w:tcPr>
          <w:p>
            <w:pPr>
              <w:spacing w:after="0"/>
              <w:rPr>
                <w:sz w:val="1"/>
                <w:szCs w:val="1"/>
                <w:color w:val="auto"/>
              </w:rPr>
            </w:pPr>
          </w:p>
        </w:tc>
      </w:tr>
      <w:tr>
        <w:trPr>
          <w:trHeight w:val="159"/>
        </w:trPr>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63"/>
        </w:trPr>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2,214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4"/>
              <w:spacing w:after="0"/>
              <w:rPr>
                <w:sz w:val="20"/>
                <w:szCs w:val="20"/>
                <w:color w:val="auto"/>
              </w:rPr>
            </w:pPr>
            <w:r>
              <w:rPr>
                <w:rFonts w:ascii="Arial" w:cs="Arial" w:eastAsia="Arial" w:hAnsi="Arial"/>
                <w:sz w:val="11"/>
                <w:szCs w:val="11"/>
                <w:color w:val="auto"/>
              </w:rPr>
              <w:t>2,214</w:t>
            </w:r>
          </w:p>
        </w:tc>
        <w:tc>
          <w:tcPr>
            <w:tcW w:w="0" w:type="dxa"/>
            <w:vAlign w:val="bottom"/>
          </w:tcPr>
          <w:p>
            <w:pPr>
              <w:spacing w:after="0"/>
              <w:rPr>
                <w:sz w:val="1"/>
                <w:szCs w:val="1"/>
                <w:color w:val="auto"/>
              </w:rPr>
            </w:pPr>
          </w:p>
        </w:tc>
      </w:tr>
      <w:tr>
        <w:trPr>
          <w:trHeight w:val="150"/>
        </w:trPr>
        <w:tc>
          <w:tcPr>
            <w:tcW w:w="10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272,336,862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271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742,388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(22,939)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719,728</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2">
            <w:col w:w="4080" w:space="200"/>
            <w:col w:w="6920"/>
          </w:cols>
          <w:pgMar w:left="300" w:top="129" w:right="399" w:bottom="1440" w:gutter="0" w:footer="0" w:header="0"/>
          <w:type w:val="continuous"/>
        </w:sectPr>
      </w:pPr>
    </w:p>
    <w:p>
      <w:pPr>
        <w:jc w:val="center"/>
        <w:ind w:right="-99"/>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 April 30,</w:t>
            </w:r>
          </w:p>
        </w:tc>
        <w:tc>
          <w:tcPr>
            <w:tcW w:w="0" w:type="dxa"/>
            <w:vAlign w:val="bottom"/>
          </w:tcPr>
          <w:p>
            <w:pPr>
              <w:spacing w:after="0"/>
              <w:rPr>
                <w:sz w:val="1"/>
                <w:szCs w:val="1"/>
                <w:color w:val="auto"/>
              </w:rPr>
            </w:pPr>
          </w:p>
        </w:tc>
      </w:tr>
      <w:tr>
        <w:trPr>
          <w:trHeight w:val="150"/>
        </w:trPr>
        <w:tc>
          <w:tcPr>
            <w:tcW w:w="824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27,075</w:t>
            </w:r>
          </w:p>
        </w:tc>
        <w:tc>
          <w:tcPr>
            <w:tcW w:w="14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2,214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28,777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6,662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Amortization of deferred contract acquisition costs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16,287</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7,419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5,339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3,324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Provision for accounts receivable allowances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3,868</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Non-cash operating lease cost</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2,248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1,533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Charitable donation of common stock</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1,000</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Remeasurement gain on equity investment</w:t>
            </w:r>
          </w:p>
        </w:tc>
        <w:tc>
          <w:tcPr>
            <w:tcW w:w="36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(2,538)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1,117</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(142,501)</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(16,103)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36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(49,080)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(8,617)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contract acquisition costs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(124,854)</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(14,434)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1,756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4,373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167,322</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12,223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322,862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23,557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Operating lease liabilities, net</w:t>
            </w: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287</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7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258,965</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22,236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(207,546)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(23,312)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Maturities of marketable securities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137,014</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28,890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Sales of marketable securities</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26,613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(7,272)</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(6,897)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Purchase of equity investment</w:t>
            </w:r>
          </w:p>
        </w:tc>
        <w:tc>
          <w:tcPr>
            <w:tcW w:w="36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(8,000)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Purchase of convertible promissory note</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(5,000)</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Collections of employee loans</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1,319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Purchase of intangible assets</w:t>
            </w: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(162)</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7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(63,034)</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Proceeds from international employee stock sales to be remitted to employees and tax authorities, net</w:t>
            </w:r>
          </w:p>
        </w:tc>
        <w:tc>
          <w:tcPr>
            <w:tcW w:w="36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218,540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9,586</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w w:val="99"/>
              </w:rPr>
              <w:t>Proceeds from initial public offering and private placement, net of underwriting discounts and commissions and other offering costs</w:t>
            </w:r>
          </w:p>
        </w:tc>
        <w:tc>
          <w:tcPr>
            <w:tcW w:w="36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543,471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228,126</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545,252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424,057</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566,169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334,082</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65,968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758,139</w:t>
            </w:r>
          </w:p>
        </w:tc>
        <w:tc>
          <w:tcPr>
            <w:tcW w:w="1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632,137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40" w:type="dxa"/>
            <w:vAlign w:val="bottom"/>
            <w:vMerge w:val="restart"/>
          </w:tcPr>
          <w:p>
            <w:pPr>
              <w:ind w:left="5600"/>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107555" cy="242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7555" cy="2425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right="3100"/>
        <w:spacing w:after="0" w:line="287" w:lineRule="auto"/>
        <w:rPr>
          <w:sz w:val="20"/>
          <w:szCs w:val="20"/>
          <w:color w:val="auto"/>
        </w:rPr>
      </w:pPr>
      <w:r>
        <w:rPr>
          <w:rFonts w:ascii="Arial" w:cs="Arial" w:eastAsia="Arial" w:hAnsi="Arial"/>
          <w:sz w:val="14"/>
          <w:szCs w:val="14"/>
          <w:b w:val="1"/>
          <w:bCs w:val="1"/>
          <w:color w:val="auto"/>
        </w:rPr>
        <w:t>Reconciliation of cash, cash equivalents, and restricted cash within the condensed consolidated balance sheets to the amounts shown in the condensed consolidated statements of cash flows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4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488,653</w:t>
            </w:r>
          </w:p>
        </w:tc>
        <w:tc>
          <w:tcPr>
            <w:tcW w:w="1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629,793</w:t>
            </w:r>
          </w:p>
        </w:tc>
      </w:tr>
      <w:tr>
        <w:trPr>
          <w:trHeight w:val="22"/>
        </w:trPr>
        <w:tc>
          <w:tcPr>
            <w:tcW w:w="8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Restricted cash, current included in prepaid expenses and other current assets</w:t>
            </w: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267,191</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200</w:t>
            </w:r>
          </w:p>
        </w:tc>
      </w:tr>
      <w:tr>
        <w:trPr>
          <w:trHeight w:val="191"/>
        </w:trPr>
        <w:tc>
          <w:tcPr>
            <w:tcW w:w="8240" w:type="dxa"/>
            <w:vAlign w:val="bottom"/>
          </w:tcPr>
          <w:p>
            <w:pPr>
              <w:ind w:left="160"/>
              <w:spacing w:after="0"/>
              <w:rPr>
                <w:sz w:val="20"/>
                <w:szCs w:val="20"/>
                <w:color w:val="auto"/>
              </w:rPr>
            </w:pPr>
            <w:r>
              <w:rPr>
                <w:rFonts w:ascii="Arial" w:cs="Arial" w:eastAsia="Arial" w:hAnsi="Arial"/>
                <w:sz w:val="14"/>
                <w:szCs w:val="14"/>
                <w:color w:val="auto"/>
              </w:rPr>
              <w:t>Restricted cash, noncurrent included in other assets, noncurrent</w:t>
            </w:r>
          </w:p>
        </w:tc>
        <w:tc>
          <w:tcPr>
            <w:tcW w:w="48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2,295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2,144</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cash, cash equivalents, and restricted cash</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758,139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632,137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Business and Significant Accounting Policies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9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Zoom Video Communications, Inc. and its subsidiaries (together,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Fiscal Year</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fiscal year ends on January 31. References to fiscal year 2021, for example, refer to the fiscal year ending January 31, 2021.</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94"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a variable interest entity (“VIE”) for which we are the primary beneficiary. All intercompany balances and transactions have been eliminated in consolidation.</w:t>
      </w:r>
    </w:p>
    <w:p>
      <w:pPr>
        <w:spacing w:after="0" w:line="39"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condensed consolidated balance sheet as of January 31, 2020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4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unaudited condensed consolidated financial statements should be read in conjunction with the audited consolidated financial statements and notes included in our Annual Report on Form 10-K for the year ended January 31, 2020, filed with the SEC on March 20, 2020.</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allowance for credit losses, the useful lives of long-lived assets, the incremental borrowing rate for operating leases, the value of common stock and other assumptions used to measure stock-based compensation expense, sales and other tax liabilities, the fair value of the convertible promissory note, and the valuation of deferred income tax assets and uncertain tax positions. Actual results could differ from those estimates.</w:t>
      </w:r>
    </w:p>
    <w:p>
      <w:pPr>
        <w:spacing w:after="0" w:line="6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novel coronavirus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three months ended April 30, 2020, many of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Summary of Significant Accounting Policies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significant accounting policies are discussed in Note 1. “Summary of Business and Significant Accounting Policies” in the notes to consolidated financial statements included in our Annual Report on Form 10-K for the year ended January 31, 2020, filed with the SEC on March 20, 2020. There have been no significant changes to these policies during the three months ended April 30, 2020, except as noted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Restricted Cash</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Restricted cash consisted of certificates of deposit collateralizing our operating leases, corporate credit cards, and cash from proceeds on international employees’ sales of our common stock, and is included in prepaid expenses and other current assets and other assets, noncurrent in the condensed consolidated balance sheets.</w:t>
      </w:r>
    </w:p>
    <w:p>
      <w:pPr>
        <w:spacing w:after="0" w:line="4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As of April 30, 2020 and January 31, 2020, we had $267.1 million and $48.5 million, respectively, of cash from proceeds on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included in accrued expenses and other current liabilities in the condensed consolidated balance sheets.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Allowance for Credit Losses</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are exposed to credit losses primarily through our accounts receivable and investments in available-for-sale debt securities. See Note 3 for additional information related to our available-for-sale debt securities.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Accounts receivable, net</w:t>
      </w:r>
    </w:p>
    <w:p>
      <w:pPr>
        <w:spacing w:after="0" w:line="94"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4"/>
          <w:szCs w:val="14"/>
          <w:color w:val="auto"/>
        </w:rPr>
        <w:t>Accounts receivable are recorded for invoiced amounts and amounts for which revenue has been recognized, but not invoiced, net of allowances. Our short-term accounts receivable consist of the following:</w:t>
      </w:r>
    </w:p>
    <w:p>
      <w:pPr>
        <w:sectPr>
          <w:pgSz w:w="11900" w:h="16838" w:orient="portrait"/>
          <w:cols w:equalWidth="0" w:num="1">
            <w:col w:w="11280"/>
          </w:cols>
          <w:pgMar w:left="300" w:top="129" w:right="319" w:bottom="1440" w:gutter="0" w:footer="0" w:header="0"/>
        </w:sect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allowance for returns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 net</w:t>
      </w:r>
    </w:p>
    <w:p>
      <w:pPr>
        <w:spacing w:after="0" w:line="20" w:lineRule="exact"/>
        <w:rPr>
          <w:sz w:val="20"/>
          <w:szCs w:val="20"/>
          <w:color w:val="auto"/>
        </w:rPr>
      </w:pPr>
      <w:r>
        <w:rPr>
          <w:sz w:val="20"/>
          <w:szCs w:val="20"/>
          <w:color w:val="auto"/>
        </w:rPr>
        <w:br w:type="column"/>
      </w:r>
    </w:p>
    <w:p>
      <w:pPr>
        <w:ind w:left="457"/>
        <w:spacing w:after="0"/>
        <w:rPr>
          <w:sz w:val="20"/>
          <w:szCs w:val="20"/>
          <w:color w:val="auto"/>
        </w:rPr>
      </w:pPr>
      <w:r>
        <w:rPr>
          <w:rFonts w:ascii="Arial" w:cs="Arial" w:eastAsia="Arial" w:hAnsi="Arial"/>
          <w:sz w:val="11"/>
          <w:szCs w:val="11"/>
          <w:b w:val="1"/>
          <w:bCs w:val="1"/>
          <w:color w:val="auto"/>
        </w:rPr>
        <w:t>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18415</wp:posOffset>
            </wp:positionV>
            <wp:extent cx="10375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55" w:lineRule="exact"/>
        <w:rPr>
          <w:sz w:val="20"/>
          <w:szCs w:val="20"/>
          <w:color w:val="auto"/>
        </w:rPr>
      </w:pPr>
    </w:p>
    <w:p>
      <w:pPr>
        <w:ind w:left="457"/>
        <w:spacing w:after="0"/>
        <w:rPr>
          <w:sz w:val="20"/>
          <w:szCs w:val="20"/>
          <w:color w:val="auto"/>
        </w:rPr>
      </w:pPr>
      <w:r>
        <w:rPr>
          <w:rFonts w:ascii="Arial" w:cs="Arial" w:eastAsia="Arial" w:hAnsi="Arial"/>
          <w:sz w:val="11"/>
          <w:szCs w:val="11"/>
          <w:b w:val="1"/>
          <w:bCs w:val="1"/>
          <w:color w:val="auto"/>
        </w:rPr>
        <w:t>(in thousands)</w:t>
      </w:r>
    </w:p>
    <w:p>
      <w:pPr>
        <w:spacing w:after="0" w:line="39" w:lineRule="exact"/>
        <w:rPr>
          <w:sz w:val="20"/>
          <w:szCs w:val="20"/>
          <w:color w:val="auto"/>
        </w:rPr>
      </w:pPr>
    </w:p>
    <w:p>
      <w:pPr>
        <w:ind w:left="1017" w:hanging="1017"/>
        <w:spacing w:after="0"/>
        <w:tabs>
          <w:tab w:leader="none" w:pos="1017" w:val="left"/>
        </w:tabs>
        <w:numPr>
          <w:ilvl w:val="0"/>
          <w:numId w:val="4"/>
        </w:numPr>
        <w:rPr>
          <w:rFonts w:ascii="Arial" w:cs="Arial" w:eastAsia="Arial" w:hAnsi="Arial"/>
          <w:sz w:val="13"/>
          <w:szCs w:val="13"/>
          <w:color w:val="auto"/>
        </w:rPr>
      </w:pPr>
      <w:r>
        <w:rPr>
          <w:rFonts w:ascii="Arial" w:cs="Arial" w:eastAsia="Arial" w:hAnsi="Arial"/>
          <w:sz w:val="13"/>
          <w:szCs w:val="13"/>
          <w:color w:val="auto"/>
        </w:rPr>
        <w:t>269,502</w:t>
      </w:r>
    </w:p>
    <w:p>
      <w:pPr>
        <w:spacing w:after="0" w:line="62" w:lineRule="exact"/>
        <w:rPr>
          <w:rFonts w:ascii="Arial" w:cs="Arial" w:eastAsia="Arial" w:hAnsi="Arial"/>
          <w:sz w:val="13"/>
          <w:szCs w:val="13"/>
          <w:color w:val="auto"/>
        </w:rPr>
      </w:pPr>
    </w:p>
    <w:p>
      <w:pPr>
        <w:ind w:left="1097"/>
        <w:spacing w:after="0"/>
        <w:rPr>
          <w:rFonts w:ascii="Arial" w:cs="Arial" w:eastAsia="Arial" w:hAnsi="Arial"/>
          <w:sz w:val="13"/>
          <w:szCs w:val="13"/>
          <w:color w:val="auto"/>
        </w:rPr>
      </w:pPr>
      <w:r>
        <w:rPr>
          <w:rFonts w:ascii="Arial" w:cs="Arial" w:eastAsia="Arial" w:hAnsi="Arial"/>
          <w:sz w:val="13"/>
          <w:szCs w:val="13"/>
          <w:color w:val="auto"/>
        </w:rPr>
        <w:t>(8,300)</w:t>
      </w:r>
    </w:p>
    <w:p>
      <w:pPr>
        <w:spacing w:after="0" w:line="62" w:lineRule="exact"/>
        <w:rPr>
          <w:rFonts w:ascii="Arial" w:cs="Arial" w:eastAsia="Arial" w:hAnsi="Arial"/>
          <w:sz w:val="13"/>
          <w:szCs w:val="13"/>
          <w:color w:val="auto"/>
        </w:rPr>
      </w:pPr>
    </w:p>
    <w:p>
      <w:pPr>
        <w:ind w:left="1097"/>
        <w:spacing w:after="0"/>
        <w:rPr>
          <w:rFonts w:ascii="Arial" w:cs="Arial" w:eastAsia="Arial" w:hAnsi="Arial"/>
          <w:sz w:val="13"/>
          <w:szCs w:val="13"/>
          <w:color w:val="auto"/>
        </w:rPr>
      </w:pPr>
      <w:r>
        <w:rPr>
          <w:rFonts w:ascii="Arial" w:cs="Arial" w:eastAsia="Arial" w:hAnsi="Arial"/>
          <w:sz w:val="13"/>
          <w:szCs w:val="13"/>
          <w:color w:val="auto"/>
        </w:rPr>
        <w:t>(3,690)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03759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53" w:lineRule="exact"/>
        <w:rPr>
          <w:sz w:val="20"/>
          <w:szCs w:val="20"/>
          <w:color w:val="auto"/>
        </w:rPr>
      </w:pPr>
    </w:p>
    <w:p>
      <w:pPr>
        <w:ind w:left="1017" w:hanging="1017"/>
        <w:spacing w:after="0"/>
        <w:tabs>
          <w:tab w:leader="none" w:pos="1017" w:val="left"/>
        </w:tabs>
        <w:numPr>
          <w:ilvl w:val="0"/>
          <w:numId w:val="5"/>
        </w:numPr>
        <w:rPr>
          <w:rFonts w:ascii="Arial" w:cs="Arial" w:eastAsia="Arial" w:hAnsi="Arial"/>
          <w:sz w:val="13"/>
          <w:szCs w:val="13"/>
          <w:color w:val="auto"/>
        </w:rPr>
      </w:pPr>
      <w:r>
        <w:rPr>
          <w:rFonts w:ascii="Arial" w:cs="Arial" w:eastAsia="Arial" w:hAnsi="Arial"/>
          <w:sz w:val="13"/>
          <w:szCs w:val="13"/>
          <w:color w:val="auto"/>
        </w:rPr>
        <w:t>257,512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03759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759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53340</wp:posOffset>
            </wp:positionV>
            <wp:extent cx="103759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8943" w:space="720"/>
            <w:col w:w="1617"/>
          </w:cols>
          <w:pgMar w:left="300" w:top="129" w:right="319" w:bottom="1440" w:gutter="0" w:footer="0" w:header="0"/>
          <w:type w:val="continuous"/>
        </w:sectPr>
      </w:pPr>
    </w:p>
    <w:p>
      <w:pPr>
        <w:spacing w:after="0" w:line="21"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maintain an allowance for credit losses for expected uncollectible accounts receivable, which is recorded as an offset to accounts receivable, and changes in such are classified as general and administrative expense in the condensed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adjusted based upon our expectations of changes in macro-economic conditions that may impact the collectability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w:t>
      </w:r>
    </w:p>
    <w:p>
      <w:pPr>
        <w:spacing w:after="0" w:line="4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For the three months ended April 30, 2020, our assessment considered business and market disruptions caused by COVID-19 and estimates of credit and collectibility trends. The continued volatility in market conditions and evolving shifts in credit trends are difficult to predict, causing variability and volatility that may have a material impact on our allowance for credit losses in future periods. Below is a rollforward of our allowance for credit losses for the three months ended April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392"/>
              <w:spacing w:after="0"/>
              <w:rPr>
                <w:sz w:val="20"/>
                <w:szCs w:val="20"/>
                <w:color w:val="auto"/>
              </w:rPr>
            </w:pPr>
            <w:r>
              <w:rPr>
                <w:rFonts w:ascii="Arial" w:cs="Arial" w:eastAsia="Arial" w:hAnsi="Arial"/>
                <w:sz w:val="11"/>
                <w:szCs w:val="11"/>
                <w:b w:val="1"/>
                <w:bCs w:val="1"/>
                <w:color w:val="auto"/>
              </w:rPr>
              <w:t>(in thousands)</w:t>
            </w:r>
          </w:p>
        </w:tc>
      </w:tr>
      <w:tr>
        <w:trPr>
          <w:trHeight w:val="196"/>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5,150</w:t>
            </w:r>
          </w:p>
        </w:tc>
      </w:tr>
      <w:tr>
        <w:trPr>
          <w:trHeight w:val="191"/>
        </w:trPr>
        <w:tc>
          <w:tcPr>
            <w:tcW w:w="964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30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color w:val="auto"/>
              </w:rPr>
              <w:t>3,771</w:t>
            </w:r>
          </w:p>
        </w:tc>
      </w:tr>
      <w:tr>
        <w:trPr>
          <w:trHeight w:val="22"/>
        </w:trPr>
        <w:tc>
          <w:tcPr>
            <w:tcW w:w="9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Write-offs</w:t>
            </w: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(621)</w:t>
            </w:r>
          </w:p>
        </w:tc>
      </w:tr>
      <w:tr>
        <w:trPr>
          <w:trHeight w:val="181"/>
        </w:trPr>
        <w:tc>
          <w:tcPr>
            <w:tcW w:w="9640" w:type="dxa"/>
            <w:vAlign w:val="bottom"/>
          </w:tcPr>
          <w:p>
            <w:pPr>
              <w:ind w:left="20"/>
              <w:spacing w:after="0"/>
              <w:rPr>
                <w:sz w:val="20"/>
                <w:szCs w:val="20"/>
                <w:color w:val="auto"/>
              </w:rPr>
            </w:pPr>
            <w:r>
              <w:rPr>
                <w:rFonts w:ascii="Arial" w:cs="Arial" w:eastAsia="Arial" w:hAnsi="Arial"/>
                <w:sz w:val="14"/>
                <w:szCs w:val="14"/>
                <w:color w:val="auto"/>
              </w:rPr>
              <w:t>Balance as of April 30, 2020</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8,300</w:t>
            </w:r>
          </w:p>
        </w:tc>
      </w:tr>
      <w:tr>
        <w:trPr>
          <w:trHeight w:val="22"/>
        </w:trPr>
        <w:tc>
          <w:tcPr>
            <w:tcW w:w="9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9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Available-for-sale Investments</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condensed consolidated balance sheets. We carry these securities at fair value and record unrealized gains and losses in accumulated other comprehensive income, which is reflected as a component of stockholders’ equity. We evaluate our securities with unrealized loss positions as to whether the declines in fair value were due to credit losses, and record the portion of impairment relating to the credit losses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through allowance for credit losses limited to the amount that fair value was less than the amortized cost basis. Realized gains and losses from the sale of marketable securities are determined based on the specific identification method. Realized gains and losses are reported in interest income and other, net in the condensed consolidated statements of operations.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Cloud Computing Arrangement Implementation Costs</w:t>
      </w:r>
    </w:p>
    <w:p>
      <w:pPr>
        <w:spacing w:after="0" w:line="98"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capitalize certain implementation costs incurred in a cloud computing arrangement during the application development stage. Costs incurred in the preliminary stages of development are analogous to research and development activities and are expensed as incurred. The preliminary stage includes activities such as formulation and evaluation of alternatives, determination of existence of needed technology, and final selection of alternatives. Once the application development stage is reached, internal and external costs are capitalized until the hosted software is ready for its intended use. Capitalized implementation costs are recorded as deferred costs, and are included in prepaid expenses and other current assets and other assets, noncurrent in the condensed consolidated balance sheets. Maintenance, minor upgrades, and training costs are expensed as incurred. Capitalized implementation costs are amortized over the term of the hosting arrangement on a straight-line basis, and are recorded under operating expenses in the same line item in the condensed consolidated statements of operations as the expense for fees for the associated hosting arrangement. The capitalized implementation costs were not material during the three months ended April 30, 2020.</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Equity Investment</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the third quarter of fiscal year 2020, we made a $3.0 million strategic investment in a private company in the business of designing and developing video communications hardware. In the first quarter of fiscal year 2021, we made an additional $8.0 million strategic investment in this company.</w:t>
      </w:r>
    </w:p>
    <w:p>
      <w:pPr>
        <w:spacing w:after="0" w:line="47"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do not have a controlling financial interest in the investee nor the ability to exercise significant influence over the operating and financial policies of the investee. The investment is included within other assets, noncurrent in the condensed consolidated balance sheets. Dividend income, unrealized and realized holding gains or losses, and impairment charges would be reported in interest income and other, net in the condensed consolidated statements of operations. The maximum loss we could incur for this investment is its carrying value.</w:t>
      </w:r>
    </w:p>
    <w:p>
      <w:pPr>
        <w:spacing w:after="0" w:line="3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have elected to measure this investment, which does not have a readily determinable fair value, at its cost, minus impairment, if any, plus or minus changes resulting from observable price changes in orderly transactions for the identical or a similar investment of the same issuer (i.e., using the measurement alternative). At each reporting period, we perform a qualitative assessment considering impairment indicators to evaluate whether the investment is impaired. If this qualitative assessment indicates that the investment is impaired and the fair value of the investment is less than its carrying amount, the investment would be written down to its fair value.</w:t>
      </w:r>
    </w:p>
    <w:p>
      <w:pPr>
        <w:spacing w:after="0" w:line="6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connection with the additional investment and the indicated change in the observable price of the underlying shares of the investee as a result of orderly transactions, we have recognized a remeasurement gain of $2.5 million on the initial investment. As of April 30, 2020, the carrying amount of this investment was $13.5 million.</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Convertible Promissory Note</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the first quarter of fiscal year 2021, we invested $5.0 million in a five-year convertible promissory note of a privately held company (the “Convertible Note”), which bears interest at 3.0% on the unpaid principal balance, compounded annually. We may elect to convert the Convertible Note into shares of the privately held company’s stock prior to, or on, the maturity date of the Convertible Note. Upon a liquidity event, the Convertible Note will be automatically converted into shares of the privately held company’s stock.</w:t>
      </w:r>
    </w:p>
    <w:p>
      <w:pPr>
        <w:spacing w:after="0" w:line="5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Convertible Note is included in other assets, noncurrent in the condensed consolidated balance sheets. Interest accrues on the unpaid principal balance on a quarterly basis, and is recognized in interest income and other, net in the condensed consolidated statements of operations. Interest income related to the Convertible Note was immaterial for the three months ended April 30, 2020. We have elected to measure the Convertible Note at fair value (i.e., using the fair value option). Under the fair value option, bifurcation of an embedded derivative is not necessary, and all related gains and losses on the host contract and derivative due to change in the fair value will be reflected in interest income and other, net in the condensed consolidated statements of operations. As of April 30, 2020, the fair value of the Convertible Note investment was measured at $5.0 million.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In June 2016, the Financial Accounting Standards Board (“FASB”) issued Accounting Standards Update (“ASU”) No. 2016-13, </w:t>
      </w:r>
      <w:r>
        <w:rPr>
          <w:rFonts w:ascii="Arial" w:cs="Arial" w:eastAsia="Arial" w:hAnsi="Arial"/>
          <w:sz w:val="13"/>
          <w:szCs w:val="13"/>
          <w:i w:val="1"/>
          <w:iCs w:val="1"/>
          <w:color w:val="auto"/>
        </w:rPr>
        <w:t>Financial Instruments – Credit Losses (Topic 326):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Measurement of Credit Losses on Financial Instruments</w:t>
      </w:r>
      <w:r>
        <w:rPr>
          <w:rFonts w:ascii="Arial" w:cs="Arial" w:eastAsia="Arial" w:hAnsi="Arial"/>
          <w:sz w:val="13"/>
          <w:szCs w:val="13"/>
          <w:color w:val="auto"/>
        </w:rPr>
        <w:t>, which was subsequently amended by ASU No. 2018-19,</w:t>
      </w:r>
      <w:r>
        <w:rPr>
          <w:rFonts w:ascii="Arial" w:cs="Arial" w:eastAsia="Arial" w:hAnsi="Arial"/>
          <w:sz w:val="13"/>
          <w:szCs w:val="13"/>
          <w:i w:val="1"/>
          <w:iCs w:val="1"/>
          <w:color w:val="auto"/>
        </w:rPr>
        <w:t xml:space="preserve"> Codification Improvements to Topic 326, Financial Instruments - Credit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Losses</w:t>
      </w:r>
      <w:r>
        <w:rPr>
          <w:rFonts w:ascii="Arial" w:cs="Arial" w:eastAsia="Arial" w:hAnsi="Arial"/>
          <w:sz w:val="14"/>
          <w:szCs w:val="14"/>
          <w:color w:val="auto"/>
        </w:rPr>
        <w:t>, in November 2018. Subsequently, the FASB issued ASU No. 2019-04, ASU No. 2019-05, ASU No. 2019-10, and ASU No. 2019-11 to provide additional guidance on the credit losses</w:t>
      </w:r>
      <w:r>
        <w:rPr>
          <w:rFonts w:ascii="Arial" w:cs="Arial" w:eastAsia="Arial" w:hAnsi="Arial"/>
          <w:sz w:val="14"/>
          <w:szCs w:val="14"/>
          <w:i w:val="1"/>
          <w:iCs w:val="1"/>
          <w:color w:val="auto"/>
        </w:rPr>
        <w:t xml:space="preserve"> </w:t>
      </w:r>
      <w:r>
        <w:rPr>
          <w:rFonts w:ascii="Arial" w:cs="Arial" w:eastAsia="Arial" w:hAnsi="Arial"/>
          <w:sz w:val="14"/>
          <w:szCs w:val="14"/>
          <w:color w:val="auto"/>
        </w:rPr>
        <w:t>standard. ASU No. 2016-13 and the related updates replace the existing incurred loss impairment model with an expected credit loss model and requires a financial asset measured at amortized cost to be presented at the net amount expected to be collected. The guidance is effective for the annual periods in fiscal years beginning after December 15, 2019, and interim periods therein. We adopted the standard as of February 1, 2020, using the modified retrospective method of applying the new standard at the adoption date. Our adoption did not result in any cumulative effect adjustment on our condensed consolidated financial statements upon adoption as of February 1, 2020.</w:t>
      </w:r>
    </w:p>
    <w:p>
      <w:pPr>
        <w:spacing w:after="0" w:line="6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Intangibles—Goodwill and Other—Internal-use Software (subtopic 350-40): Customer’s Accounting for Implementation Costs Incurred in</w:t>
      </w:r>
      <w:r>
        <w:rPr>
          <w:rFonts w:ascii="Arial" w:cs="Arial" w:eastAsia="Arial" w:hAnsi="Arial"/>
          <w:sz w:val="14"/>
          <w:szCs w:val="14"/>
          <w:color w:val="auto"/>
        </w:rPr>
        <w:t xml:space="preserve"> </w:t>
      </w:r>
      <w:r>
        <w:rPr>
          <w:rFonts w:ascii="Arial" w:cs="Arial" w:eastAsia="Arial" w:hAnsi="Arial"/>
          <w:sz w:val="14"/>
          <w:szCs w:val="14"/>
          <w:i w:val="1"/>
          <w:iCs w:val="1"/>
          <w:color w:val="auto"/>
        </w:rPr>
        <w:t>a Cloud Computing Arrangement that is a Service Contract</w:t>
      </w:r>
      <w:r>
        <w:rPr>
          <w:rFonts w:ascii="Arial" w:cs="Arial" w:eastAsia="Arial" w:hAnsi="Arial"/>
          <w:sz w:val="14"/>
          <w:szCs w:val="14"/>
          <w:color w:val="auto"/>
        </w:rPr>
        <w:t>. The amendment aligns the requirements for capitalizing implementation costs incurred in a hosting arrangement that is a service contract</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requirements for capitalizing implementation costs incurred to develop or obtain internal-use software (and hosting arrangements that include an internal-use software license). The guidance is effective for the annual periods in fiscal years beginning after December 15, 2019, and interim periods therein. We adopted ASU No. 2018-15, prospectively, as of February 1, 2020, and our adoption did not have a material impact on the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Revenue Recognition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revenue by region based on the billing address of customers: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1"/>
                <w:szCs w:val="11"/>
                <w:b w:val="1"/>
                <w:bCs w:val="1"/>
                <w:color w:val="auto"/>
              </w:rPr>
              <w:t>Three Months Ended April 30,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1"/>
                <w:szCs w:val="11"/>
                <w:b w:val="1"/>
                <w:bCs w:val="1"/>
                <w:color w:val="auto"/>
              </w:rPr>
              <w:t>2019</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ind w:left="240"/>
              <w:spacing w:after="0" w:line="116" w:lineRule="exact"/>
              <w:rPr>
                <w:sz w:val="20"/>
                <w:szCs w:val="20"/>
                <w:color w:val="auto"/>
              </w:rPr>
            </w:pPr>
            <w:r>
              <w:rPr>
                <w:rFonts w:ascii="Arial" w:cs="Arial" w:eastAsia="Arial" w:hAnsi="Arial"/>
                <w:sz w:val="11"/>
                <w:szCs w:val="11"/>
                <w:b w:val="1"/>
                <w:bCs w:val="1"/>
                <w:color w:val="auto"/>
              </w:rPr>
              <w:t>Percentage of</w:t>
            </w:r>
          </w:p>
        </w:tc>
        <w:tc>
          <w:tcPr>
            <w:tcW w:w="220" w:type="dxa"/>
            <w:vAlign w:val="bottom"/>
          </w:tcPr>
          <w:p>
            <w:pPr>
              <w:spacing w:after="0"/>
              <w:rPr>
                <w:sz w:val="10"/>
                <w:szCs w:val="10"/>
                <w:color w:val="auto"/>
              </w:rPr>
            </w:pPr>
          </w:p>
        </w:tc>
        <w:tc>
          <w:tcPr>
            <w:tcW w:w="78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19"/>
              <w:spacing w:after="0" w:line="116" w:lineRule="exact"/>
              <w:rPr>
                <w:sz w:val="20"/>
                <w:szCs w:val="20"/>
                <w:color w:val="auto"/>
              </w:rPr>
            </w:pPr>
            <w:r>
              <w:rPr>
                <w:rFonts w:ascii="Arial" w:cs="Arial" w:eastAsia="Arial" w:hAnsi="Arial"/>
                <w:sz w:val="11"/>
                <w:szCs w:val="11"/>
                <w:b w:val="1"/>
                <w:bCs w:val="1"/>
                <w:color w:val="auto"/>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Revenue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4"/>
          </w:tcPr>
          <w:p>
            <w:pPr>
              <w:ind w:left="360"/>
              <w:spacing w:after="0"/>
              <w:rPr>
                <w:sz w:val="20"/>
                <w:szCs w:val="20"/>
                <w:color w:val="auto"/>
              </w:rPr>
            </w:pPr>
            <w:r>
              <w:rPr>
                <w:rFonts w:ascii="Arial" w:cs="Arial" w:eastAsia="Arial" w:hAnsi="Arial"/>
                <w:sz w:val="11"/>
                <w:szCs w:val="11"/>
                <w:b w:val="1"/>
                <w:bCs w:val="1"/>
                <w:color w:val="auto"/>
              </w:rPr>
              <w:t>(in thousands, except percentages)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245,633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98,160</w:t>
            </w: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75"/>
        </w:trPr>
        <w:tc>
          <w:tcPr>
            <w:tcW w:w="6500" w:type="dxa"/>
            <w:vAlign w:val="bottom"/>
          </w:tcPr>
          <w:p>
            <w:pPr>
              <w:ind w:left="20"/>
              <w:spacing w:after="0"/>
              <w:rPr>
                <w:sz w:val="20"/>
                <w:szCs w:val="20"/>
                <w:color w:val="auto"/>
              </w:rPr>
            </w:pPr>
            <w:r>
              <w:rPr>
                <w:rFonts w:ascii="Arial" w:cs="Arial" w:eastAsia="Arial" w:hAnsi="Arial"/>
                <w:sz w:val="14"/>
                <w:szCs w:val="14"/>
                <w:color w:val="auto"/>
              </w:rPr>
              <w:t>Asia Pacific (“APAC”)</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31,278</w:t>
            </w:r>
          </w:p>
        </w:tc>
        <w:tc>
          <w:tcPr>
            <w:tcW w:w="1340" w:type="dxa"/>
            <w:vAlign w:val="bottom"/>
            <w:gridSpan w:val="3"/>
          </w:tcPr>
          <w:p>
            <w:pPr>
              <w:jc w:val="right"/>
              <w:ind w:right="121"/>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10,441</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Middle East, and Africa (“EMEA”)</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51,256</w:t>
            </w:r>
          </w:p>
        </w:tc>
        <w:tc>
          <w:tcPr>
            <w:tcW w:w="13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13,387</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16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328,167</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121,988</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$19.6 million and $12.5 million as of April 30, 2020 and January 31, 2020, respectively.</w:t>
      </w:r>
    </w:p>
    <w:p>
      <w:pPr>
        <w:spacing w:after="0" w:line="6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April 30, 2020 and 2019 that was included in deferred revenue at the beginning of each period was $98.0 million and $53.6 million, respectively.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Remaining Performance Obligation</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terms of our subscription agreements are monthly, annual, and multiyear, and we may bill for the full term in advance or on an annual or monthly basis, depending on the billing terms with customers. As of April 30, 2020, the aggregate amount of the transaction price allocated to our remaining performance obligations was $1.1 billion, which consists of both billed consideration in the amount of $551.8 million and unbilled consideration in the amount of $516.1 million that we expect to recognize as revenue. We expect to recognize 72% of our remaining performance obligations as revenue over the next 12 months and the remainder thereafter.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Marketable Securities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April 30, 2020 and January 31, 2020, our marketable securities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1"/>
                <w:szCs w:val="11"/>
                <w:b w:val="1"/>
                <w:bCs w:val="1"/>
                <w:color w:val="auto"/>
                <w:w w:val="95"/>
              </w:rPr>
              <w:t>April 30, 2020</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6"/>
              </w:rPr>
              <w:t>Amortized</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16" w:lineRule="exact"/>
              <w:rPr>
                <w:sz w:val="20"/>
                <w:szCs w:val="20"/>
                <w:color w:val="auto"/>
              </w:rPr>
            </w:pPr>
            <w:r>
              <w:rPr>
                <w:rFonts w:ascii="Arial" w:cs="Arial" w:eastAsia="Arial" w:hAnsi="Arial"/>
                <w:sz w:val="11"/>
                <w:szCs w:val="11"/>
                <w:b w:val="1"/>
                <w:bCs w:val="1"/>
                <w:color w:val="auto"/>
                <w:w w:val="87"/>
              </w:rPr>
              <w:t>Gross</w:t>
            </w:r>
          </w:p>
        </w:tc>
        <w:tc>
          <w:tcPr>
            <w:tcW w:w="380" w:type="dxa"/>
            <w:vAlign w:val="bottom"/>
          </w:tcPr>
          <w:p>
            <w:pPr>
              <w:spacing w:after="0"/>
              <w:rPr>
                <w:sz w:val="10"/>
                <w:szCs w:val="10"/>
                <w:color w:val="auto"/>
              </w:rPr>
            </w:pPr>
          </w:p>
        </w:tc>
        <w:tc>
          <w:tcPr>
            <w:tcW w:w="1020" w:type="dxa"/>
            <w:vAlign w:val="bottom"/>
            <w:gridSpan w:val="2"/>
          </w:tcPr>
          <w:p>
            <w:pPr>
              <w:jc w:val="center"/>
              <w:ind w:right="500"/>
              <w:spacing w:after="0" w:line="116"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080" w:type="dxa"/>
            <w:vAlign w:val="bottom"/>
          </w:tcPr>
          <w:p>
            <w:pPr>
              <w:jc w:val="center"/>
              <w:ind w:right="174"/>
              <w:spacing w:after="0" w:line="116"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3"/>
              </w:rPr>
              <w:t>Unrealized</w:t>
            </w:r>
          </w:p>
        </w:tc>
        <w:tc>
          <w:tcPr>
            <w:tcW w:w="380" w:type="dxa"/>
            <w:vAlign w:val="bottom"/>
          </w:tcPr>
          <w:p>
            <w:pPr>
              <w:spacing w:after="0"/>
              <w:rPr>
                <w:sz w:val="10"/>
                <w:szCs w:val="10"/>
                <w:color w:val="auto"/>
              </w:rPr>
            </w:pPr>
          </w:p>
        </w:tc>
        <w:tc>
          <w:tcPr>
            <w:tcW w:w="1020" w:type="dxa"/>
            <w:vAlign w:val="bottom"/>
            <w:gridSpan w:val="2"/>
          </w:tcPr>
          <w:p>
            <w:pPr>
              <w:jc w:val="center"/>
              <w:ind w:right="500"/>
              <w:spacing w:after="0" w:line="117" w:lineRule="exact"/>
              <w:rPr>
                <w:sz w:val="20"/>
                <w:szCs w:val="20"/>
                <w:color w:val="auto"/>
              </w:rPr>
            </w:pPr>
            <w:r>
              <w:rPr>
                <w:rFonts w:ascii="Arial" w:cs="Arial" w:eastAsia="Arial" w:hAnsi="Arial"/>
                <w:sz w:val="11"/>
                <w:szCs w:val="11"/>
                <w:b w:val="1"/>
                <w:bCs w:val="1"/>
                <w:color w:val="auto"/>
                <w:w w:val="93"/>
              </w:rPr>
              <w:t>Unrealized</w:t>
            </w:r>
          </w:p>
        </w:tc>
        <w:tc>
          <w:tcPr>
            <w:tcW w:w="240" w:type="dxa"/>
            <w:vAlign w:val="bottom"/>
          </w:tcPr>
          <w:p>
            <w:pPr>
              <w:spacing w:after="0"/>
              <w:rPr>
                <w:sz w:val="10"/>
                <w:szCs w:val="10"/>
                <w:color w:val="auto"/>
              </w:rPr>
            </w:pPr>
          </w:p>
        </w:tc>
        <w:tc>
          <w:tcPr>
            <w:tcW w:w="1080" w:type="dxa"/>
            <w:vAlign w:val="bottom"/>
          </w:tcPr>
          <w:p>
            <w:pPr>
              <w:jc w:val="center"/>
              <w:ind w:right="174"/>
              <w:spacing w:after="0" w:line="117"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51"/>
        </w:trPr>
        <w:tc>
          <w:tcPr>
            <w:tcW w:w="5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w w:val="91"/>
              </w:rPr>
              <w:t>Gains</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4"/>
              <w:spacing w:after="0"/>
              <w:rPr>
                <w:sz w:val="20"/>
                <w:szCs w:val="20"/>
                <w:color w:val="auto"/>
              </w:rPr>
            </w:pPr>
            <w:r>
              <w:rPr>
                <w:rFonts w:ascii="Arial" w:cs="Arial" w:eastAsia="Arial" w:hAnsi="Arial"/>
                <w:sz w:val="11"/>
                <w:szCs w:val="11"/>
                <w:b w:val="1"/>
                <w:bCs w:val="1"/>
                <w:color w:val="auto"/>
                <w:w w:val="84"/>
              </w:rPr>
              <w:t>Losses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center"/>
              <w:ind w:left="636"/>
              <w:spacing w:after="0"/>
              <w:rPr>
                <w:sz w:val="20"/>
                <w:szCs w:val="20"/>
                <w:color w:val="auto"/>
              </w:rPr>
            </w:pPr>
            <w:r>
              <w:rPr>
                <w:rFonts w:ascii="Arial" w:cs="Arial" w:eastAsia="Arial" w:hAnsi="Arial"/>
                <w:sz w:val="11"/>
                <w:szCs w:val="11"/>
                <w:b w:val="1"/>
                <w:bCs w:val="1"/>
                <w:color w:val="auto"/>
                <w:w w:val="89"/>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11,892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11,892</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157,493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157,722</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392,575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394,011</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49,871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50,089</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2,996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1"/>
        </w:trPr>
        <w:tc>
          <w:tcPr>
            <w:tcW w:w="5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614,827</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color w:val="auto"/>
              </w:rPr>
              <w:t>616,714</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1"/>
                <w:szCs w:val="11"/>
                <w:b w:val="1"/>
                <w:bCs w:val="1"/>
                <w:color w:val="auto"/>
                <w:w w:val="95"/>
              </w:rPr>
              <w:t>January 31, 2020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6"/>
              </w:rPr>
              <w:t>Amortized</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16" w:lineRule="exact"/>
              <w:rPr>
                <w:sz w:val="20"/>
                <w:szCs w:val="20"/>
                <w:color w:val="auto"/>
              </w:rPr>
            </w:pPr>
            <w:r>
              <w:rPr>
                <w:rFonts w:ascii="Arial" w:cs="Arial" w:eastAsia="Arial" w:hAnsi="Arial"/>
                <w:sz w:val="11"/>
                <w:szCs w:val="11"/>
                <w:b w:val="1"/>
                <w:bCs w:val="1"/>
                <w:color w:val="auto"/>
                <w:w w:val="87"/>
              </w:rPr>
              <w:t>Gross</w:t>
            </w:r>
          </w:p>
        </w:tc>
        <w:tc>
          <w:tcPr>
            <w:tcW w:w="380" w:type="dxa"/>
            <w:vAlign w:val="bottom"/>
          </w:tcPr>
          <w:p>
            <w:pPr>
              <w:spacing w:after="0"/>
              <w:rPr>
                <w:sz w:val="10"/>
                <w:szCs w:val="10"/>
                <w:color w:val="auto"/>
              </w:rPr>
            </w:pPr>
          </w:p>
        </w:tc>
        <w:tc>
          <w:tcPr>
            <w:tcW w:w="1020" w:type="dxa"/>
            <w:vAlign w:val="bottom"/>
            <w:gridSpan w:val="2"/>
          </w:tcPr>
          <w:p>
            <w:pPr>
              <w:jc w:val="center"/>
              <w:ind w:right="500"/>
              <w:spacing w:after="0" w:line="116"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080" w:type="dxa"/>
            <w:vAlign w:val="bottom"/>
          </w:tcPr>
          <w:p>
            <w:pPr>
              <w:jc w:val="center"/>
              <w:ind w:right="174"/>
              <w:spacing w:after="0" w:line="116"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3"/>
              </w:rPr>
              <w:t>Unrealized</w:t>
            </w:r>
          </w:p>
        </w:tc>
        <w:tc>
          <w:tcPr>
            <w:tcW w:w="380" w:type="dxa"/>
            <w:vAlign w:val="bottom"/>
          </w:tcPr>
          <w:p>
            <w:pPr>
              <w:spacing w:after="0"/>
              <w:rPr>
                <w:sz w:val="10"/>
                <w:szCs w:val="10"/>
                <w:color w:val="auto"/>
              </w:rPr>
            </w:pPr>
          </w:p>
        </w:tc>
        <w:tc>
          <w:tcPr>
            <w:tcW w:w="1020" w:type="dxa"/>
            <w:vAlign w:val="bottom"/>
            <w:gridSpan w:val="2"/>
          </w:tcPr>
          <w:p>
            <w:pPr>
              <w:jc w:val="center"/>
              <w:ind w:right="500"/>
              <w:spacing w:after="0" w:line="117" w:lineRule="exact"/>
              <w:rPr>
                <w:sz w:val="20"/>
                <w:szCs w:val="20"/>
                <w:color w:val="auto"/>
              </w:rPr>
            </w:pPr>
            <w:r>
              <w:rPr>
                <w:rFonts w:ascii="Arial" w:cs="Arial" w:eastAsia="Arial" w:hAnsi="Arial"/>
                <w:sz w:val="11"/>
                <w:szCs w:val="11"/>
                <w:b w:val="1"/>
                <w:bCs w:val="1"/>
                <w:color w:val="auto"/>
                <w:w w:val="93"/>
              </w:rPr>
              <w:t>Unrealized</w:t>
            </w:r>
          </w:p>
        </w:tc>
        <w:tc>
          <w:tcPr>
            <w:tcW w:w="240" w:type="dxa"/>
            <w:vAlign w:val="bottom"/>
          </w:tcPr>
          <w:p>
            <w:pPr>
              <w:spacing w:after="0"/>
              <w:rPr>
                <w:sz w:val="10"/>
                <w:szCs w:val="10"/>
                <w:color w:val="auto"/>
              </w:rPr>
            </w:pPr>
          </w:p>
        </w:tc>
        <w:tc>
          <w:tcPr>
            <w:tcW w:w="1080" w:type="dxa"/>
            <w:vAlign w:val="bottom"/>
          </w:tcPr>
          <w:p>
            <w:pPr>
              <w:jc w:val="center"/>
              <w:ind w:right="174"/>
              <w:spacing w:after="0" w:line="117"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51"/>
        </w:trPr>
        <w:tc>
          <w:tcPr>
            <w:tcW w:w="5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w w:val="91"/>
              </w:rPr>
              <w:t>Gains</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34"/>
              <w:spacing w:after="0"/>
              <w:rPr>
                <w:sz w:val="20"/>
                <w:szCs w:val="20"/>
                <w:color w:val="auto"/>
              </w:rPr>
            </w:pPr>
            <w:r>
              <w:rPr>
                <w:rFonts w:ascii="Arial" w:cs="Arial" w:eastAsia="Arial" w:hAnsi="Arial"/>
                <w:sz w:val="11"/>
                <w:szCs w:val="11"/>
                <w:b w:val="1"/>
                <w:bCs w:val="1"/>
                <w:color w:val="auto"/>
                <w:w w:val="84"/>
              </w:rPr>
              <w:t>Losses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center"/>
              <w:ind w:left="636"/>
              <w:spacing w:after="0"/>
              <w:rPr>
                <w:sz w:val="20"/>
                <w:szCs w:val="20"/>
                <w:color w:val="auto"/>
              </w:rPr>
            </w:pPr>
            <w:r>
              <w:rPr>
                <w:rFonts w:ascii="Arial" w:cs="Arial" w:eastAsia="Arial" w:hAnsi="Arial"/>
                <w:sz w:val="11"/>
                <w:szCs w:val="11"/>
                <w:b w:val="1"/>
                <w:bCs w:val="1"/>
                <w:color w:val="auto"/>
                <w:w w:val="89"/>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37,894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37,894</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141,157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141,163</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320,407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321,166</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71,794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71,837</w:t>
            </w: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571,252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869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572,060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review the individual securities that have unrealized losses on a regular basis to evaluate whether or not any security has experienced and expect to experience credit losses which resulted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months ended April 30, 2020 and 2019.</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contractual maturities of our marketable securities as of April 30, 2020 and January 31,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w w:val="94"/>
              </w:rPr>
              <w:t>As of</w:t>
            </w:r>
          </w:p>
        </w:tc>
        <w:tc>
          <w:tcPr>
            <w:tcW w:w="12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April 30, 2020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w w:val="97"/>
              </w:rPr>
              <w:t>January 31, 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than one year</w:t>
            </w:r>
          </w:p>
        </w:tc>
        <w:tc>
          <w:tcPr>
            <w:tcW w:w="46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326,287</w:t>
            </w:r>
          </w:p>
        </w:tc>
        <w:tc>
          <w:tcPr>
            <w:tcW w:w="56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4"/>
                <w:szCs w:val="14"/>
                <w:color w:val="auto"/>
              </w:rPr>
              <w:t>315,900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Arial" w:cs="Arial" w:eastAsia="Arial" w:hAnsi="Arial"/>
                <w:sz w:val="14"/>
                <w:szCs w:val="14"/>
                <w:color w:val="auto"/>
              </w:rPr>
              <w:t>Due in one to five years</w:t>
            </w:r>
          </w:p>
        </w:tc>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290,427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3"/>
              <w:spacing w:after="0"/>
              <w:rPr>
                <w:sz w:val="20"/>
                <w:szCs w:val="20"/>
                <w:color w:val="auto"/>
              </w:rPr>
            </w:pPr>
            <w:r>
              <w:rPr>
                <w:rFonts w:ascii="Arial" w:cs="Arial" w:eastAsia="Arial" w:hAnsi="Arial"/>
                <w:sz w:val="14"/>
                <w:szCs w:val="14"/>
                <w:color w:val="auto"/>
              </w:rPr>
              <w:t>256,160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480" w:type="dxa"/>
            <w:vAlign w:val="bottom"/>
            <w:tcBorders>
              <w:bottom w:val="single" w:sz="8" w:color="CFF0FC"/>
            </w:tcBorders>
          </w:tcPr>
          <w:p>
            <w:pPr>
              <w:spacing w:after="0" w:line="20" w:lineRule="exact"/>
              <w:rPr>
                <w:sz w:val="1"/>
                <w:szCs w:val="1"/>
                <w:color w:val="auto"/>
              </w:rPr>
            </w:pPr>
          </w:p>
        </w:tc>
        <w:tc>
          <w:tcPr>
            <w:tcW w:w="44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46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616,714</w:t>
            </w:r>
          </w:p>
        </w:tc>
        <w:tc>
          <w:tcPr>
            <w:tcW w:w="56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4"/>
                <w:szCs w:val="14"/>
                <w:color w:val="auto"/>
              </w:rPr>
              <w:t>572,060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bottom w:val="single" w:sz="8" w:color="CFF0FC"/>
            </w:tcBorders>
            <w:vMerge w:val="restart"/>
          </w:tcPr>
          <w:p>
            <w:pPr>
              <w:jc w:val="right"/>
              <w:ind w:right="2089"/>
              <w:spacing w:after="0"/>
              <w:rPr>
                <w:sz w:val="20"/>
                <w:szCs w:val="20"/>
                <w:color w:val="auto"/>
              </w:rPr>
            </w:pPr>
            <w:r>
              <w:rPr>
                <w:rFonts w:ascii="Arial" w:cs="Arial" w:eastAsia="Arial" w:hAnsi="Arial"/>
                <w:sz w:val="14"/>
                <w:szCs w:val="14"/>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4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8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9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4"/>
          <w:szCs w:val="14"/>
          <w:color w:val="auto"/>
        </w:rPr>
        <w:t>The following table presents information about our financial instruments that are measured at fair value on a recurring basis and indicate the fair value hierarchy of the valuation inputs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1"/>
                <w:szCs w:val="11"/>
                <w:b w:val="1"/>
                <w:bCs w:val="1"/>
                <w:color w:val="auto"/>
              </w:rPr>
              <w:t>April 30, 2020</w:t>
            </w: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Fair 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Level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80"/>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Financial Assets:</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220,739</w:t>
            </w:r>
          </w:p>
        </w:tc>
        <w:tc>
          <w:tcPr>
            <w:tcW w:w="4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220,739</w:t>
            </w:r>
          </w:p>
        </w:tc>
        <w:tc>
          <w:tcPr>
            <w:tcW w:w="40" w:type="dxa"/>
            <w:vAlign w:val="bottom"/>
          </w:tcPr>
          <w:p>
            <w:pPr>
              <w:spacing w:after="0"/>
              <w:rPr>
                <w:sz w:val="16"/>
                <w:szCs w:val="16"/>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equivalents</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220,739</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220,739</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11,892</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11,892</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bonds</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157,722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157,722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Corporate and other debt securities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394,011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394,011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50,089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50,089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Treasury bills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Marketable securities</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616,714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616,714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Certificate of deposit included in prepaid expenses and other current assets</w:t>
            </w: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Certificates of deposit included in other assets, noncurrent</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2,296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2,296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Convertible Note included in other assets, noncurrent</w:t>
            </w: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5,000</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5,000</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20" w:type="dxa"/>
            <w:vAlign w:val="bottom"/>
            <w:vMerge w:val="restart"/>
          </w:tcPr>
          <w:p>
            <w:pPr>
              <w:ind w:left="20"/>
              <w:spacing w:after="0"/>
              <w:rPr>
                <w:sz w:val="20"/>
                <w:szCs w:val="20"/>
                <w:color w:val="auto"/>
              </w:rPr>
            </w:pPr>
            <w:r>
              <w:rPr>
                <w:rFonts w:ascii="Arial" w:cs="Arial" w:eastAsia="Arial" w:hAnsi="Arial"/>
                <w:sz w:val="14"/>
                <w:szCs w:val="14"/>
                <w:color w:val="auto"/>
              </w:rPr>
              <w:t>Total financial assets</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720" w:type="dxa"/>
            <w:vAlign w:val="bottom"/>
            <w:vMerge w:val="continue"/>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844,849</w:t>
            </w:r>
          </w:p>
        </w:tc>
        <w:tc>
          <w:tcPr>
            <w:tcW w:w="40" w:type="dxa"/>
            <w:vAlign w:val="bottom"/>
          </w:tcPr>
          <w:p>
            <w:pPr>
              <w:spacing w:after="0"/>
              <w:rPr>
                <w:sz w:val="15"/>
                <w:szCs w:val="15"/>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220,739</w:t>
            </w:r>
          </w:p>
        </w:tc>
        <w:tc>
          <w:tcPr>
            <w:tcW w:w="40" w:type="dxa"/>
            <w:vAlign w:val="bottom"/>
          </w:tcPr>
          <w:p>
            <w:pPr>
              <w:spacing w:after="0"/>
              <w:rPr>
                <w:sz w:val="15"/>
                <w:szCs w:val="15"/>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619,110</w:t>
            </w:r>
          </w:p>
        </w:tc>
        <w:tc>
          <w:tcPr>
            <w:tcW w:w="40" w:type="dxa"/>
            <w:vAlign w:val="bottom"/>
          </w:tcPr>
          <w:p>
            <w:pPr>
              <w:spacing w:after="0"/>
              <w:rPr>
                <w:sz w:val="15"/>
                <w:szCs w:val="15"/>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January 31, 2020</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7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Level 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Level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120"/>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96,486</w:t>
            </w:r>
          </w:p>
        </w:tc>
        <w:tc>
          <w:tcPr>
            <w:tcW w:w="40" w:type="dxa"/>
            <w:vAlign w:val="bottom"/>
          </w:tcPr>
          <w:p>
            <w:pPr>
              <w:spacing w:after="0"/>
              <w:rPr>
                <w:sz w:val="16"/>
                <w:szCs w:val="16"/>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96,486</w:t>
            </w:r>
          </w:p>
        </w:tc>
        <w:tc>
          <w:tcPr>
            <w:tcW w:w="40" w:type="dxa"/>
            <w:vAlign w:val="bottom"/>
          </w:tcPr>
          <w:p>
            <w:pPr>
              <w:spacing w:after="0"/>
              <w:rPr>
                <w:sz w:val="16"/>
                <w:szCs w:val="16"/>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4,994</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4,994</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9,999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9,999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equivalents</w:t>
            </w: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111,479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96,486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14,993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37,894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37,894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bonds</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141,163</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141,163</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Corporate and other debt securities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321,166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321,166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71,837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71,837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160"/>
              <w:spacing w:after="0"/>
              <w:rPr>
                <w:sz w:val="20"/>
                <w:szCs w:val="20"/>
                <w:color w:val="auto"/>
              </w:rPr>
            </w:pPr>
            <w:r>
              <w:rPr>
                <w:rFonts w:ascii="Arial" w:cs="Arial" w:eastAsia="Arial" w:hAnsi="Arial"/>
                <w:sz w:val="14"/>
                <w:szCs w:val="14"/>
                <w:color w:val="auto"/>
              </w:rPr>
              <w:t>Marketable securities</w:t>
            </w: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572,060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572,060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Certificate of deposit included in prepaid expenses and other current assets</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100</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100</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Certificates of deposit included in other assets, noncurrent</w:t>
            </w: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685,940</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96,486</w:t>
            </w: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589,454</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classify our highly liquid money market funds within Level 1 of the fair value hierarchy because they are valued based on quoted market prices in active markets. We classify our commercial paper, agency bonds, corporate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Convertible Note as Level 3 due to the lack of relevant observable market data over fair value inputs, such as the probability weighting of the various scenarios that can impact settlement of the arrangement.</w:t>
      </w:r>
    </w:p>
    <w:p>
      <w:pPr>
        <w:spacing w:after="0" w:line="6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April 30, 2020 and January 31, 2020, the carrying amount of the equity investment was $13.5 million and $3.0 million, respectively. We classify the equity investment as Level 3 within the fair value hierarchy only if an impairment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observable adjustment is recognized during the period, as it is based on an observable transaction price at the transaction date and other unobservable inputs, such as volatility.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Balance Sheet Components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Prepaid Expenses and Other Current Assets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1"/>
                <w:szCs w:val="11"/>
                <w:b w:val="1"/>
                <w:bCs w:val="1"/>
                <w:color w:val="auto"/>
                <w:w w:val="79"/>
              </w:rPr>
              <w:t>As of</w:t>
            </w:r>
          </w:p>
        </w:tc>
        <w:tc>
          <w:tcPr>
            <w:tcW w:w="1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April 30, 2020</w:t>
            </w: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w w:val="97"/>
              </w:rPr>
              <w:t>January 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right"/>
              <w:ind w:right="6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Restricted cash from international employee stock sales</w:t>
            </w:r>
          </w:p>
        </w:tc>
        <w:tc>
          <w:tcPr>
            <w:tcW w:w="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267,091</w:t>
            </w:r>
          </w:p>
        </w:tc>
        <w:tc>
          <w:tcPr>
            <w:tcW w:w="5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48,547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Prepaid expenses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3"/>
              <w:spacing w:after="0"/>
              <w:rPr>
                <w:sz w:val="20"/>
                <w:szCs w:val="20"/>
                <w:color w:val="auto"/>
              </w:rPr>
            </w:pPr>
            <w:r>
              <w:rPr>
                <w:rFonts w:ascii="Arial" w:cs="Arial" w:eastAsia="Arial" w:hAnsi="Arial"/>
                <w:sz w:val="14"/>
                <w:szCs w:val="14"/>
                <w:color w:val="auto"/>
              </w:rPr>
              <w:t>64,306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71"/>
              <w:spacing w:after="0"/>
              <w:rPr>
                <w:sz w:val="20"/>
                <w:szCs w:val="20"/>
                <w:color w:val="auto"/>
              </w:rPr>
            </w:pPr>
            <w:r>
              <w:rPr>
                <w:rFonts w:ascii="Arial" w:cs="Arial" w:eastAsia="Arial" w:hAnsi="Arial"/>
                <w:sz w:val="14"/>
                <w:szCs w:val="14"/>
                <w:color w:val="auto"/>
              </w:rPr>
              <w:t>22,320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336,024</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75,008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36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60" w:type="dxa"/>
            <w:vAlign w:val="bottom"/>
          </w:tcPr>
          <w:p>
            <w:pPr>
              <w:ind w:left="360"/>
              <w:spacing w:after="0"/>
              <w:rPr>
                <w:sz w:val="20"/>
                <w:szCs w:val="20"/>
                <w:color w:val="auto"/>
              </w:rPr>
            </w:pPr>
            <w:r>
              <w:rPr>
                <w:rFonts w:ascii="Arial" w:cs="Arial" w:eastAsia="Arial" w:hAnsi="Arial"/>
                <w:sz w:val="14"/>
                <w:szCs w:val="14"/>
                <w:color w:val="auto"/>
              </w:rPr>
              <w:t>Property and equipment consisted of the following:</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April 30, 2020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w w:val="99"/>
              </w:rPr>
              <w:t>January 31, 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right"/>
              <w:ind w:right="4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Computer and office equipment</w:t>
            </w:r>
          </w:p>
        </w:tc>
        <w:tc>
          <w:tcPr>
            <w:tcW w:w="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56,655</w:t>
            </w:r>
          </w:p>
        </w:tc>
        <w:tc>
          <w:tcPr>
            <w:tcW w:w="520" w:type="dxa"/>
            <w:vAlign w:val="bottom"/>
            <w:tcBorders>
              <w:bottom w:val="single" w:sz="8" w:color="CFF0FC"/>
            </w:tcBorders>
            <w:gridSpan w:val="5"/>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4"/>
                <w:szCs w:val="14"/>
                <w:color w:val="auto"/>
              </w:rPr>
              <w:t>51,375</w:t>
            </w: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18,134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18,215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Software</w:t>
            </w:r>
          </w:p>
        </w:tc>
        <w:tc>
          <w:tcPr>
            <w:tcW w:w="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14,125</w:t>
            </w: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4"/>
                <w:szCs w:val="14"/>
                <w:color w:val="auto"/>
              </w:rPr>
              <w:t>10,855</w:t>
            </w: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3,949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8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Property and equipment, gross</w:t>
            </w: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92,886</w:t>
            </w: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4"/>
                <w:szCs w:val="14"/>
                <w:color w:val="auto"/>
              </w:rPr>
              <w:t>84,394</w:t>
            </w: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(27,256)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8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FF0FC"/>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w:t>
            </w: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60,479</w:t>
            </w:r>
          </w:p>
        </w:tc>
        <w:tc>
          <w:tcPr>
            <w:tcW w:w="520" w:type="dxa"/>
            <w:vAlign w:val="bottom"/>
            <w:gridSpan w:val="5"/>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57,138</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expense was $5.3 million and $3.3 million for the three months ended April 30, 2020 and 2019, respectively.</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Other Assets, Noncurrent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assets, noncurrent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w w:val="94"/>
              </w:rPr>
              <w:t>As of</w:t>
            </w:r>
          </w:p>
        </w:tc>
        <w:tc>
          <w:tcPr>
            <w:tcW w:w="12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April 30, 2020</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w w:val="97"/>
              </w:rPr>
              <w:t>January 31, 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4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20" w:type="dxa"/>
            <w:vAlign w:val="bottom"/>
          </w:tcPr>
          <w:p>
            <w:pPr>
              <w:ind w:left="20"/>
              <w:spacing w:after="0"/>
              <w:rPr>
                <w:sz w:val="20"/>
                <w:szCs w:val="20"/>
                <w:color w:val="auto"/>
              </w:rPr>
            </w:pPr>
            <w:r>
              <w:rPr>
                <w:rFonts w:ascii="Arial" w:cs="Arial" w:eastAsia="Arial" w:hAnsi="Arial"/>
                <w:sz w:val="14"/>
                <w:szCs w:val="14"/>
                <w:color w:val="auto"/>
              </w:rPr>
              <w:t>Accounts receivable, noncurrent</w:t>
            </w:r>
          </w:p>
        </w:tc>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9,011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Note</w:t>
            </w:r>
          </w:p>
        </w:tc>
        <w:tc>
          <w:tcPr>
            <w:tcW w:w="4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20" w:type="dxa"/>
            <w:vAlign w:val="bottom"/>
          </w:tcPr>
          <w:p>
            <w:pPr>
              <w:ind w:left="20"/>
              <w:spacing w:after="0"/>
              <w:rPr>
                <w:sz w:val="20"/>
                <w:szCs w:val="20"/>
                <w:color w:val="auto"/>
              </w:rPr>
            </w:pPr>
            <w:r>
              <w:rPr>
                <w:rFonts w:ascii="Arial" w:cs="Arial" w:eastAsia="Arial" w:hAnsi="Arial"/>
                <w:sz w:val="14"/>
                <w:szCs w:val="14"/>
                <w:color w:val="auto"/>
              </w:rPr>
              <w:t>Other</w:t>
            </w:r>
          </w:p>
        </w:tc>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10,321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assets, noncurrent</w:t>
            </w:r>
          </w:p>
        </w:tc>
        <w:tc>
          <w:tcPr>
            <w:tcW w:w="4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43,314</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22,332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069"/>
              <w:spacing w:after="0"/>
              <w:rPr>
                <w:sz w:val="20"/>
                <w:szCs w:val="20"/>
                <w:color w:val="auto"/>
              </w:rPr>
            </w:pPr>
            <w:r>
              <w:rPr>
                <w:rFonts w:ascii="Arial" w:cs="Arial" w:eastAsia="Arial" w:hAnsi="Arial"/>
                <w:sz w:val="14"/>
                <w:szCs w:val="14"/>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Accrued Expenses and Other Current Liabilities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April 30, 2020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w w:val="97"/>
              </w:rPr>
              <w:t>January 31, 2020</w:t>
            </w:r>
          </w:p>
        </w:tc>
        <w:tc>
          <w:tcPr>
            <w:tcW w:w="0" w:type="dxa"/>
            <w:vAlign w:val="bottom"/>
          </w:tcPr>
          <w:p>
            <w:pPr>
              <w:spacing w:after="0"/>
              <w:rPr>
                <w:sz w:val="1"/>
                <w:szCs w:val="1"/>
                <w:color w:val="auto"/>
              </w:rPr>
            </w:pPr>
          </w:p>
        </w:tc>
      </w:tr>
      <w:tr>
        <w:trPr>
          <w:trHeight w:val="182"/>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center"/>
              <w:ind w:left="933"/>
              <w:spacing w:after="0"/>
              <w:rPr>
                <w:sz w:val="20"/>
                <w:szCs w:val="20"/>
                <w:color w:val="auto"/>
              </w:rPr>
            </w:pPr>
            <w:r>
              <w:rPr>
                <w:rFonts w:ascii="Arial" w:cs="Arial" w:eastAsia="Arial" w:hAnsi="Arial"/>
                <w:sz w:val="11"/>
                <w:szCs w:val="11"/>
                <w:b w:val="1"/>
                <w:bCs w:val="1"/>
                <w:color w:val="auto"/>
                <w:w w:val="89"/>
              </w:rPr>
              <w:t>(in thousands)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to employees and tax authorities from international employee stock sales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267,917</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49,287</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118,632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36,732</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80,924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Sales and other tax liabilities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16,777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3,774</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2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7,675</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507,010</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122,692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b w:val="1"/>
                <w:bCs w:val="1"/>
                <w:i w:val="1"/>
                <w:iCs w:val="1"/>
                <w:color w:val="auto"/>
              </w:rPr>
              <w:t>Other Liabilities, Noncurrent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80" w:type="dxa"/>
            <w:vAlign w:val="bottom"/>
          </w:tcPr>
          <w:p>
            <w:pPr>
              <w:ind w:left="380"/>
              <w:spacing w:after="0"/>
              <w:rPr>
                <w:sz w:val="20"/>
                <w:szCs w:val="20"/>
                <w:color w:val="auto"/>
              </w:rPr>
            </w:pPr>
            <w:r>
              <w:rPr>
                <w:rFonts w:ascii="Arial" w:cs="Arial" w:eastAsia="Arial" w:hAnsi="Arial"/>
                <w:sz w:val="14"/>
                <w:szCs w:val="14"/>
                <w:color w:val="auto"/>
              </w:rPr>
              <w:t>Other liabilities, noncurrent consisted of the following:</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7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April 30, 2020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w w:val="97"/>
              </w:rPr>
              <w:t>January 31, 2020</w:t>
            </w:r>
          </w:p>
        </w:tc>
        <w:tc>
          <w:tcPr>
            <w:tcW w:w="0" w:type="dxa"/>
            <w:vAlign w:val="bottom"/>
          </w:tcPr>
          <w:p>
            <w:pPr>
              <w:spacing w:after="0"/>
              <w:rPr>
                <w:sz w:val="1"/>
                <w:szCs w:val="1"/>
                <w:color w:val="auto"/>
              </w:rPr>
            </w:pPr>
          </w:p>
        </w:tc>
      </w:tr>
      <w:tr>
        <w:trPr>
          <w:trHeight w:val="182"/>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center"/>
              <w:ind w:left="933"/>
              <w:spacing w:after="0"/>
              <w:rPr>
                <w:sz w:val="20"/>
                <w:szCs w:val="20"/>
                <w:color w:val="auto"/>
              </w:rPr>
            </w:pPr>
            <w:r>
              <w:rPr>
                <w:rFonts w:ascii="Arial" w:cs="Arial" w:eastAsia="Arial" w:hAnsi="Arial"/>
                <w:sz w:val="11"/>
                <w:szCs w:val="11"/>
                <w:b w:val="1"/>
                <w:bCs w:val="1"/>
                <w:color w:val="auto"/>
                <w:w w:val="89"/>
              </w:rPr>
              <w:t>(in thousands)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other tax liabilities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38,345</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33,957</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liabilities, noncurrent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36,286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Commitments and Contingencies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Non-cancelable Purchase Obligations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April 30, 2020, we had additional outstanding non-cancelable purchase obligations with a term of 12 months or longer of $18.0 million, related to third-party cloud hosting to meet the significant increase in usage of our services.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Leases Not Yet Commenced</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April 30, 2020, we had additional operating leases for office space that have not yet commenced with undiscounted future lease payments of $8.9 million. These operating leases will commence in the fourth quarter of fiscal year 2021.</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May 2020, we entered into a license agreement with MPEG LA, LLC (“MPEGLA”) to obtain the rights for future use of licensed intellectual property in exchange for periodic royalty payments. In connection with the license agreement, we agreed to make a royalty payment of $9.8 million to use the technology until December 31, 2020. In addition, we also agreed to make a one-time payment of $9.8 million for past use, which was recorded in general and administrative expenses in our condensed consolidated statements of operations for the three months ended April 30, 2020.</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Beginning on March 30, 2020, multiple putative class actions were filed against us in various U.S. federal district courts and in one state court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They seek to certify both nationwide and state-specific classes of individuals using our services in certain time periods. The plaintiffs seek various forms of injunctive and monetary relief, including restitution, statutory and actual damages, and attorneys’ fees. The federal cases have been transferred to the Northern District of California and have nearly completed the process of being related there for consolidated litigation, with our consent.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On April 7, 2020 and April 8, 2020, securities class action complaints were filed against us and two of our officers in the United States District Court for the Northern District of California.</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plaintiffs are purported stockholders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w:t>
      </w:r>
    </w:p>
    <w:p>
      <w:pPr>
        <w:spacing w:after="0" w:line="47"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Stockholders’ Equity and Equity Incentive Plan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Equity Incentive Plans</w:t>
      </w:r>
    </w:p>
    <w:p>
      <w:pPr>
        <w:spacing w:after="0" w:line="94"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In 2011, we adopted the 2011 Global Share Plan (“2011 Plan”), under which officers, employees, and consultants may be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w:t>
      </w:r>
    </w:p>
    <w:p>
      <w:pPr>
        <w:spacing w:after="0" w:line="39"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In April 2019, we adopted the 2019 Plan, which is a successor to and continuation of our 2011 Plan and which became effective in connection with our IPO. Our 2019 Plan provides for the grant of stock options, stock appreciation rights, restricted stock awards, restricted stock unit (“RSU”)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became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stock option activity under our equity incentive plan and related information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723"/>
              <w:spacing w:after="0"/>
              <w:rPr>
                <w:sz w:val="20"/>
                <w:szCs w:val="20"/>
                <w:color w:val="auto"/>
              </w:rPr>
            </w:pPr>
            <w:r>
              <w:rPr>
                <w:rFonts w:ascii="Arial" w:cs="Arial" w:eastAsia="Arial" w:hAnsi="Arial"/>
                <w:sz w:val="11"/>
                <w:szCs w:val="11"/>
                <w:b w:val="1"/>
                <w:bCs w:val="1"/>
                <w:color w:val="auto"/>
                <w:w w:val="91"/>
              </w:rPr>
              <w:t>Stock Options</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left="363"/>
              <w:spacing w:after="0"/>
              <w:rPr>
                <w:sz w:val="20"/>
                <w:szCs w:val="20"/>
                <w:color w:val="auto"/>
              </w:rPr>
            </w:pPr>
            <w:r>
              <w:rPr>
                <w:rFonts w:ascii="Arial" w:cs="Arial" w:eastAsia="Arial" w:hAnsi="Arial"/>
                <w:sz w:val="11"/>
                <w:szCs w:val="11"/>
                <w:b w:val="1"/>
                <w:bCs w:val="1"/>
                <w:color w:val="auto"/>
                <w:w w:val="93"/>
              </w:rPr>
              <w:t>Weighted-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left="143"/>
              <w:spacing w:after="0" w:line="116" w:lineRule="exact"/>
              <w:rPr>
                <w:sz w:val="20"/>
                <w:szCs w:val="20"/>
                <w:color w:val="auto"/>
              </w:rPr>
            </w:pPr>
            <w:r>
              <w:rPr>
                <w:rFonts w:ascii="Arial" w:cs="Arial" w:eastAsia="Arial" w:hAnsi="Arial"/>
                <w:sz w:val="11"/>
                <w:szCs w:val="11"/>
                <w:b w:val="1"/>
                <w:bCs w:val="1"/>
                <w:color w:val="auto"/>
                <w:w w:val="93"/>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left="123"/>
              <w:spacing w:after="0" w:line="117" w:lineRule="exact"/>
              <w:rPr>
                <w:sz w:val="20"/>
                <w:szCs w:val="20"/>
                <w:color w:val="auto"/>
              </w:rPr>
            </w:pPr>
            <w:r>
              <w:rPr>
                <w:rFonts w:ascii="Arial" w:cs="Arial" w:eastAsia="Arial" w:hAnsi="Arial"/>
                <w:sz w:val="11"/>
                <w:szCs w:val="11"/>
                <w:b w:val="1"/>
                <w:bCs w:val="1"/>
                <w:color w:val="auto"/>
                <w:w w:val="92"/>
              </w:rPr>
              <w:t>Average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center"/>
              <w:ind w:right="196"/>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343"/>
              <w:spacing w:after="0" w:line="117" w:lineRule="exact"/>
              <w:rPr>
                <w:sz w:val="20"/>
                <w:szCs w:val="20"/>
                <w:color w:val="auto"/>
              </w:rPr>
            </w:pPr>
            <w:r>
              <w:rPr>
                <w:rFonts w:ascii="Arial" w:cs="Arial" w:eastAsia="Arial" w:hAnsi="Arial"/>
                <w:sz w:val="11"/>
                <w:szCs w:val="11"/>
                <w:b w:val="1"/>
                <w:bCs w:val="1"/>
                <w:color w:val="auto"/>
                <w:w w:val="92"/>
              </w:rPr>
              <w:t>Average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left="123"/>
              <w:spacing w:after="0" w:line="117" w:lineRule="exact"/>
              <w:rPr>
                <w:sz w:val="20"/>
                <w:szCs w:val="20"/>
                <w:color w:val="auto"/>
              </w:rPr>
            </w:pPr>
            <w:r>
              <w:rPr>
                <w:rFonts w:ascii="Arial" w:cs="Arial" w:eastAsia="Arial" w:hAnsi="Arial"/>
                <w:sz w:val="11"/>
                <w:szCs w:val="11"/>
                <w:b w:val="1"/>
                <w:bCs w:val="1"/>
                <w:color w:val="auto"/>
                <w:w w:val="92"/>
              </w:rPr>
              <w:t>Remaining</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0"/>
                <w:szCs w:val="10"/>
                <w:color w:val="auto"/>
              </w:rPr>
            </w:pPr>
          </w:p>
        </w:tc>
        <w:tc>
          <w:tcPr>
            <w:tcW w:w="1000" w:type="dxa"/>
            <w:vAlign w:val="bottom"/>
          </w:tcPr>
          <w:p>
            <w:pPr>
              <w:jc w:val="center"/>
              <w:ind w:left="343"/>
              <w:spacing w:after="0" w:line="117" w:lineRule="exact"/>
              <w:rPr>
                <w:sz w:val="20"/>
                <w:szCs w:val="20"/>
                <w:color w:val="auto"/>
              </w:rPr>
            </w:pPr>
            <w:r>
              <w:rPr>
                <w:rFonts w:ascii="Arial" w:cs="Arial" w:eastAsia="Arial" w:hAnsi="Arial"/>
                <w:sz w:val="11"/>
                <w:szCs w:val="11"/>
                <w:b w:val="1"/>
                <w:bCs w:val="1"/>
                <w:color w:val="auto"/>
                <w:w w:val="88"/>
              </w:rPr>
              <w:t>Exercise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left="143"/>
              <w:spacing w:after="0" w:line="117" w:lineRule="exact"/>
              <w:rPr>
                <w:sz w:val="20"/>
                <w:szCs w:val="20"/>
                <w:color w:val="auto"/>
              </w:rPr>
            </w:pPr>
            <w:r>
              <w:rPr>
                <w:rFonts w:ascii="Arial" w:cs="Arial" w:eastAsia="Arial" w:hAnsi="Arial"/>
                <w:sz w:val="11"/>
                <w:szCs w:val="11"/>
                <w:b w:val="1"/>
                <w:bCs w:val="1"/>
                <w:color w:val="auto"/>
                <w:w w:val="94"/>
              </w:rPr>
              <w:t>Contractual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196"/>
              <w:spacing w:after="0" w:line="117"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51"/>
        </w:trPr>
        <w:tc>
          <w:tcPr>
            <w:tcW w:w="528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b w:val="1"/>
                <w:bCs w:val="1"/>
                <w:color w:val="auto"/>
                <w:w w:val="96"/>
              </w:rPr>
              <w:t>Price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b w:val="1"/>
                <w:bCs w:val="1"/>
                <w:color w:val="auto"/>
                <w:w w:val="93"/>
              </w:rPr>
              <w:t>Life (Years)</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4"/>
          </w:tcPr>
          <w:p>
            <w:pPr>
              <w:jc w:val="center"/>
              <w:ind w:left="163"/>
              <w:spacing w:after="0"/>
              <w:rPr>
                <w:sz w:val="20"/>
                <w:szCs w:val="20"/>
                <w:color w:val="auto"/>
              </w:rPr>
            </w:pPr>
            <w:r>
              <w:rPr>
                <w:rFonts w:ascii="Arial" w:cs="Arial" w:eastAsia="Arial" w:hAnsi="Arial"/>
                <w:sz w:val="11"/>
                <w:szCs w:val="11"/>
                <w:b w:val="1"/>
                <w:bCs w:val="1"/>
                <w:color w:val="auto"/>
                <w:w w:val="91"/>
              </w:rPr>
              <w:t>(in thousands, except share, life, and per share data)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16,833,009</w:t>
            </w:r>
          </w:p>
        </w:tc>
        <w:tc>
          <w:tcPr>
            <w:tcW w:w="1100" w:type="dxa"/>
            <w:vAlign w:val="bottom"/>
            <w:tcBorders>
              <w:bottom w:val="single" w:sz="8" w:color="CCEEFF"/>
            </w:tcBorders>
            <w:gridSpan w:val="2"/>
            <w:shd w:val="clear" w:color="auto" w:fill="CCEEFF"/>
          </w:tcPr>
          <w:p>
            <w:pPr>
              <w:jc w:val="right"/>
              <w:ind w:right="86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95"/>
              </w:rPr>
              <w:t>5.73</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1"/>
              </w:rPr>
              <w:t>7.6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4"/>
                <w:szCs w:val="14"/>
                <w:color w:val="auto"/>
              </w:rPr>
              <w:t>1,191,881</w:t>
            </w:r>
          </w:p>
        </w:tc>
        <w:tc>
          <w:tcPr>
            <w:tcW w:w="0" w:type="dxa"/>
            <w:vAlign w:val="bottom"/>
          </w:tcPr>
          <w:p>
            <w:pPr>
              <w:spacing w:after="0"/>
              <w:rPr>
                <w:sz w:val="1"/>
                <w:szCs w:val="1"/>
                <w:color w:val="auto"/>
              </w:rPr>
            </w:pPr>
          </w:p>
        </w:tc>
      </w:tr>
      <w:tr>
        <w:trPr>
          <w:trHeight w:val="191"/>
        </w:trPr>
        <w:tc>
          <w:tcPr>
            <w:tcW w:w="52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63"/>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140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(3,232,991)</w:t>
            </w:r>
          </w:p>
        </w:tc>
        <w:tc>
          <w:tcPr>
            <w:tcW w:w="1100" w:type="dxa"/>
            <w:vAlign w:val="bottom"/>
            <w:tcBorders>
              <w:bottom w:val="single" w:sz="8" w:color="CCEEFF"/>
            </w:tcBorders>
            <w:gridSpan w:val="2"/>
            <w:shd w:val="clear" w:color="auto" w:fill="CCEEFF"/>
          </w:tcPr>
          <w:p>
            <w:pPr>
              <w:jc w:val="right"/>
              <w:ind w:right="86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95"/>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160"/>
              <w:spacing w:after="0"/>
              <w:rPr>
                <w:sz w:val="20"/>
                <w:szCs w:val="20"/>
                <w:color w:val="auto"/>
              </w:rPr>
            </w:pPr>
            <w:r>
              <w:rPr>
                <w:rFonts w:ascii="Arial" w:cs="Arial" w:eastAsia="Arial" w:hAnsi="Arial"/>
                <w:sz w:val="14"/>
                <w:szCs w:val="14"/>
                <w:color w:val="auto"/>
              </w:rPr>
              <w:t>Canceled/forfeited/expired</w:t>
            </w:r>
          </w:p>
        </w:tc>
        <w:tc>
          <w:tcPr>
            <w:tcW w:w="1420" w:type="dxa"/>
            <w:vAlign w:val="bottom"/>
          </w:tcPr>
          <w:p>
            <w:pPr>
              <w:jc w:val="right"/>
              <w:ind w:right="34"/>
              <w:spacing w:after="0"/>
              <w:rPr>
                <w:sz w:val="20"/>
                <w:szCs w:val="20"/>
                <w:color w:val="auto"/>
              </w:rPr>
            </w:pPr>
            <w:r>
              <w:rPr>
                <w:rFonts w:ascii="Arial" w:cs="Arial" w:eastAsia="Arial" w:hAnsi="Arial"/>
                <w:sz w:val="14"/>
                <w:szCs w:val="14"/>
                <w:color w:val="auto"/>
              </w:rPr>
              <w:t>(52,093)</w:t>
            </w:r>
          </w:p>
        </w:tc>
        <w:tc>
          <w:tcPr>
            <w:tcW w:w="1100" w:type="dxa"/>
            <w:vAlign w:val="bottom"/>
            <w:gridSpan w:val="2"/>
          </w:tcPr>
          <w:p>
            <w:pPr>
              <w:jc w:val="right"/>
              <w:ind w:right="863"/>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w w:val="95"/>
              </w:rPr>
              <w:t>4.63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2020</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13,547,925</w:t>
            </w:r>
          </w:p>
        </w:tc>
        <w:tc>
          <w:tcPr>
            <w:tcW w:w="1100" w:type="dxa"/>
            <w:vAlign w:val="bottom"/>
            <w:tcBorders>
              <w:bottom w:val="single" w:sz="8" w:color="CCEEFF"/>
            </w:tcBorders>
            <w:gridSpan w:val="2"/>
            <w:shd w:val="clear" w:color="auto" w:fill="CCEEFF"/>
          </w:tcPr>
          <w:p>
            <w:pPr>
              <w:jc w:val="right"/>
              <w:ind w:right="86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95"/>
              </w:rPr>
              <w:t>6.39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1"/>
              </w:rPr>
              <w:t>7.6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4"/>
                <w:szCs w:val="14"/>
                <w:color w:val="auto"/>
              </w:rPr>
              <w:t>1,744,720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Vested and exercisable as of April 30, 2020</w:t>
            </w: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5,449,596</w:t>
            </w:r>
          </w:p>
        </w:tc>
        <w:tc>
          <w:tcPr>
            <w:tcW w:w="1100" w:type="dxa"/>
            <w:vAlign w:val="bottom"/>
            <w:gridSpan w:val="2"/>
          </w:tcPr>
          <w:p>
            <w:pPr>
              <w:jc w:val="right"/>
              <w:ind w:right="863"/>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71"/>
              <w:spacing w:after="0"/>
              <w:rPr>
                <w:sz w:val="20"/>
                <w:szCs w:val="20"/>
                <w:color w:val="auto"/>
              </w:rPr>
            </w:pPr>
            <w:r>
              <w:rPr>
                <w:rFonts w:ascii="Arial" w:cs="Arial" w:eastAsia="Arial" w:hAnsi="Arial"/>
                <w:sz w:val="14"/>
                <w:szCs w:val="14"/>
                <w:color w:val="auto"/>
                <w:w w:val="95"/>
              </w:rPr>
              <w:t>2.70</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1"/>
              </w:rPr>
              <w:t>7.0</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6"/>
              <w:spacing w:after="0"/>
              <w:rPr>
                <w:sz w:val="20"/>
                <w:szCs w:val="20"/>
                <w:color w:val="auto"/>
              </w:rPr>
            </w:pPr>
            <w:r>
              <w:rPr>
                <w:rFonts w:ascii="Arial" w:cs="Arial" w:eastAsia="Arial" w:hAnsi="Arial"/>
                <w:sz w:val="14"/>
                <w:szCs w:val="14"/>
                <w:color w:val="auto"/>
              </w:rPr>
              <w:t>721,922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April 30, 2020, unrecognized stock-based compensation expense related to outstanding unvested stock options was $69.0 million, which is expected to be recognized over a weighted-average period of 2.6 years.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under our equity incentive plan and related information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RSUs</w:t>
            </w: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940" w:type="dxa"/>
            <w:vAlign w:val="bottom"/>
          </w:tcPr>
          <w:p>
            <w:pPr>
              <w:spacing w:after="0"/>
              <w:rPr>
                <w:sz w:val="10"/>
                <w:szCs w:val="10"/>
                <w:color w:val="auto"/>
              </w:rPr>
            </w:pPr>
          </w:p>
        </w:tc>
        <w:tc>
          <w:tcPr>
            <w:tcW w:w="152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Unvested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jc w:val="right"/>
              <w:ind w:right="493"/>
              <w:spacing w:after="0" w:line="11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7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jc w:val="right"/>
              <w:ind w:right="553"/>
              <w:spacing w:after="0" w:line="117"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51"/>
        </w:trPr>
        <w:tc>
          <w:tcPr>
            <w:tcW w:w="79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RSUs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4"/>
              </w:rPr>
              <w:t>Grant Date Fair Value Per Share</w:t>
            </w:r>
          </w:p>
        </w:tc>
        <w:tc>
          <w:tcPr>
            <w:tcW w:w="0" w:type="dxa"/>
            <w:vAlign w:val="bottom"/>
          </w:tcPr>
          <w:p>
            <w:pPr>
              <w:spacing w:after="0"/>
              <w:rPr>
                <w:sz w:val="1"/>
                <w:szCs w:val="1"/>
                <w:color w:val="auto"/>
              </w:rPr>
            </w:pPr>
          </w:p>
        </w:tc>
      </w:tr>
      <w:tr>
        <w:trPr>
          <w:trHeight w:val="18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as of January 31, 2020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1,964,668</w:t>
            </w:r>
          </w:p>
        </w:tc>
        <w:tc>
          <w:tcPr>
            <w:tcW w:w="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91"/>
        </w:trPr>
        <w:tc>
          <w:tcPr>
            <w:tcW w:w="7940" w:type="dxa"/>
            <w:vAlign w:val="bottom"/>
          </w:tcPr>
          <w:p>
            <w:pPr>
              <w:ind w:left="16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419,354</w:t>
            </w: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3"/>
              <w:spacing w:after="0"/>
              <w:rPr>
                <w:sz w:val="20"/>
                <w:szCs w:val="20"/>
                <w:color w:val="auto"/>
              </w:rPr>
            </w:pPr>
            <w:r>
              <w:rPr>
                <w:rFonts w:ascii="Arial" w:cs="Arial" w:eastAsia="Arial" w:hAnsi="Arial"/>
                <w:sz w:val="14"/>
                <w:szCs w:val="14"/>
                <w:color w:val="auto"/>
              </w:rPr>
              <w:t>119.62</w:t>
            </w:r>
          </w:p>
        </w:tc>
        <w:tc>
          <w:tcPr>
            <w:tcW w:w="0" w:type="dxa"/>
            <w:vAlign w:val="bottom"/>
          </w:tcPr>
          <w:p>
            <w:pPr>
              <w:spacing w:after="0"/>
              <w:rPr>
                <w:sz w:val="1"/>
                <w:szCs w:val="1"/>
                <w:color w:val="auto"/>
              </w:rPr>
            </w:pPr>
          </w:p>
        </w:tc>
      </w:tr>
      <w:tr>
        <w:trPr>
          <w:trHeight w:val="22"/>
        </w:trPr>
        <w:tc>
          <w:tcPr>
            <w:tcW w:w="7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(37,518)</w:t>
            </w:r>
          </w:p>
        </w:tc>
        <w:tc>
          <w:tcPr>
            <w:tcW w:w="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80.36</w:t>
            </w:r>
          </w:p>
        </w:tc>
        <w:tc>
          <w:tcPr>
            <w:tcW w:w="0" w:type="dxa"/>
            <w:vAlign w:val="bottom"/>
          </w:tcPr>
          <w:p>
            <w:pPr>
              <w:spacing w:after="0"/>
              <w:rPr>
                <w:sz w:val="1"/>
                <w:szCs w:val="1"/>
                <w:color w:val="auto"/>
              </w:rPr>
            </w:pPr>
          </w:p>
        </w:tc>
      </w:tr>
      <w:tr>
        <w:trPr>
          <w:trHeight w:val="191"/>
        </w:trPr>
        <w:tc>
          <w:tcPr>
            <w:tcW w:w="7940" w:type="dxa"/>
            <w:vAlign w:val="bottom"/>
          </w:tcPr>
          <w:p>
            <w:pPr>
              <w:ind w:left="160"/>
              <w:spacing w:after="0"/>
              <w:rPr>
                <w:sz w:val="20"/>
                <w:szCs w:val="20"/>
                <w:color w:val="auto"/>
              </w:rPr>
            </w:pPr>
            <w:r>
              <w:rPr>
                <w:rFonts w:ascii="Arial" w:cs="Arial" w:eastAsia="Arial" w:hAnsi="Arial"/>
                <w:sz w:val="14"/>
                <w:szCs w:val="14"/>
                <w:color w:val="auto"/>
              </w:rPr>
              <w:t>Canceled/forfeited</w:t>
            </w:r>
          </w:p>
        </w:tc>
        <w:tc>
          <w:tcPr>
            <w:tcW w:w="1520" w:type="dxa"/>
            <w:vAlign w:val="bottom"/>
          </w:tcPr>
          <w:p>
            <w:pPr>
              <w:jc w:val="right"/>
              <w:spacing w:after="0"/>
              <w:rPr>
                <w:sz w:val="20"/>
                <w:szCs w:val="20"/>
                <w:color w:val="auto"/>
              </w:rPr>
            </w:pPr>
            <w:r>
              <w:rPr>
                <w:rFonts w:ascii="Arial" w:cs="Arial" w:eastAsia="Arial" w:hAnsi="Arial"/>
                <w:sz w:val="14"/>
                <w:szCs w:val="14"/>
                <w:color w:val="auto"/>
              </w:rPr>
              <w:t>(33,653)</w:t>
            </w: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3"/>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April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2,312,851</w:t>
            </w: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86.42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As of April 30, 2020, unrecognized stock-based compensation expense related to outstanding unvested RSUs was $179.4 million, which is expected to be recognized over a weighted-average period of 3.5 years.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2019 Employee Stock Purchase Plan</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62"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As of April 30, 2020, 490,268 shares of our Class A common stock have been purchased under the ESPP.</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As of April 30, 2020, unrecognized stock-based compensation expense related to the ESPP was $48.2 million, which is expected to be recognized over a weighted-average period of 1.1 years.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Early Exercise of Common Stock Options</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April 30, 2020 and January 31, 2020, 408,662 and 466,819 shares of Class B common stock, respectively, were subject to repurchase at a weighted-average price of $2.60 and $2.58 per share, respectively. The cash proceeds received for unvested shares of common stock recorded within accrued expenses and other current liabilities in the condensed consolidated balance sheets were $1.1 million and $1.2 million as of April 30, 2020 and January 31, 2020, respectively.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Shares Reserved for Charitable Donations</w:t>
      </w:r>
    </w:p>
    <w:p>
      <w:pPr>
        <w:spacing w:after="0" w:line="14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fiscal year 2020, our board of directors approved the issuance of 500,000 shares of Class A common stock for the sole purpose of being transferred to a nonprofit organization to be formed or identified by us at a future time. As of April 30, 2020, 6,844 shares of Class A common stock have been transferred to a nonprofit organization. We recorded a non-cash charge of $1.0 million for the fair value of the donated shares, which was recorded in general and administrative expense in the condensed consolidated statements of operations for the three months ended April 30, 2020.</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stock-based compensation expense by line item in the accompanying condensed consolidated statements of operations is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1"/>
                <w:szCs w:val="11"/>
                <w:b w:val="1"/>
                <w:bCs w:val="1"/>
                <w:color w:val="auto"/>
                <w:w w:val="94"/>
              </w:rPr>
              <w:t>Three Months Ended April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gridSpan w:val="5"/>
          </w:tcPr>
          <w:p>
            <w:pPr>
              <w:jc w:val="right"/>
              <w:ind w:right="683"/>
              <w:spacing w:after="0"/>
              <w:rPr>
                <w:sz w:val="20"/>
                <w:szCs w:val="20"/>
                <w:color w:val="auto"/>
              </w:rPr>
            </w:pPr>
            <w:r>
              <w:rPr>
                <w:rFonts w:ascii="Arial" w:cs="Arial" w:eastAsia="Arial" w:hAnsi="Arial"/>
                <w:sz w:val="11"/>
                <w:szCs w:val="11"/>
                <w:b w:val="1"/>
                <w:bCs w:val="1"/>
                <w:color w:val="auto"/>
              </w:rPr>
              <w:t>(in thousands)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tcBorders>
              <w:bottom w:val="single" w:sz="8" w:color="CCEEFF"/>
            </w:tcBorders>
            <w:gridSpan w:val="2"/>
            <w:shd w:val="clear" w:color="auto" w:fill="CCEEFF"/>
          </w:tcPr>
          <w:p>
            <w:pPr>
              <w:jc w:val="right"/>
              <w:ind w:right="80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3,249</w:t>
            </w:r>
          </w:p>
        </w:tc>
        <w:tc>
          <w:tcPr>
            <w:tcW w:w="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5,224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17,123</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3,181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stock-based compensation expense</w:t>
            </w:r>
          </w:p>
        </w:tc>
        <w:tc>
          <w:tcPr>
            <w:tcW w:w="1020" w:type="dxa"/>
            <w:vAlign w:val="bottom"/>
            <w:gridSpan w:val="2"/>
            <w:shd w:val="clear" w:color="auto" w:fill="CCEEFF"/>
          </w:tcPr>
          <w:p>
            <w:pPr>
              <w:jc w:val="right"/>
              <w:ind w:right="80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28,777</w:t>
            </w:r>
          </w:p>
        </w:tc>
        <w:tc>
          <w:tcPr>
            <w:tcW w:w="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8. Income Taxes</w:t>
            </w: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7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40" w:type="dxa"/>
            <w:vAlign w:val="bottom"/>
          </w:tcPr>
          <w:p>
            <w:pPr>
              <w:ind w:left="380"/>
              <w:spacing w:after="0"/>
              <w:rPr>
                <w:sz w:val="20"/>
                <w:szCs w:val="20"/>
                <w:color w:val="auto"/>
              </w:rPr>
            </w:pPr>
            <w:r>
              <w:rPr>
                <w:rFonts w:ascii="Arial" w:cs="Arial" w:eastAsia="Arial" w:hAnsi="Arial"/>
                <w:sz w:val="14"/>
                <w:szCs w:val="14"/>
                <w:color w:val="auto"/>
              </w:rPr>
              <w:t>The following table provides details of the provision for income taxes:</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7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323"/>
              <w:spacing w:after="0"/>
              <w:rPr>
                <w:sz w:val="20"/>
                <w:szCs w:val="20"/>
                <w:color w:val="auto"/>
              </w:rPr>
            </w:pPr>
            <w:r>
              <w:rPr>
                <w:rFonts w:ascii="Arial" w:cs="Arial" w:eastAsia="Arial" w:hAnsi="Arial"/>
                <w:sz w:val="11"/>
                <w:szCs w:val="11"/>
                <w:b w:val="1"/>
                <w:bCs w:val="1"/>
                <w:color w:val="auto"/>
              </w:rPr>
              <w:t>Three Months Ended April 30,</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84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jc w:val="right"/>
              <w:ind w:right="243"/>
              <w:spacing w:after="0"/>
              <w:rPr>
                <w:sz w:val="20"/>
                <w:szCs w:val="20"/>
                <w:color w:val="auto"/>
              </w:rPr>
            </w:pPr>
            <w:r>
              <w:rPr>
                <w:rFonts w:ascii="Arial" w:cs="Arial" w:eastAsia="Arial" w:hAnsi="Arial"/>
                <w:sz w:val="11"/>
                <w:szCs w:val="11"/>
                <w:b w:val="1"/>
                <w:bCs w:val="1"/>
                <w:color w:val="auto"/>
              </w:rPr>
              <w:t>(in thousands, except percentages)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before provision for income taxes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29,175</w:t>
            </w:r>
          </w:p>
        </w:tc>
        <w:tc>
          <w:tcPr>
            <w:tcW w:w="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right"/>
              <w:ind w:right="92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color w:val="auto"/>
              </w:rPr>
              <w:t>2,100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2"/>
        </w:trPr>
        <w:tc>
          <w:tcPr>
            <w:tcW w:w="7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provision for income taxes was $2.1 million and $0.3 million for the three months ended April 30, 2020 and 2019, respectively. The provision for income taxes for the three months ended April 30, 2020 consisted primarily of foreign income taxes and state taxes. For the three months ended April 30, 2020 and 2019, the provision for income taxes differed from the U.S. federal statutory rate primarily due to stock-based compensation and the full valuation allowance on the U.S. and the U.K. deferred tax assets.</w:t>
      </w:r>
    </w:p>
    <w:p>
      <w:pPr>
        <w:spacing w:after="0" w:line="5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April 30, 2020, we believe it is more likely than not that the tax benefits of the U.S. and the U.K. losses incurred may not be realized. Accordingly, we recorded a full valuation allowance against the tax benefits of the U.S. and the U.K. losses incurred. We intend to maintain the full valuation allowance on the U.S. and the U.K. net deferred tax assets until sufficient positive evidence exists to support a reversal of, or decrease in, the valuation allowance.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the three months ended April 30, 2020, there were no material changes to the total amount of unrecognized tax benefits.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Net Income Per Share Attributable to Common Stockholders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the computation of basic and diluted net income per share attributable to common stockholders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1"/>
                <w:szCs w:val="11"/>
                <w:b w:val="1"/>
                <w:bCs w:val="1"/>
                <w:color w:val="auto"/>
              </w:rPr>
              <w:t>Three Months Ended April 30,</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1"/>
                <w:szCs w:val="11"/>
                <w:b w:val="1"/>
                <w:bCs w:val="1"/>
                <w:color w:val="auto"/>
                <w:w w:val="97"/>
              </w:rPr>
              <w:t>2020</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w w:val="97"/>
              </w:rPr>
              <w:t>2019</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Class A</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Class B</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Class A</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228"/>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Numerator:</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8"/>
          </w:tcPr>
          <w:p>
            <w:pPr>
              <w:jc w:val="right"/>
              <w:ind w:right="280"/>
              <w:spacing w:after="0"/>
              <w:rPr>
                <w:sz w:val="20"/>
                <w:szCs w:val="20"/>
                <w:color w:val="auto"/>
              </w:rPr>
            </w:pPr>
            <w:r>
              <w:rPr>
                <w:rFonts w:ascii="Arial" w:cs="Arial" w:eastAsia="Arial" w:hAnsi="Arial"/>
                <w:sz w:val="11"/>
                <w:szCs w:val="11"/>
                <w:b w:val="1"/>
                <w:bCs w:val="1"/>
                <w:color w:val="auto"/>
                <w:w w:val="91"/>
              </w:rPr>
              <w:t>(in thousands, except share and per share data)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14,007</w:t>
            </w:r>
          </w:p>
        </w:tc>
        <w:tc>
          <w:tcPr>
            <w:tcW w:w="38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13,068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2,199</w:t>
            </w: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Arial" w:cs="Arial" w:eastAsia="Arial" w:hAnsi="Arial"/>
                <w:sz w:val="13"/>
                <w:szCs w:val="13"/>
                <w:color w:val="auto"/>
              </w:rPr>
              <w:t>Less: undistributed earnings attributable to participating securities</w:t>
            </w:r>
          </w:p>
        </w:tc>
        <w:tc>
          <w:tcPr>
            <w:tcW w:w="18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26"/>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common stockholders, basic</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14,007</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tcPr>
          <w:p>
            <w:pPr>
              <w:ind w:left="20"/>
              <w:spacing w:after="0" w:line="141" w:lineRule="exact"/>
              <w:rPr>
                <w:sz w:val="20"/>
                <w:szCs w:val="20"/>
                <w:color w:val="auto"/>
              </w:rPr>
            </w:pPr>
            <w:r>
              <w:rPr>
                <w:rFonts w:ascii="Arial" w:cs="Arial" w:eastAsia="Arial" w:hAnsi="Arial"/>
                <w:sz w:val="13"/>
                <w:szCs w:val="13"/>
                <w:color w:val="auto"/>
              </w:rPr>
              <w:t>Reallocation of net income attributable to common stockholders</w:t>
            </w:r>
          </w:p>
        </w:tc>
        <w:tc>
          <w:tcPr>
            <w:tcW w:w="1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(591)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78"/>
              <w:spacing w:after="0" w:line="141" w:lineRule="exact"/>
              <w:rPr>
                <w:sz w:val="20"/>
                <w:szCs w:val="20"/>
                <w:color w:val="auto"/>
              </w:rPr>
            </w:pPr>
            <w:r>
              <w:rPr>
                <w:rFonts w:ascii="Arial" w:cs="Arial" w:eastAsia="Arial" w:hAnsi="Arial"/>
                <w:sz w:val="13"/>
                <w:szCs w:val="13"/>
                <w:color w:val="auto"/>
              </w:rPr>
              <w:t>591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common stockholders, diluted</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13,416</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13,620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used in computing net income per share attributable to common stockholders, basic</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145,004,142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9"/>
              </w:rPr>
              <w:t>134,886,969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8,393,169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101,315,729</w:t>
            </w:r>
          </w:p>
        </w:tc>
        <w:tc>
          <w:tcPr>
            <w:tcW w:w="0" w:type="dxa"/>
            <w:vAlign w:val="bottom"/>
          </w:tcPr>
          <w:p>
            <w:pPr>
              <w:spacing w:after="0"/>
              <w:rPr>
                <w:sz w:val="1"/>
                <w:szCs w:val="1"/>
                <w:color w:val="auto"/>
              </w:rPr>
            </w:pPr>
          </w:p>
        </w:tc>
      </w:tr>
      <w:tr>
        <w:trPr>
          <w:trHeight w:val="19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Weighted-average shares used in computing net income per share attributable to common stockholders, diluted</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146,472,265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w w:val="99"/>
              </w:rPr>
              <w:t>148,712,693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8,393,391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128,034,988</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attributable to common stockholders, basic</w:t>
            </w: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0.10</w:t>
            </w:r>
          </w:p>
        </w:tc>
        <w:tc>
          <w:tcPr>
            <w:tcW w:w="38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0.00</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60" w:type="dxa"/>
            <w:vAlign w:val="bottom"/>
            <w:vMerge w:val="restart"/>
          </w:tcPr>
          <w:p>
            <w:pPr>
              <w:ind w:left="20"/>
              <w:spacing w:after="0"/>
              <w:rPr>
                <w:sz w:val="20"/>
                <w:szCs w:val="20"/>
                <w:color w:val="auto"/>
              </w:rPr>
            </w:pPr>
            <w:r>
              <w:rPr>
                <w:rFonts w:ascii="Arial" w:cs="Arial" w:eastAsia="Arial" w:hAnsi="Arial"/>
                <w:sz w:val="13"/>
                <w:szCs w:val="13"/>
                <w:color w:val="auto"/>
              </w:rPr>
              <w:t>Net income per share attributable to common stockholders, diluted</w:t>
            </w:r>
          </w:p>
        </w:tc>
        <w:tc>
          <w:tcPr>
            <w:tcW w:w="180" w:type="dxa"/>
            <w:vAlign w:val="bottom"/>
          </w:tcPr>
          <w:p>
            <w:pPr>
              <w:jc w:val="right"/>
              <w:ind w:right="36"/>
              <w:spacing w:after="0" w:line="139"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ind w:right="17"/>
              <w:spacing w:after="0" w:line="139" w:lineRule="exact"/>
              <w:rPr>
                <w:sz w:val="20"/>
                <w:szCs w:val="20"/>
                <w:color w:val="auto"/>
              </w:rPr>
            </w:pPr>
            <w:r>
              <w:rPr>
                <w:rFonts w:ascii="Arial" w:cs="Arial" w:eastAsia="Arial" w:hAnsi="Arial"/>
                <w:sz w:val="13"/>
                <w:szCs w:val="13"/>
                <w:color w:val="auto"/>
              </w:rPr>
              <w:t>0.09</w:t>
            </w:r>
          </w:p>
        </w:tc>
        <w:tc>
          <w:tcPr>
            <w:tcW w:w="380" w:type="dxa"/>
            <w:vAlign w:val="bottom"/>
            <w:gridSpan w:val="3"/>
          </w:tcPr>
          <w:p>
            <w:pPr>
              <w:jc w:val="right"/>
              <w:ind w:right="83"/>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78"/>
              <w:spacing w:after="0" w:line="139" w:lineRule="exact"/>
              <w:rPr>
                <w:sz w:val="20"/>
                <w:szCs w:val="20"/>
                <w:color w:val="auto"/>
              </w:rPr>
            </w:pPr>
            <w:r>
              <w:rPr>
                <w:rFonts w:ascii="Arial" w:cs="Arial" w:eastAsia="Arial" w:hAnsi="Arial"/>
                <w:sz w:val="13"/>
                <w:szCs w:val="13"/>
                <w:color w:val="auto"/>
              </w:rPr>
              <w:t>0.09</w:t>
            </w:r>
          </w:p>
        </w:tc>
        <w:tc>
          <w:tcPr>
            <w:tcW w:w="100" w:type="dxa"/>
            <w:vAlign w:val="bottom"/>
          </w:tcPr>
          <w:p>
            <w:pPr>
              <w:spacing w:after="0"/>
              <w:rPr>
                <w:sz w:val="12"/>
                <w:szCs w:val="12"/>
                <w:color w:val="auto"/>
              </w:rPr>
            </w:pPr>
          </w:p>
        </w:tc>
        <w:tc>
          <w:tcPr>
            <w:tcW w:w="220" w:type="dxa"/>
            <w:vAlign w:val="bottom"/>
          </w:tcPr>
          <w:p>
            <w:pPr>
              <w:jc w:val="right"/>
              <w:ind w:right="76"/>
              <w:spacing w:after="0" w:line="139"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line="139" w:lineRule="exact"/>
              <w:rPr>
                <w:sz w:val="20"/>
                <w:szCs w:val="20"/>
                <w:color w:val="auto"/>
              </w:rPr>
            </w:pPr>
            <w:r>
              <w:rPr>
                <w:rFonts w:ascii="Arial" w:cs="Arial" w:eastAsia="Arial" w:hAnsi="Arial"/>
                <w:sz w:val="13"/>
                <w:szCs w:val="13"/>
                <w:color w:val="auto"/>
              </w:rPr>
              <w:t>0.00</w:t>
            </w:r>
          </w:p>
        </w:tc>
        <w:tc>
          <w:tcPr>
            <w:tcW w:w="380" w:type="dxa"/>
            <w:vAlign w:val="bottom"/>
            <w:gridSpan w:val="3"/>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line="139"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6"/>
        </w:trPr>
        <w:tc>
          <w:tcPr>
            <w:tcW w:w="666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4"/>
          <w:szCs w:val="14"/>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1"/>
                <w:szCs w:val="11"/>
                <w:b w:val="1"/>
                <w:bCs w:val="1"/>
                <w:color w:val="auto"/>
              </w:rPr>
              <w:t>Three Months Ended April 30,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58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2020</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1"/>
                <w:szCs w:val="11"/>
                <w:b w:val="1"/>
                <w:bCs w:val="1"/>
                <w:color w:val="auto"/>
              </w:rPr>
              <w:t>2019</w:t>
            </w:r>
          </w:p>
        </w:tc>
      </w:tr>
      <w:tr>
        <w:trPr>
          <w:trHeight w:val="150"/>
        </w:trPr>
        <w:tc>
          <w:tcPr>
            <w:tcW w:w="65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Class A</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Class B</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Class B</w:t>
            </w:r>
          </w:p>
        </w:tc>
      </w:tr>
      <w:tr>
        <w:trPr>
          <w:trHeight w:val="17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stock options</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205,776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161,650</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19,663</w:t>
            </w:r>
          </w:p>
        </w:tc>
      </w:tr>
      <w:tr>
        <w:trPr>
          <w:trHeight w:val="176"/>
        </w:trPr>
        <w:tc>
          <w:tcPr>
            <w:tcW w:w="6580" w:type="dxa"/>
            <w:vAlign w:val="bottom"/>
          </w:tcPr>
          <w:p>
            <w:pPr>
              <w:ind w:left="20"/>
              <w:spacing w:after="0"/>
              <w:rPr>
                <w:sz w:val="20"/>
                <w:szCs w:val="20"/>
                <w:color w:val="auto"/>
              </w:rPr>
            </w:pPr>
            <w:r>
              <w:rPr>
                <w:rFonts w:ascii="Arial" w:cs="Arial" w:eastAsia="Arial" w:hAnsi="Arial"/>
                <w:sz w:val="13"/>
                <w:szCs w:val="13"/>
                <w:color w:val="auto"/>
              </w:rPr>
              <w:t>Unvested RSUs</w:t>
            </w:r>
          </w:p>
        </w:tc>
        <w:tc>
          <w:tcPr>
            <w:tcW w:w="1080" w:type="dxa"/>
            <w:vAlign w:val="bottom"/>
          </w:tcPr>
          <w:p>
            <w:pPr>
              <w:jc w:val="right"/>
              <w:ind w:right="79"/>
              <w:spacing w:after="0"/>
              <w:rPr>
                <w:sz w:val="20"/>
                <w:szCs w:val="20"/>
                <w:color w:val="auto"/>
              </w:rPr>
            </w:pPr>
            <w:r>
              <w:rPr>
                <w:rFonts w:ascii="Arial" w:cs="Arial" w:eastAsia="Arial" w:hAnsi="Arial"/>
                <w:sz w:val="13"/>
                <w:szCs w:val="13"/>
                <w:color w:val="auto"/>
              </w:rPr>
              <w:t>41,999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80"/>
              <w:spacing w:after="0"/>
              <w:rPr>
                <w:sz w:val="20"/>
                <w:szCs w:val="20"/>
                <w:color w:val="auto"/>
              </w:rPr>
            </w:pPr>
            <w:r>
              <w:rPr>
                <w:rFonts w:ascii="Arial" w:cs="Arial" w:eastAsia="Arial" w:hAnsi="Arial"/>
                <w:sz w:val="13"/>
                <w:szCs w:val="13"/>
                <w:color w:val="auto"/>
              </w:rPr>
              <w:t>—</w:t>
            </w:r>
          </w:p>
        </w:tc>
      </w:tr>
      <w:tr>
        <w:trPr>
          <w:trHeight w:val="26"/>
        </w:trPr>
        <w:tc>
          <w:tcPr>
            <w:tcW w:w="6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65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247,775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161,650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19,663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table above does not include 493,156 shares of issued Class A common stock held by us as of April 30, 2020 and reserved for the sole purpose of being transferred to a nonprofit organization to be formed or identified by us at a future time.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Subsequent Events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May 7, 2020, we announced the acquisition of Keybase, a secure messaging and file-sharing company. The acquisition helps us strengthen the security of our video communications platform by providing end-to-end encryption expertise that we can leverage as we develop and roll out an end-to-end encryption offering. The total purchase consideration will be paid in cash from our existing balances of 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mission is to make video communications frictionless.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provide a video-first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 Our 17 co-located data centers located worldwide enable us to provide both high-quality and high-definition, real-time video to our customers even in low-bandwidth environments.</w:t>
      </w:r>
    </w:p>
    <w:p>
      <w:pPr>
        <w:spacing w:after="0" w:line="65"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generate revenue from the sale of subscriptions to our video-first communications platform. Subscription revenue is driven primarily by the number of paid hosts as well as purchases of additional products, including Zoom Rooms, Zoom Video Webinars, and Zoom Phone.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6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revenue was $328.2 million and $122.0 million for the three months ended April 30, 2020 and 2019, respectively, representing period-over-period growth rate of 169%. We had net income of $27.1 million and $2.2 million for the three months ended April 30, 2020 and 2019, respectively. Net cash provided by operating activities was $259.0 million and $22.2 million for the three months ended April 30, 2020 and 2019,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COVID-19</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We have temporarily removed the 40-minute time limit for meetings with more than two participants from our free Basic accounts for K-12 schools in certain countries.</w:t>
      </w:r>
    </w:p>
    <w:p>
      <w:pPr>
        <w:spacing w:after="0" w:line="4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All of these factors have driven increased usage of our services and have required us to expand our network and data storage and processing capacity, in both our own co-located data centers as well as through third-party cloud hosting, which is resulting in an increase in our operating costs. Furthermore, a significant portion of the increase in usage of our platform is attributable to free Basic accounts, which do not generate any revenue and require us to incur these additional operating costs to expand our capacity. Therefore, the recent increase in usage of our platform has adversely impacted, and may continue to adversely impact, our gross margin.</w:t>
      </w:r>
    </w:p>
    <w:p>
      <w:pPr>
        <w:spacing w:after="0" w:line="61"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addition, there is no assurance that we will experience an increase in paying customers or that new or existing users will continue to utilize our service after the COVID-19 pandemic has tapered. We may see a decline in paying customers and new users when shelter-in-place measures are released, and individuals are no longer working or attending school from home.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Acquisition of Keybase</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May 2020, we announced the acquisition of Keybase, a secure messaging and file-sharing company. This acquisition helps us strengthen the security of our video communications platform by providing end-to-end encryption expertise that we can leverage as we develop and roll out an end-to-end encryption offering.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Acquiring New Customers</w:t>
      </w:r>
    </w:p>
    <w:p>
      <w:pPr>
        <w:spacing w:after="0" w:line="9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Expansion of Zoom Across Existing Customers</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Rooms at each office location,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65"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April 30, 2020 and 2019.</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Innovation and Expansion of Our Platform</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continue to invest resources to enhance the capabilities of our platform. For example, we have recently introduced a number of product enhancements, including new features for Zoom Phone, Zoom Meetings, and Zoom Video Webinars.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International Expansion</w:t>
      </w:r>
    </w:p>
    <w:p>
      <w:pPr>
        <w:spacing w:after="0" w:line="94"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Our platform addresses the communications needs of users worldwide, and we see international expansion as a major opportunity. Our revenue from the rest of world (APAC and EMEA) represented 25% and 20% of our total revenue for the three months ended April 30, 2020 and 2019, respectively. We plan to add local sales support in further select international markets over time. We use strategic partners and resellers to sell in certain international markets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review the following key business metrics to measure our performance, identify trends, formulate financial projections, and make strategic decisions.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Customers with More Than 10 Employees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Increasing awareness of our platform and its broad range of capabilities has enabled us to substantially expand our customer base, which includes organizations of all sizes across industries. We define a customer as a separate and distinct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April 30, 2020 and 2019, we had approximately 265,400 and 58,500 customers with more than 10 employees, respectively. When disclosing the number of customers, we round down to the nearest hundred.</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Customers Contributing More Than $100,000 of Trailing 12 Months Revenue</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focus on growing the number of customers that contribute more than $100,000 of trailing 12 months revenue as a measure of our ability to scale with our customers and attract larger organizations to Zoom. Revenue from these customers represented 23% and 29% of revenue for the three months ended April 30, 2020 and 2019, respectively. As of April 30, 2020 and 2019, we had 769 and 405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addition to our results determined in accordance with GAAP, we believe that free cash flow (“FCF”), a non-GAAP financial measure, is useful in evaluating our liquidity.</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Free Cash Flow</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4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4"/>
          <w:szCs w:val="14"/>
          <w:color w:val="auto"/>
        </w:rPr>
        <w:t>The following table presents a summary of our cash flows for the periods presented and a reconciliation of FCF to net cash used in operating activities, the most directly comparable financial measure calculated in accordance with GAAP: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Three Months Ended April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2"/>
        </w:trPr>
        <w:tc>
          <w:tcPr>
            <w:tcW w:w="7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right"/>
              <w:ind w:right="329"/>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bottom w:val="single" w:sz="8" w:color="CFF0FC"/>
            </w:tcBorders>
            <w:shd w:val="clear" w:color="auto" w:fill="CFF0FC"/>
          </w:tcPr>
          <w:p>
            <w:pPr>
              <w:jc w:val="right"/>
              <w:ind w:right="79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4"/>
                <w:szCs w:val="14"/>
                <w:color w:val="auto"/>
              </w:rPr>
              <w:t>258,965</w:t>
            </w:r>
          </w:p>
        </w:tc>
        <w:tc>
          <w:tcPr>
            <w:tcW w:w="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4"/>
                <w:szCs w:val="14"/>
                <w:color w:val="auto"/>
              </w:rPr>
              <w:t>22,236</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Less: purchases of property and equipment</w:t>
            </w:r>
          </w:p>
        </w:tc>
        <w:tc>
          <w:tcPr>
            <w:tcW w:w="940" w:type="dxa"/>
            <w:vAlign w:val="bottom"/>
          </w:tcPr>
          <w:p>
            <w:pPr>
              <w:spacing w:after="0"/>
              <w:rPr>
                <w:sz w:val="16"/>
                <w:szCs w:val="16"/>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(7,272)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(6,897)</w:t>
            </w:r>
          </w:p>
        </w:tc>
        <w:tc>
          <w:tcPr>
            <w:tcW w:w="0" w:type="dxa"/>
            <w:vAlign w:val="bottom"/>
          </w:tcPr>
          <w:p>
            <w:pPr>
              <w:spacing w:after="0"/>
              <w:rPr>
                <w:sz w:val="1"/>
                <w:szCs w:val="1"/>
                <w:color w:val="auto"/>
              </w:rPr>
            </w:pP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 (non-GAAP)</w:t>
            </w:r>
          </w:p>
        </w:tc>
        <w:tc>
          <w:tcPr>
            <w:tcW w:w="94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251,693</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15,339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80" w:type="dxa"/>
            <w:vAlign w:val="bottom"/>
            <w:vMerge w:val="continue"/>
          </w:tcPr>
          <w:p>
            <w:pPr>
              <w:spacing w:after="0"/>
              <w:rPr>
                <w:sz w:val="13"/>
                <w:szCs w:val="13"/>
                <w:color w:val="auto"/>
              </w:rPr>
            </w:pPr>
          </w:p>
        </w:tc>
        <w:tc>
          <w:tcPr>
            <w:tcW w:w="940" w:type="dxa"/>
            <w:vAlign w:val="bottom"/>
          </w:tcPr>
          <w:p>
            <w:pPr>
              <w:jc w:val="right"/>
              <w:ind w:right="792"/>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53"/>
              <w:spacing w:after="0" w:line="153" w:lineRule="exact"/>
              <w:rPr>
                <w:sz w:val="20"/>
                <w:szCs w:val="20"/>
                <w:color w:val="auto"/>
              </w:rPr>
            </w:pPr>
            <w:r>
              <w:rPr>
                <w:rFonts w:ascii="Arial" w:cs="Arial" w:eastAsia="Arial" w:hAnsi="Arial"/>
                <w:sz w:val="14"/>
                <w:szCs w:val="14"/>
                <w:color w:val="auto"/>
              </w:rPr>
              <w:t>(63,034)</w:t>
            </w:r>
          </w:p>
        </w:tc>
        <w:tc>
          <w:tcPr>
            <w:tcW w:w="80" w:type="dxa"/>
            <w:vAlign w:val="bottom"/>
          </w:tcPr>
          <w:p>
            <w:pPr>
              <w:spacing w:after="0"/>
              <w:rPr>
                <w:sz w:val="13"/>
                <w:szCs w:val="13"/>
                <w:color w:val="auto"/>
              </w:rPr>
            </w:pPr>
          </w:p>
        </w:tc>
        <w:tc>
          <w:tcPr>
            <w:tcW w:w="700" w:type="dxa"/>
            <w:vAlign w:val="bottom"/>
          </w:tcPr>
          <w:p>
            <w:pPr>
              <w:jc w:val="right"/>
              <w:ind w:right="52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228,126</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545,252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Cost of Revenue</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for the foreseeable future in absolute dollars as we expand our data center capacity and third-party cloud hosting due to increased usage stemming from the COVID-19 pandemic. However, the cost of revenue as a percentage of revenue may decrease over time as we scale our data centers to accommodate usage from our increased customer base.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Research and Development</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Sales and Marketing</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 marketing efforts. As a result, we expect our sales and marketing expenses to increase in absolute dollars for the rest of the current fiscal year, although these expenses may fluctuate as a percentage of revenue from quarter to quarter depending on the timing of various events.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General and Administrative</w:t>
      </w:r>
    </w:p>
    <w:p>
      <w:pPr>
        <w:spacing w:after="0" w:line="9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General and administrative expenses primarily consist of personnel-related expenses associated with our finance, legal, and human resources organizations; professional fees for external legal, accounting, and other consulting services; expected credit losses; insurance; sales and other taxes; and allocated overhead. We expect to increase the size of our general and administrative function to support the growth and complexity of our business. As a result, we expect our general and administrative expenses to increase in absolute dollars for the rest of the current fiscal year. We expect, however, that our general and administrative expenses as a percentage of revenue will decrease in the near future, and slightly increase for the remainder of the current fiscal year.</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Interest income and other, net consists primarily of interest income and net accretion earned on our marketable securities as well as remeasurement gains or losses on our equity investment.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income taxes consists primarily of income taxes related to foreign and state jurisdictions where we conduct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tables set forth selected condensed consolidated statements of operations data and such data as a percentage of revenue for each of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Three Months Ended April 30,</w:t>
            </w:r>
          </w:p>
        </w:tc>
        <w:tc>
          <w:tcPr>
            <w:tcW w:w="940" w:type="dxa"/>
            <w:vAlign w:val="bottom"/>
            <w:tcBorders>
              <w:bottom w:val="single" w:sz="8" w:color="auto"/>
            </w:tcBorders>
          </w:tcPr>
          <w:p>
            <w:pPr>
              <w:spacing w:after="0"/>
              <w:rPr>
                <w:sz w:val="13"/>
                <w:szCs w:val="13"/>
                <w:color w:val="auto"/>
              </w:rPr>
            </w:pPr>
          </w:p>
        </w:tc>
      </w:tr>
      <w:tr>
        <w:trPr>
          <w:trHeight w:val="150"/>
        </w:trPr>
        <w:tc>
          <w:tcPr>
            <w:tcW w:w="79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w w:val="89"/>
              </w:rPr>
              <w:t>2019</w:t>
            </w:r>
          </w:p>
        </w:tc>
      </w:tr>
      <w:tr>
        <w:trPr>
          <w:trHeight w:val="182"/>
        </w:trPr>
        <w:tc>
          <w:tcPr>
            <w:tcW w:w="7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(in thousands)</w:t>
            </w:r>
          </w:p>
        </w:tc>
        <w:tc>
          <w:tcPr>
            <w:tcW w:w="940" w:type="dxa"/>
            <w:vAlign w:val="bottom"/>
          </w:tcPr>
          <w:p>
            <w:pPr>
              <w:spacing w:after="0"/>
              <w:rPr>
                <w:sz w:val="15"/>
                <w:szCs w:val="15"/>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328,167</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121,988</w:t>
            </w:r>
          </w:p>
        </w:tc>
      </w:tr>
      <w:tr>
        <w:trPr>
          <w:trHeight w:val="212"/>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103,707</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24,104</w:t>
            </w: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224,460</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97,884</w:t>
            </w:r>
          </w:p>
        </w:tc>
      </w:tr>
      <w:tr>
        <w:trPr>
          <w:trHeight w:val="171"/>
        </w:trPr>
        <w:tc>
          <w:tcPr>
            <w:tcW w:w="7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Research and development </w:t>
      </w:r>
      <w:r>
        <w:rPr>
          <w:rFonts w:ascii="Arial" w:cs="Arial" w:eastAsia="Arial" w:hAnsi="Arial"/>
          <w:sz w:val="18"/>
          <w:szCs w:val="18"/>
          <w:color w:val="auto"/>
          <w:vertAlign w:val="superscript"/>
        </w:rPr>
        <w:t>(1)</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Sales and marketing </w:t>
      </w:r>
      <w:r>
        <w:rPr>
          <w:rFonts w:ascii="Arial" w:cs="Arial" w:eastAsia="Arial" w:hAnsi="Arial"/>
          <w:sz w:val="18"/>
          <w:szCs w:val="18"/>
          <w:color w:val="auto"/>
          <w:vertAlign w:val="superscript"/>
        </w:rPr>
        <w:t>(1)</w:t>
      </w:r>
    </w:p>
    <w:p>
      <w:pPr>
        <w:ind w:left="18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18"/>
          <w:szCs w:val="18"/>
          <w:color w:val="auto"/>
          <w:vertAlign w:val="superscript"/>
        </w:rPr>
        <w:t>(1)</w:t>
      </w:r>
    </w:p>
    <w:p>
      <w:pPr>
        <w:ind w:left="360"/>
        <w:spacing w:after="0"/>
        <w:rPr>
          <w:sz w:val="20"/>
          <w:szCs w:val="20"/>
          <w:color w:val="auto"/>
        </w:rPr>
      </w:pPr>
      <w:r>
        <w:rPr>
          <w:rFonts w:ascii="Arial" w:cs="Arial" w:eastAsia="Arial" w:hAnsi="Arial"/>
          <w:sz w:val="14"/>
          <w:szCs w:val="14"/>
          <w:color w:val="auto"/>
        </w:rPr>
        <w:t>Total operating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from operations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income and other,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income before provision for income taxes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26,389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13,783</w:t>
            </w:r>
          </w:p>
        </w:tc>
      </w:tr>
      <w:tr>
        <w:trPr>
          <w:trHeight w:val="212"/>
        </w:trPr>
        <w:tc>
          <w:tcPr>
            <w:tcW w:w="560" w:type="dxa"/>
            <w:vAlign w:val="bottom"/>
          </w:tcPr>
          <w:p>
            <w:pPr>
              <w:spacing w:after="0"/>
              <w:rPr>
                <w:sz w:val="18"/>
                <w:szCs w:val="18"/>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121,556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64,041</w:t>
            </w:r>
          </w:p>
        </w:tc>
      </w:tr>
      <w:tr>
        <w:trPr>
          <w:trHeight w:val="212"/>
        </w:trPr>
        <w:tc>
          <w:tcPr>
            <w:tcW w:w="560" w:type="dxa"/>
            <w:vAlign w:val="bottom"/>
          </w:tcPr>
          <w:p>
            <w:pPr>
              <w:spacing w:after="0"/>
              <w:rPr>
                <w:sz w:val="18"/>
                <w:szCs w:val="18"/>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53,130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18,503</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201,075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96,327</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23,385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1,557</w:t>
            </w:r>
          </w:p>
        </w:tc>
      </w:tr>
      <w:tr>
        <w:trPr>
          <w:trHeight w:val="212"/>
        </w:trPr>
        <w:tc>
          <w:tcPr>
            <w:tcW w:w="560" w:type="dxa"/>
            <w:vAlign w:val="bottom"/>
          </w:tcPr>
          <w:p>
            <w:pPr>
              <w:spacing w:after="0"/>
              <w:rPr>
                <w:sz w:val="18"/>
                <w:szCs w:val="18"/>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5,790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973</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29,175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2,530</w:t>
            </w:r>
          </w:p>
        </w:tc>
      </w:tr>
      <w:tr>
        <w:trPr>
          <w:trHeight w:val="212"/>
        </w:trPr>
        <w:tc>
          <w:tcPr>
            <w:tcW w:w="560" w:type="dxa"/>
            <w:vAlign w:val="bottom"/>
          </w:tcPr>
          <w:p>
            <w:pPr>
              <w:spacing w:after="0"/>
              <w:rPr>
                <w:sz w:val="18"/>
                <w:szCs w:val="18"/>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316</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27,075</w:t>
            </w:r>
          </w:p>
        </w:tc>
        <w:tc>
          <w:tcPr>
            <w:tcW w:w="8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2,214</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-5025390</wp:posOffset>
            </wp:positionH>
            <wp:positionV relativeFrom="paragraph">
              <wp:posOffset>-996315</wp:posOffset>
            </wp:positionV>
            <wp:extent cx="716153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-720090</wp:posOffset>
            </wp:positionV>
            <wp:extent cx="7161530" cy="141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-443865</wp:posOffset>
            </wp:positionV>
            <wp:extent cx="7161530" cy="141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-167640</wp:posOffset>
            </wp:positionV>
            <wp:extent cx="7161530" cy="154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7200" w:space="720"/>
            <w:col w:w="3360"/>
          </w:cols>
          <w:pgMar w:left="300" w:top="129" w:right="319" w:bottom="1440" w:gutter="0" w:footer="0" w:header="0"/>
          <w:type w:val="continuous"/>
        </w:sectPr>
      </w:pPr>
    </w:p>
    <w:p>
      <w:pPr>
        <w:ind w:left="160" w:hanging="141"/>
        <w:spacing w:after="0"/>
        <w:tabs>
          <w:tab w:leader="none" w:pos="16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4700" w:type="dxa"/>
            <w:vAlign w:val="bottom"/>
            <w:gridSpan w:val="3"/>
            <w:shd w:val="clear" w:color="auto" w:fill="CFF0FC"/>
          </w:tcPr>
          <w:p>
            <w:pPr>
              <w:jc w:val="right"/>
              <w:ind w:right="7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3,249</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5,224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37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4"/>
                <w:szCs w:val="14"/>
                <w:color w:val="auto"/>
              </w:rPr>
              <w:t>17,123</w:t>
            </w: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3,181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FF0FC"/>
            </w:tcBorders>
          </w:tcPr>
          <w:p>
            <w:pPr>
              <w:spacing w:after="0" w:line="20" w:lineRule="exact"/>
              <w:rPr>
                <w:sz w:val="1"/>
                <w:szCs w:val="1"/>
                <w:color w:val="auto"/>
              </w:rPr>
            </w:pPr>
          </w:p>
        </w:tc>
        <w:tc>
          <w:tcPr>
            <w:tcW w:w="37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Total stock-based compensation expense</w:t>
            </w:r>
          </w:p>
        </w:tc>
        <w:tc>
          <w:tcPr>
            <w:tcW w:w="3820" w:type="dxa"/>
            <w:vAlign w:val="bottom"/>
            <w:tcBorders>
              <w:bottom w:val="single" w:sz="8" w:color="CFF0FC"/>
            </w:tcBorders>
            <w:gridSpan w:val="2"/>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rPr>
              <w:t>28,777</w:t>
            </w: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5"/>
              </w:rPr>
              <w:t>Three Months Ended April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gridSpan w:val="5"/>
          </w:tcPr>
          <w:p>
            <w:pPr>
              <w:jc w:val="right"/>
              <w:ind w:right="9"/>
              <w:spacing w:after="0"/>
              <w:rPr>
                <w:sz w:val="20"/>
                <w:szCs w:val="20"/>
                <w:color w:val="auto"/>
              </w:rPr>
            </w:pPr>
            <w:r>
              <w:rPr>
                <w:rFonts w:ascii="Arial" w:cs="Arial" w:eastAsia="Arial" w:hAnsi="Arial"/>
                <w:sz w:val="11"/>
                <w:szCs w:val="11"/>
                <w:b w:val="1"/>
                <w:bCs w:val="1"/>
                <w:color w:val="auto"/>
                <w:w w:val="95"/>
              </w:rPr>
              <w:t>(as a percentage of revenue)</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68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3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4100" w:type="dxa"/>
            <w:vAlign w:val="bottom"/>
          </w:tcPr>
          <w:p>
            <w:pPr>
              <w:ind w:left="160"/>
              <w:spacing w:after="0"/>
              <w:rPr>
                <w:sz w:val="20"/>
                <w:szCs w:val="20"/>
                <w:color w:val="auto"/>
              </w:rPr>
            </w:pPr>
            <w:r>
              <w:rPr>
                <w:rFonts w:ascii="Arial" w:cs="Arial" w:eastAsia="Arial" w:hAnsi="Arial"/>
                <w:sz w:val="14"/>
                <w:szCs w:val="14"/>
                <w:color w:val="auto"/>
              </w:rPr>
              <w:t>Sales and marketing</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3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410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3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3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Interest income and other, net</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before provision for income taxes</w:t>
            </w:r>
          </w:p>
        </w:tc>
        <w:tc>
          <w:tcPr>
            <w:tcW w:w="3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1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April 30, 2020 and 2019</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4"/>
                <w:szCs w:val="14"/>
                <w:color w:val="auto"/>
              </w:rPr>
              <w:t>328,167</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121,988</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169 %</w:t>
            </w:r>
          </w:p>
        </w:tc>
      </w:tr>
      <w:tr>
        <w:trPr>
          <w:trHeight w:val="22"/>
        </w:trPr>
        <w:tc>
          <w:tcPr>
            <w:tcW w:w="67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231F20"/>
        </w:rPr>
        <w:t>Revenue for the three months ended April 30, 2020 increased by $206.2 million, or 169%, compared to the three months ended April 30, 2019. D</w:t>
      </w:r>
      <w:r>
        <w:rPr>
          <w:rFonts w:ascii="Arial" w:cs="Arial" w:eastAsia="Arial" w:hAnsi="Arial"/>
          <w:sz w:val="14"/>
          <w:szCs w:val="14"/>
          <w:color w:val="000000"/>
        </w:rPr>
        <w:t>ue to the COVID-19 pandemic, t</w:t>
      </w:r>
      <w:r>
        <w:rPr>
          <w:rFonts w:ascii="Arial" w:cs="Arial" w:eastAsia="Arial" w:hAnsi="Arial"/>
          <w:sz w:val="14"/>
          <w:szCs w:val="14"/>
          <w:color w:val="231F20"/>
        </w:rPr>
        <w:t xml:space="preserve">here was </w:t>
      </w:r>
      <w:r>
        <w:rPr>
          <w:rFonts w:ascii="Arial" w:cs="Arial" w:eastAsia="Arial" w:hAnsi="Arial"/>
          <w:sz w:val="14"/>
          <w:szCs w:val="14"/>
          <w:color w:val="000000"/>
        </w:rPr>
        <w:t>an</w:t>
      </w:r>
      <w:r>
        <w:rPr>
          <w:rFonts w:ascii="Arial" w:cs="Arial" w:eastAsia="Arial" w:hAnsi="Arial"/>
          <w:sz w:val="14"/>
          <w:szCs w:val="14"/>
          <w:color w:val="231F20"/>
        </w:rPr>
        <w:t xml:space="preserve"> </w:t>
      </w:r>
      <w:r>
        <w:rPr>
          <w:rFonts w:ascii="Arial" w:cs="Arial" w:eastAsia="Arial" w:hAnsi="Arial"/>
          <w:sz w:val="14"/>
          <w:szCs w:val="14"/>
          <w:color w:val="000000"/>
        </w:rPr>
        <w:t>increase in usage of our services as many organizations and healthcare and educational institutions around the world started utilizing our platform to continue their operations. As a result, the increase in revenue was primarily due to subscription services provided to new customers, which accounted for approximately 71% of the increase, and to subscription services provided to existing customers, which accounted for approximately 29% of the increase.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Cost of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9"/>
              </w:rPr>
              <w:t>Three Months Ended April 30,</w:t>
            </w:r>
          </w:p>
        </w:tc>
        <w:tc>
          <w:tcPr>
            <w:tcW w:w="1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0"/>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3"/>
                <w:szCs w:val="13"/>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 Change</w:t>
            </w:r>
          </w:p>
        </w:tc>
        <w:tc>
          <w:tcPr>
            <w:tcW w:w="160" w:type="dxa"/>
            <w:vAlign w:val="bottom"/>
            <w:tcBorders>
              <w:bottom w:val="single" w:sz="8" w:color="auto"/>
            </w:tcBorders>
          </w:tcPr>
          <w:p>
            <w:pPr>
              <w:spacing w:after="0"/>
              <w:rPr>
                <w:sz w:val="13"/>
                <w:szCs w:val="13"/>
                <w:color w:val="auto"/>
              </w:rPr>
            </w:pPr>
          </w:p>
        </w:tc>
      </w:tr>
      <w:tr>
        <w:trPr>
          <w:trHeight w:val="182"/>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340" w:type="dxa"/>
            <w:vAlign w:val="bottom"/>
            <w:tcBorders>
              <w:bottom w:val="single" w:sz="8" w:color="CFF0FC"/>
            </w:tcBorders>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4"/>
                <w:szCs w:val="14"/>
                <w:color w:val="auto"/>
              </w:rPr>
              <w:t>103,707</w:t>
            </w:r>
          </w:p>
        </w:tc>
        <w:tc>
          <w:tcPr>
            <w:tcW w:w="560" w:type="dxa"/>
            <w:vAlign w:val="bottom"/>
            <w:tcBorders>
              <w:bottom w:val="single" w:sz="8" w:color="CFF0FC"/>
            </w:tcBorders>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4"/>
                <w:szCs w:val="14"/>
                <w:color w:val="auto"/>
              </w:rPr>
              <w:t>24,104</w:t>
            </w:r>
          </w:p>
        </w:tc>
        <w:tc>
          <w:tcPr>
            <w:tcW w:w="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color w:val="auto"/>
              </w:rPr>
              <w:t>224,460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33"/>
              <w:spacing w:after="0"/>
              <w:rPr>
                <w:sz w:val="20"/>
                <w:szCs w:val="20"/>
                <w:color w:val="auto"/>
              </w:rPr>
            </w:pPr>
            <w:r>
              <w:rPr>
                <w:rFonts w:ascii="Arial" w:cs="Arial" w:eastAsia="Arial" w:hAnsi="Arial"/>
                <w:sz w:val="14"/>
                <w:szCs w:val="14"/>
                <w:color w:val="auto"/>
              </w:rPr>
              <w:t>97,884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2"/>
        </w:trPr>
        <w:tc>
          <w:tcPr>
            <w:tcW w:w="6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1"/>
        </w:trPr>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margin</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80 %</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2"/>
        </w:trPr>
        <w:tc>
          <w:tcPr>
            <w:tcW w:w="67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231F20"/>
        </w:rPr>
        <w:t xml:space="preserve">Cost of revenue for the three months ended April 30, 2020 increased by $79.6 million, or 330%, compared to the three months ended April 30, 2019. In response to the </w:t>
      </w:r>
      <w:r>
        <w:rPr>
          <w:rFonts w:ascii="Arial" w:cs="Arial" w:eastAsia="Arial" w:hAnsi="Arial"/>
          <w:sz w:val="14"/>
          <w:szCs w:val="14"/>
          <w:color w:val="000000"/>
        </w:rPr>
        <w:t>COVID-19 pandemic,</w:t>
      </w:r>
      <w:r>
        <w:rPr>
          <w:rFonts w:ascii="Arial" w:cs="Arial" w:eastAsia="Arial" w:hAnsi="Arial"/>
          <w:sz w:val="14"/>
          <w:szCs w:val="14"/>
          <w:color w:val="231F20"/>
        </w:rPr>
        <w:t xml:space="preserve"> </w:t>
      </w:r>
      <w:r>
        <w:rPr>
          <w:rFonts w:ascii="Arial" w:cs="Arial" w:eastAsia="Arial" w:hAnsi="Arial"/>
          <w:sz w:val="14"/>
          <w:szCs w:val="14"/>
          <w:color w:val="000000"/>
        </w:rPr>
        <w:t xml:space="preserve">we have temporarily removed the 40-minute time limit for meetings with more than two participants from our free Basic accounts for K-12 schools in certain countries. We also experienced a significant increase in usage from paid users as more companies started utilizing our platform to allow their employees to work remotely. This increase in usage resulted in </w:t>
      </w:r>
      <w:r>
        <w:rPr>
          <w:rFonts w:ascii="Arial" w:cs="Arial" w:eastAsia="Arial" w:hAnsi="Arial"/>
          <w:sz w:val="14"/>
          <w:szCs w:val="14"/>
          <w:color w:val="231F20"/>
        </w:rPr>
        <w:t>an increase of</w:t>
      </w:r>
      <w:r>
        <w:rPr>
          <w:rFonts w:ascii="Arial" w:cs="Arial" w:eastAsia="Arial" w:hAnsi="Arial"/>
          <w:sz w:val="14"/>
          <w:szCs w:val="14"/>
          <w:color w:val="000000"/>
        </w:rPr>
        <w:t xml:space="preserve"> </w:t>
      </w:r>
      <w:r>
        <w:rPr>
          <w:rFonts w:ascii="Arial" w:cs="Arial" w:eastAsia="Arial" w:hAnsi="Arial"/>
          <w:sz w:val="14"/>
          <w:szCs w:val="14"/>
          <w:color w:val="231F20"/>
        </w:rPr>
        <w:t xml:space="preserve">$70.8 million in costs related to third-party cloud hosting, integrated third-party PSTN services and our co-located data centers to support the increase in customers and expanded use of our video-first communications platform by existing customers. The remaining increase was primarily due to an increase of $7.0 million in personnel-related expenses mainly driven by increased headcount, which includes a $2.4 million </w:t>
      </w:r>
      <w:r>
        <w:rPr>
          <w:rFonts w:ascii="Arial" w:cs="Arial" w:eastAsia="Arial" w:hAnsi="Arial"/>
          <w:sz w:val="14"/>
          <w:szCs w:val="14"/>
          <w:color w:val="000000"/>
        </w:rPr>
        <w:t>increase in stock-based compensation expense.</w:t>
      </w:r>
    </w:p>
    <w:p>
      <w:pPr>
        <w:spacing w:after="0" w:line="65"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 xml:space="preserve">Gross margin decreased to 68% for the three months ended </w:t>
      </w:r>
      <w:r>
        <w:rPr>
          <w:rFonts w:ascii="Arial" w:cs="Arial" w:eastAsia="Arial" w:hAnsi="Arial"/>
          <w:sz w:val="14"/>
          <w:szCs w:val="14"/>
          <w:color w:val="231F20"/>
        </w:rPr>
        <w:t>April 30, 2020</w:t>
      </w:r>
      <w:r>
        <w:rPr>
          <w:rFonts w:ascii="Arial" w:cs="Arial" w:eastAsia="Arial" w:hAnsi="Arial"/>
          <w:sz w:val="14"/>
          <w:szCs w:val="14"/>
          <w:color w:val="auto"/>
        </w:rPr>
        <w:t xml:space="preserve"> from 80% for the three months ended </w:t>
      </w:r>
      <w:r>
        <w:rPr>
          <w:rFonts w:ascii="Arial" w:cs="Arial" w:eastAsia="Arial" w:hAnsi="Arial"/>
          <w:sz w:val="14"/>
          <w:szCs w:val="14"/>
          <w:color w:val="231F20"/>
        </w:rPr>
        <w:t>April 30, 2019</w:t>
      </w:r>
      <w:r>
        <w:rPr>
          <w:rFonts w:ascii="Arial" w:cs="Arial" w:eastAsia="Arial" w:hAnsi="Arial"/>
          <w:sz w:val="14"/>
          <w:szCs w:val="14"/>
          <w:color w:val="auto"/>
        </w:rPr>
        <w:t>. The decrease in gross margin was due to higher incremental cost from leveraging third-party cloud hosting providers to meet the significant increase in usage as well as the higher percentage of usage from free users.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FF0FC"/>
          </w:tcPr>
          <w:p>
            <w:pPr>
              <w:jc w:val="right"/>
              <w:ind w:right="716"/>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w w:val="93"/>
              </w:rPr>
              <w:t>26,389</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13,783</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91 %</w:t>
            </w:r>
          </w:p>
        </w:tc>
      </w:tr>
      <w:tr>
        <w:trPr>
          <w:trHeight w:val="22"/>
        </w:trPr>
        <w:tc>
          <w:tcPr>
            <w:tcW w:w="67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231F20"/>
        </w:rPr>
        <w:t xml:space="preserve">Research and development expense for the three months ended April 30, 2020 increased by $12.6 million, or 91%, compared to the three months ended April 30, 2019. </w:t>
      </w:r>
      <w:r>
        <w:rPr>
          <w:rFonts w:ascii="Arial" w:cs="Arial" w:eastAsia="Arial" w:hAnsi="Arial"/>
          <w:sz w:val="13"/>
          <w:szCs w:val="13"/>
          <w:color w:val="000000"/>
        </w:rPr>
        <w:t>The increase was</w:t>
      </w:r>
      <w:r>
        <w:rPr>
          <w:rFonts w:ascii="Arial" w:cs="Arial" w:eastAsia="Arial" w:hAnsi="Arial"/>
          <w:sz w:val="13"/>
          <w:szCs w:val="13"/>
          <w:color w:val="231F20"/>
        </w:rPr>
        <w:t xml:space="preserve"> </w:t>
      </w:r>
      <w:r>
        <w:rPr>
          <w:rFonts w:ascii="Arial" w:cs="Arial" w:eastAsia="Arial" w:hAnsi="Arial"/>
          <w:sz w:val="13"/>
          <w:szCs w:val="13"/>
          <w:color w:val="000000"/>
        </w:rPr>
        <w:t xml:space="preserve">primarily due to higher personnel-related expenses of </w:t>
      </w:r>
      <w:r>
        <w:rPr>
          <w:rFonts w:ascii="Arial" w:cs="Arial" w:eastAsia="Arial" w:hAnsi="Arial"/>
          <w:sz w:val="13"/>
          <w:szCs w:val="13"/>
          <w:color w:val="231F20"/>
        </w:rPr>
        <w:t>$10.4 million</w:t>
      </w:r>
      <w:r>
        <w:rPr>
          <w:rFonts w:ascii="Arial" w:cs="Arial" w:eastAsia="Arial" w:hAnsi="Arial"/>
          <w:sz w:val="13"/>
          <w:szCs w:val="13"/>
          <w:color w:val="000000"/>
        </w:rPr>
        <w:t xml:space="preserve"> mainly driven by additional headcount, which includes a </w:t>
      </w:r>
      <w:r>
        <w:rPr>
          <w:rFonts w:ascii="Arial" w:cs="Arial" w:eastAsia="Arial" w:hAnsi="Arial"/>
          <w:sz w:val="13"/>
          <w:szCs w:val="13"/>
          <w:color w:val="231F20"/>
        </w:rPr>
        <w:t>$4.1 million</w:t>
      </w:r>
      <w:r>
        <w:rPr>
          <w:rFonts w:ascii="Arial" w:cs="Arial" w:eastAsia="Arial" w:hAnsi="Arial"/>
          <w:sz w:val="13"/>
          <w:szCs w:val="13"/>
          <w:color w:val="000000"/>
        </w:rPr>
        <w:t xml:space="preserve"> increase in stock-based compensation expense</w:t>
      </w:r>
      <w:r>
        <w:rPr>
          <w:rFonts w:ascii="Arial" w:cs="Arial" w:eastAsia="Arial" w:hAnsi="Arial"/>
          <w:sz w:val="13"/>
          <w:szCs w:val="13"/>
          <w:color w:val="231F20"/>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4"/>
                <w:szCs w:val="14"/>
                <w:color w:val="auto"/>
              </w:rPr>
              <w:t>121,556</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64,041</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90 %</w:t>
            </w:r>
          </w:p>
        </w:tc>
      </w:tr>
      <w:tr>
        <w:trPr>
          <w:trHeight w:val="22"/>
        </w:trPr>
        <w:tc>
          <w:tcPr>
            <w:tcW w:w="67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231F20"/>
        </w:rPr>
        <w:t xml:space="preserve">Sales and marketing expense for the three months ended April 30, 2020 increased by $57.5 million, or 90%, compared to the three months ended April 30, 2019. The increase in sales and marketing expense was primarily due to higher personnel-related expenses of $38.1 million mainly driven by additional headcount in our sales force to support the increased demand, which includes a $14.5 million </w:t>
      </w:r>
      <w:r>
        <w:rPr>
          <w:rFonts w:ascii="Arial" w:cs="Arial" w:eastAsia="Arial" w:hAnsi="Arial"/>
          <w:sz w:val="14"/>
          <w:szCs w:val="14"/>
          <w:color w:val="000000"/>
        </w:rPr>
        <w:t>increase in stock-based compensation expense and</w:t>
      </w:r>
      <w:r>
        <w:rPr>
          <w:rFonts w:ascii="Arial" w:cs="Arial" w:eastAsia="Arial" w:hAnsi="Arial"/>
          <w:sz w:val="14"/>
          <w:szCs w:val="14"/>
          <w:color w:val="231F20"/>
        </w:rPr>
        <w:t xml:space="preserve"> a $3.8 million increase in amortization of deferred contract acquisition costs driven by our increase in revenue. </w:t>
      </w:r>
      <w:r>
        <w:rPr>
          <w:rFonts w:ascii="Arial" w:cs="Arial" w:eastAsia="Arial" w:hAnsi="Arial"/>
          <w:sz w:val="14"/>
          <w:szCs w:val="14"/>
          <w:color w:val="000000"/>
        </w:rPr>
        <w:t>The remaining</w:t>
      </w:r>
      <w:r>
        <w:rPr>
          <w:rFonts w:ascii="Arial" w:cs="Arial" w:eastAsia="Arial" w:hAnsi="Arial"/>
          <w:sz w:val="14"/>
          <w:szCs w:val="14"/>
          <w:color w:val="231F20"/>
        </w:rPr>
        <w:t xml:space="preserve"> </w:t>
      </w:r>
      <w:r>
        <w:rPr>
          <w:rFonts w:ascii="Arial" w:cs="Arial" w:eastAsia="Arial" w:hAnsi="Arial"/>
          <w:sz w:val="14"/>
          <w:szCs w:val="14"/>
          <w:color w:val="000000"/>
        </w:rPr>
        <w:t xml:space="preserve">increase was primarily due to </w:t>
      </w:r>
      <w:r>
        <w:rPr>
          <w:rFonts w:ascii="Arial" w:cs="Arial" w:eastAsia="Arial" w:hAnsi="Arial"/>
          <w:sz w:val="14"/>
          <w:szCs w:val="14"/>
          <w:color w:val="231F20"/>
        </w:rPr>
        <w:t>an increase in credit card processing fees of $11.7 million as a result of increased online payments, an increase of $3.5 million in professional services primarily to</w:t>
      </w:r>
      <w:r>
        <w:rPr>
          <w:rFonts w:ascii="Arial" w:cs="Arial" w:eastAsia="Arial" w:hAnsi="Arial"/>
          <w:sz w:val="14"/>
          <w:szCs w:val="14"/>
          <w:color w:val="000000"/>
        </w:rPr>
        <w:t xml:space="preserve"> </w:t>
      </w:r>
      <w:r>
        <w:rPr>
          <w:rFonts w:ascii="Arial" w:cs="Arial" w:eastAsia="Arial" w:hAnsi="Arial"/>
          <w:sz w:val="14"/>
          <w:szCs w:val="14"/>
          <w:color w:val="231F20"/>
        </w:rPr>
        <w:t>support the surge in sales, and an increase in allocated overhead of $2.2 million.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FF0FC"/>
          </w:tcPr>
          <w:p>
            <w:pPr>
              <w:jc w:val="right"/>
              <w:ind w:right="716"/>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w w:val="93"/>
              </w:rPr>
              <w:t>53,130</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18,503</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187 %</w:t>
            </w:r>
          </w:p>
        </w:tc>
      </w:tr>
      <w:tr>
        <w:trPr>
          <w:trHeight w:val="22"/>
        </w:trPr>
        <w:tc>
          <w:tcPr>
            <w:tcW w:w="67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231F20"/>
        </w:rPr>
        <w:t xml:space="preserve">General and administrative expense for the three months ended April 30, 2020 increased by $34.6 million, or 187%, compared to the three months ended April 30, 2019. The increase in general and administrative expense was primarily </w:t>
      </w:r>
      <w:r>
        <w:rPr>
          <w:rFonts w:ascii="Arial" w:cs="Arial" w:eastAsia="Arial" w:hAnsi="Arial"/>
          <w:sz w:val="13"/>
          <w:szCs w:val="13"/>
          <w:color w:val="000000"/>
        </w:rPr>
        <w:t>due to a one-time payment to MPEGLA of</w:t>
      </w:r>
      <w:r>
        <w:rPr>
          <w:rFonts w:ascii="Arial" w:cs="Arial" w:eastAsia="Arial" w:hAnsi="Arial"/>
          <w:sz w:val="13"/>
          <w:szCs w:val="13"/>
          <w:color w:val="231F20"/>
        </w:rPr>
        <w:t xml:space="preserve"> $9.8 million</w:t>
      </w:r>
      <w:r>
        <w:rPr>
          <w:rFonts w:ascii="Arial" w:cs="Arial" w:eastAsia="Arial" w:hAnsi="Arial"/>
          <w:sz w:val="13"/>
          <w:szCs w:val="13"/>
          <w:color w:val="000000"/>
        </w:rPr>
        <w:t>, higher personnel-related expenses of</w:t>
      </w:r>
      <w:r>
        <w:rPr>
          <w:rFonts w:ascii="Arial" w:cs="Arial" w:eastAsia="Arial" w:hAnsi="Arial"/>
          <w:sz w:val="13"/>
          <w:szCs w:val="13"/>
          <w:color w:val="231F20"/>
        </w:rPr>
        <w:t xml:space="preserve"> $6.4 million </w:t>
      </w:r>
      <w:r>
        <w:rPr>
          <w:rFonts w:ascii="Arial" w:cs="Arial" w:eastAsia="Arial" w:hAnsi="Arial"/>
          <w:sz w:val="13"/>
          <w:szCs w:val="13"/>
          <w:color w:val="000000"/>
        </w:rPr>
        <w:t>mainly driven by additional headcount,</w:t>
      </w:r>
      <w:r>
        <w:rPr>
          <w:rFonts w:ascii="Arial" w:cs="Arial" w:eastAsia="Arial" w:hAnsi="Arial"/>
          <w:sz w:val="13"/>
          <w:szCs w:val="13"/>
          <w:color w:val="231F20"/>
        </w:rPr>
        <w:t xml:space="preserve"> </w:t>
      </w:r>
      <w:r>
        <w:rPr>
          <w:rFonts w:ascii="Arial" w:cs="Arial" w:eastAsia="Arial" w:hAnsi="Arial"/>
          <w:sz w:val="13"/>
          <w:szCs w:val="13"/>
          <w:color w:val="000000"/>
        </w:rPr>
        <w:t xml:space="preserve">which includes a </w:t>
      </w:r>
      <w:r>
        <w:rPr>
          <w:rFonts w:ascii="Arial" w:cs="Arial" w:eastAsia="Arial" w:hAnsi="Arial"/>
          <w:sz w:val="13"/>
          <w:szCs w:val="13"/>
          <w:color w:val="231F20"/>
        </w:rPr>
        <w:t>$1.1 million</w:t>
      </w:r>
      <w:r>
        <w:rPr>
          <w:rFonts w:ascii="Arial" w:cs="Arial" w:eastAsia="Arial" w:hAnsi="Arial"/>
          <w:sz w:val="13"/>
          <w:szCs w:val="13"/>
          <w:color w:val="000000"/>
        </w:rPr>
        <w:t xml:space="preserve"> increase in stock-based compensation expense, </w:t>
      </w:r>
      <w:r>
        <w:rPr>
          <w:rFonts w:ascii="Arial" w:cs="Arial" w:eastAsia="Arial" w:hAnsi="Arial"/>
          <w:sz w:val="13"/>
          <w:szCs w:val="13"/>
          <w:color w:val="231F20"/>
        </w:rPr>
        <w:t>an increase of $4.3 million related to a contingent liability for sales and other indirect tax,</w:t>
      </w:r>
      <w:r>
        <w:rPr>
          <w:rFonts w:ascii="Arial" w:cs="Arial" w:eastAsia="Arial" w:hAnsi="Arial"/>
          <w:sz w:val="13"/>
          <w:szCs w:val="13"/>
          <w:color w:val="000000"/>
        </w:rPr>
        <w:t xml:space="preserve"> an increase of </w:t>
      </w:r>
      <w:r>
        <w:rPr>
          <w:rFonts w:ascii="Arial" w:cs="Arial" w:eastAsia="Arial" w:hAnsi="Arial"/>
          <w:sz w:val="13"/>
          <w:szCs w:val="13"/>
          <w:color w:val="231F20"/>
        </w:rPr>
        <w:t>$4.1 million</w:t>
      </w:r>
      <w:r>
        <w:rPr>
          <w:rFonts w:ascii="Arial" w:cs="Arial" w:eastAsia="Arial" w:hAnsi="Arial"/>
          <w:sz w:val="13"/>
          <w:szCs w:val="13"/>
          <w:color w:val="000000"/>
        </w:rPr>
        <w:t xml:space="preserve"> in professional services composed primarily of legal and other consulting fees</w:t>
      </w:r>
      <w:r>
        <w:rPr>
          <w:rFonts w:ascii="Arial" w:cs="Arial" w:eastAsia="Arial" w:hAnsi="Arial"/>
          <w:sz w:val="13"/>
          <w:szCs w:val="13"/>
          <w:color w:val="231F20"/>
        </w:rPr>
        <w:t>, an increase of $2.4 million related to charitable donations mainly related to COVID-19, an increase of $2.3 million related</w:t>
      </w:r>
      <w:r>
        <w:rPr>
          <w:rFonts w:ascii="Arial" w:cs="Arial" w:eastAsia="Arial" w:hAnsi="Arial"/>
          <w:sz w:val="13"/>
          <w:szCs w:val="13"/>
          <w:color w:val="000000"/>
        </w:rPr>
        <w:t xml:space="preserve"> </w:t>
      </w:r>
      <w:r>
        <w:rPr>
          <w:rFonts w:ascii="Arial" w:cs="Arial" w:eastAsia="Arial" w:hAnsi="Arial"/>
          <w:sz w:val="13"/>
          <w:szCs w:val="13"/>
          <w:color w:val="231F20"/>
        </w:rPr>
        <w:t>to insurance expenses, an increase of $1.9 million in expenses due to fluctuation in exchange rates, and an increase of $1.8 million in expensed equipment and software.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 and other, net</w:t>
            </w:r>
          </w:p>
        </w:tc>
        <w:tc>
          <w:tcPr>
            <w:tcW w:w="880" w:type="dxa"/>
            <w:vAlign w:val="bottom"/>
            <w:shd w:val="clear" w:color="auto" w:fill="CFF0FC"/>
          </w:tcPr>
          <w:p>
            <w:pPr>
              <w:jc w:val="right"/>
              <w:ind w:right="73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5,790</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495 %</w:t>
            </w:r>
          </w:p>
        </w:tc>
      </w:tr>
      <w:tr>
        <w:trPr>
          <w:trHeight w:val="22"/>
        </w:trPr>
        <w:tc>
          <w:tcPr>
            <w:tcW w:w="67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231F20"/>
        </w:rPr>
        <w:t>Interest income and other, net for the three months ended April 30, 2020 increased by $4.8 million, or 495%, compared to the three months ended April 30, 2019. The increase was primarily due to a gain of $2.5 million related to the remeasurement of our equity investment and an additional $2.4 million in interest income earned from our investments in marketable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6"/>
              </w:rPr>
              <w:t>Three Months Ended April 30,</w:t>
            </w:r>
          </w:p>
        </w:tc>
        <w:tc>
          <w:tcPr>
            <w:tcW w:w="1460" w:type="dxa"/>
            <w:vAlign w:val="bottom"/>
            <w:tcBorders>
              <w:bottom w:val="single" w:sz="8" w:color="auto"/>
            </w:tcBorders>
          </w:tcPr>
          <w:p>
            <w:pPr>
              <w:spacing w:after="0"/>
              <w:rPr>
                <w:sz w:val="13"/>
                <w:szCs w:val="13"/>
                <w:color w:val="auto"/>
              </w:rPr>
            </w:pPr>
          </w:p>
        </w:tc>
      </w:tr>
      <w:tr>
        <w:trPr>
          <w:trHeight w:val="150"/>
        </w:trPr>
        <w:tc>
          <w:tcPr>
            <w:tcW w:w="66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6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5"/>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shd w:val="clear" w:color="auto" w:fill="CFF0FC"/>
          </w:tcPr>
          <w:p>
            <w:pPr>
              <w:jc w:val="right"/>
              <w:ind w:right="736"/>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2,100</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565 %</w:t>
            </w:r>
          </w:p>
        </w:tc>
      </w:tr>
      <w:tr>
        <w:trPr>
          <w:trHeight w:val="22"/>
        </w:trPr>
        <w:tc>
          <w:tcPr>
            <w:tcW w:w="66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bl>
    <w:p>
      <w:pPr>
        <w:spacing w:after="0" w:line="159"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231F20"/>
        </w:rPr>
        <w:t xml:space="preserve">Provision for income taxes for the three months ended April 30, 2020 increased </w:t>
      </w:r>
      <w:r>
        <w:rPr>
          <w:rFonts w:ascii="Arial" w:cs="Arial" w:eastAsia="Arial" w:hAnsi="Arial"/>
          <w:sz w:val="14"/>
          <w:szCs w:val="14"/>
          <w:color w:val="000000"/>
        </w:rPr>
        <w:t>by</w:t>
      </w:r>
      <w:r>
        <w:rPr>
          <w:rFonts w:ascii="Arial" w:cs="Arial" w:eastAsia="Arial" w:hAnsi="Arial"/>
          <w:sz w:val="14"/>
          <w:szCs w:val="14"/>
          <w:color w:val="231F20"/>
        </w:rPr>
        <w:t xml:space="preserve"> $1.8 million</w:t>
      </w:r>
      <w:r>
        <w:rPr>
          <w:rFonts w:ascii="Arial" w:cs="Arial" w:eastAsia="Arial" w:hAnsi="Arial"/>
          <w:sz w:val="14"/>
          <w:szCs w:val="14"/>
          <w:color w:val="000000"/>
        </w:rPr>
        <w:t>, or 565%, compared to the three months ended April 30, 2019. The change in provision for</w:t>
      </w:r>
      <w:r>
        <w:rPr>
          <w:rFonts w:ascii="Arial" w:cs="Arial" w:eastAsia="Arial" w:hAnsi="Arial"/>
          <w:sz w:val="14"/>
          <w:szCs w:val="14"/>
          <w:color w:val="231F20"/>
        </w:rPr>
        <w:t xml:space="preserve"> </w:t>
      </w:r>
      <w:r>
        <w:rPr>
          <w:rFonts w:ascii="Arial" w:cs="Arial" w:eastAsia="Arial" w:hAnsi="Arial"/>
          <w:sz w:val="14"/>
          <w:szCs w:val="14"/>
          <w:color w:val="000000"/>
        </w:rPr>
        <w:t xml:space="preserve">income taxes was </w:t>
      </w:r>
      <w:r>
        <w:rPr>
          <w:rFonts w:ascii="Arial" w:cs="Arial" w:eastAsia="Arial" w:hAnsi="Arial"/>
          <w:sz w:val="14"/>
          <w:szCs w:val="14"/>
          <w:color w:val="231F20"/>
        </w:rPr>
        <w:t>primarily due to increases in income attributable to foreign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 xml:space="preserve">As of April 30, 2020, our principal sources of liquidity were cash, cash equivalents, and marketable securities of </w:t>
      </w:r>
      <w:r>
        <w:rPr>
          <w:rFonts w:ascii="Arial" w:cs="Arial" w:eastAsia="Arial" w:hAnsi="Arial"/>
          <w:sz w:val="13"/>
          <w:szCs w:val="13"/>
          <w:color w:val="231F20"/>
        </w:rPr>
        <w:t>$1.1 billion</w:t>
      </w:r>
      <w:r>
        <w:rPr>
          <w:rFonts w:ascii="Arial" w:cs="Arial" w:eastAsia="Arial" w:hAnsi="Arial"/>
          <w:sz w:val="13"/>
          <w:szCs w:val="13"/>
          <w:color w:val="auto"/>
        </w:rPr>
        <w:t>, which were held for working capital purposes. Our marketable securities generally consist of high-grade commercial paper, corporate bonds, agency bonds, corporate and other debt securities, U.S. government agency securities, and treasury bills.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We have financed our operations primarily through customer payments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including the payment of the total purchase consideration for the acquisition of Keybase from existing cash and cash equivalents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1"/>
                <w:szCs w:val="11"/>
                <w:b w:val="1"/>
                <w:bCs w:val="1"/>
                <w:color w:val="auto"/>
                <w:w w:val="95"/>
              </w:rPr>
              <w:t>Three Months Ended April 30,</w:t>
            </w:r>
          </w:p>
        </w:tc>
        <w:tc>
          <w:tcPr>
            <w:tcW w:w="940" w:type="dxa"/>
            <w:vAlign w:val="bottom"/>
            <w:tcBorders>
              <w:bottom w:val="single" w:sz="8" w:color="auto"/>
            </w:tcBorders>
          </w:tcPr>
          <w:p>
            <w:pPr>
              <w:spacing w:after="0"/>
              <w:rPr>
                <w:sz w:val="13"/>
                <w:szCs w:val="13"/>
                <w:color w:val="auto"/>
              </w:rPr>
            </w:pPr>
          </w:p>
        </w:tc>
      </w:tr>
      <w:tr>
        <w:trPr>
          <w:trHeight w:val="150"/>
        </w:trPr>
        <w:tc>
          <w:tcPr>
            <w:tcW w:w="78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6"/>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w w:val="89"/>
              </w:rPr>
              <w:t>2019</w:t>
            </w:r>
          </w:p>
        </w:tc>
      </w:tr>
      <w:tr>
        <w:trPr>
          <w:trHeight w:val="182"/>
        </w:trPr>
        <w:tc>
          <w:tcPr>
            <w:tcW w:w="7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center"/>
              <w:ind w:left="476"/>
              <w:spacing w:after="0"/>
              <w:rPr>
                <w:sz w:val="20"/>
                <w:szCs w:val="20"/>
                <w:color w:val="auto"/>
              </w:rPr>
            </w:pPr>
            <w:r>
              <w:rPr>
                <w:rFonts w:ascii="Arial" w:cs="Arial" w:eastAsia="Arial" w:hAnsi="Arial"/>
                <w:sz w:val="11"/>
                <w:szCs w:val="11"/>
                <w:b w:val="1"/>
                <w:bCs w:val="1"/>
                <w:color w:val="auto"/>
                <w:w w:val="89"/>
              </w:rPr>
              <w:t>(in thousands)</w:t>
            </w:r>
          </w:p>
        </w:tc>
        <w:tc>
          <w:tcPr>
            <w:tcW w:w="940" w:type="dxa"/>
            <w:vAlign w:val="bottom"/>
          </w:tcPr>
          <w:p>
            <w:pPr>
              <w:spacing w:after="0"/>
              <w:rPr>
                <w:sz w:val="15"/>
                <w:szCs w:val="15"/>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258,965</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22,236</w:t>
            </w: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640"/>
              <w:spacing w:after="0"/>
              <w:rPr>
                <w:sz w:val="20"/>
                <w:szCs w:val="20"/>
                <w:color w:val="auto"/>
              </w:rPr>
            </w:pPr>
            <w:r>
              <w:rPr>
                <w:rFonts w:ascii="Arial" w:cs="Arial" w:eastAsia="Arial" w:hAnsi="Arial"/>
                <w:sz w:val="14"/>
                <w:szCs w:val="14"/>
                <w:color w:val="auto"/>
              </w:rPr>
              <w:t>(63,034)</w:t>
            </w:r>
          </w:p>
        </w:tc>
        <w:tc>
          <w:tcPr>
            <w:tcW w:w="80" w:type="dxa"/>
            <w:vAlign w:val="bottom"/>
          </w:tcPr>
          <w:p>
            <w:pPr>
              <w:spacing w:after="0"/>
              <w:rPr>
                <w:sz w:val="16"/>
                <w:szCs w:val="16"/>
                <w:color w:val="auto"/>
              </w:rPr>
            </w:pPr>
          </w:p>
        </w:tc>
        <w:tc>
          <w:tcPr>
            <w:tcW w:w="700" w:type="dxa"/>
            <w:vAlign w:val="bottom"/>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(1,319)</w:t>
            </w:r>
          </w:p>
        </w:tc>
      </w:tr>
      <w:tr>
        <w:trPr>
          <w:trHeight w:val="22"/>
        </w:trPr>
        <w:tc>
          <w:tcPr>
            <w:tcW w:w="7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228,126</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545,252</w:t>
            </w:r>
          </w:p>
        </w:tc>
      </w:tr>
      <w:tr>
        <w:trPr>
          <w:trHeight w:val="22"/>
        </w:trPr>
        <w:tc>
          <w:tcPr>
            <w:tcW w:w="7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depreciation and amortization expenses, as well as the effect of changes in operating assets and liabilities.</w:t>
      </w:r>
    </w:p>
    <w:p>
      <w:pPr>
        <w:spacing w:after="0" w:line="5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Net cash provided by operating activities was $259.0 million for the three months ended April 30, 2020, compared to $22.2 million for the three months ended April 30, 2019. The increase in operating cash flow was due to the positive impact from changes in operating assets and liabilities of $175.8 million, an increase in net income of $24.9 million, and an increase in non-cash adjustments of $36.1 million.</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Net cash used in investing activities of $63.0 million for the three months ended April 30, 2020 was primarily due to net purchases of marketable securities of $43.9 million, purchase of an equity investment of $8.0 million, purchases of property and equipment of $7.3 million, and purchase of a convertible note of $5.0 million</w:t>
      </w:r>
      <w:r>
        <w:rPr>
          <w:rFonts w:ascii="Arial" w:cs="Arial" w:eastAsia="Arial" w:hAnsi="Arial"/>
          <w:sz w:val="14"/>
          <w:szCs w:val="14"/>
          <w:color w:val="231F20"/>
        </w:rPr>
        <w:t>.</w:t>
      </w:r>
    </w:p>
    <w:p>
      <w:pPr>
        <w:spacing w:after="0" w:line="4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Net cash used in investing activities of $1.3 million for the three months ended April 30, 2019 was primarily due to purchases of property and equipment of $6.9 million, partially offset by maturities of marketable securities, net of purchases, of $5.6 million.</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 xml:space="preserve">Net cash provided by financing activities of $228.1 million for the three months ended April 30, 2020 was primarily due to proceeds from international employee stock sales to be remitted to employees and tax authorities, net, of </w:t>
      </w:r>
      <w:r>
        <w:rPr>
          <w:rFonts w:ascii="Arial" w:cs="Arial" w:eastAsia="Arial" w:hAnsi="Arial"/>
          <w:sz w:val="14"/>
          <w:szCs w:val="14"/>
          <w:color w:val="231F20"/>
        </w:rPr>
        <w:t>$218.5 million</w:t>
      </w:r>
      <w:r>
        <w:rPr>
          <w:rFonts w:ascii="Arial" w:cs="Arial" w:eastAsia="Arial" w:hAnsi="Arial"/>
          <w:sz w:val="14"/>
          <w:szCs w:val="14"/>
          <w:color w:val="auto"/>
        </w:rPr>
        <w:t xml:space="preserve"> and proceeds from the exercise of stock options of $9.6 million.</w:t>
      </w:r>
    </w:p>
    <w:p>
      <w:pPr>
        <w:spacing w:after="0" w:line="47"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Net cash provided by financing activities of $545.3 million for the three months ended April 30, 2019 was primarily due to proceeds from the issuance of Class A common stock in connection with the IPO, net of underwriting discounts and commissions and other offering costs, of $543.5 million, and the exercise of stock options, net of repurchases, of $1.8 million.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Contractual Obligations</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April 30, 2020, we had additional outstanding non-cancelable purchase obligations with a term of 12 months or longer of $18.0 million, related to third-party cloud hosting to meet the significant increase in usage of our services. As of April 30, 2020, we also had additional operating leases for office space that have not yet commenced with undiscounted future lease payments of $8.9 million.</w:t>
      </w:r>
    </w:p>
    <w:p>
      <w:pPr>
        <w:spacing w:after="0" w:line="5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Additionally, we entered into a license agreement with MPEGLA in May 2020 to obtain the rights for future use of licensed intellectual property in exchange for periodic royalty payments. In connection with the license agreement, we agreed to make a royalty payment of $9.8 million to use the technology until December 31, 2020. In addition, we also agreed to make a one-time payment of $9.8 million for past use, which was recorded in general and administrative expenses in our condensed consolidated statements of operations for the three months ended April 30, 2020.</w:t>
      </w:r>
    </w:p>
    <w:p>
      <w:pPr>
        <w:spacing w:after="0" w:line="2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have been no other material changes to our contractual obligations and commitments from those disclosed in our Management’s Discussion and Analysis of Financial Condition and Results of Operations, included in our Annual Report on Form 10-K for the year ended January 31, 2020, filed with the SEC on March 20, 2020.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Through April 30, 2020, we did not have any relationships with unconsolidated organizations or financial partnerships, such as structured finance or special-purpose entities that would have been established for the purpose of facilitating off-balance sheet arrangements or other contractually narrow or limited purposes.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8"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2"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2020, filed with the SEC on March 20, 2020, except for the allowance for credit losses policy and the investment policy related to the adoption of ASU No. 2016-13 as described in Note 1 to the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See “Summary of Business and Significant Accounting Policies” in Note 1 of the notes to our condensed consolidated financial statements included in Part I, Item 1 of this Form 10-Q.</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Foreign Currency and Exchange Risk</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months ended April 30, 2020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 xml:space="preserve">We had cash and cash equivalents of </w:t>
      </w:r>
      <w:r>
        <w:rPr>
          <w:rFonts w:ascii="Arial" w:cs="Arial" w:eastAsia="Arial" w:hAnsi="Arial"/>
          <w:sz w:val="14"/>
          <w:szCs w:val="14"/>
          <w:color w:val="231F20"/>
        </w:rPr>
        <w:t>$488.7 million</w:t>
      </w:r>
      <w:r>
        <w:rPr>
          <w:rFonts w:ascii="Arial" w:cs="Arial" w:eastAsia="Arial" w:hAnsi="Arial"/>
          <w:sz w:val="14"/>
          <w:szCs w:val="14"/>
          <w:color w:val="auto"/>
        </w:rPr>
        <w:t xml:space="preserve"> and marketable securities of </w:t>
      </w:r>
      <w:r>
        <w:rPr>
          <w:rFonts w:ascii="Arial" w:cs="Arial" w:eastAsia="Arial" w:hAnsi="Arial"/>
          <w:sz w:val="14"/>
          <w:szCs w:val="14"/>
          <w:color w:val="231F20"/>
        </w:rPr>
        <w:t>$616.7 million</w:t>
      </w:r>
      <w:r>
        <w:rPr>
          <w:rFonts w:ascii="Arial" w:cs="Arial" w:eastAsia="Arial" w:hAnsi="Arial"/>
          <w:sz w:val="14"/>
          <w:szCs w:val="14"/>
          <w:color w:val="auto"/>
        </w:rPr>
        <w:t xml:space="preserve"> as of April 30, 2020. Cash and cash equivalents consist of bank deposits, money market funds, high-grade commercial paper, and agency bonds. Our marketable securities generally consist of high-grade commercial paper, agency bonds, corporate and other debt securities, and U.S. government agency securities. The cash and cash equivalents and marketable securities are held for working capital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2020 and 2019.</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94"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such date, our disclosure controls and procedures were effective at the reasonable assurance level.</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There has been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8"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Beginning on March 30, 2020, multiple putative class actions were filed against us in various U.S. federal district courts and in one state court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They seek to certify both nationwide and state-specific classes of individuals using our services in certain time periods. The plaintiffs seek various forms of injunctive and monetary relief, including restitution, statutory and actual damages, and attorneys’ fees. The federal cases have been transferred to the Northern District of California, and have nearly completed the process of being related there for consolidated litigation, with our consent.</w:t>
      </w:r>
    </w:p>
    <w:p>
      <w:pPr>
        <w:spacing w:after="0" w:line="49"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w:t>
      </w:r>
    </w:p>
    <w:p>
      <w:pPr>
        <w:spacing w:after="0" w:line="39"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From time to time, we are involved in various other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5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5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a paid subscription or expand the number of paid hosts within organizations, our business would be harmed.</w:t>
      </w:r>
    </w:p>
    <w:p>
      <w:pPr>
        <w:spacing w:after="0" w:line="4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and users return to work or school or are otherwise no longer subject to shelter-in-place mandates.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have a limited operating history, which makes it difficult to evaluate our prospects and future results of operations.</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47"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performance problems within an acceptable period of time. For example, in May 2020, we experienced a partial outage in our services that impacted a subset of our users for a limited number of hours, which we later determined was initially caused by a technical issue with a software implementation.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4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operate in competitive markets, and we must continue to compete effectively.</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47" w:lineRule="exact"/>
        <w:rPr>
          <w:sz w:val="20"/>
          <w:szCs w:val="20"/>
          <w:color w:val="auto"/>
        </w:rPr>
      </w:pPr>
    </w:p>
    <w:p>
      <w:pPr>
        <w:ind w:left="900" w:hanging="4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legacy web-based meeting providers, including Cisco Webex and LogMeIn GoToMeeting;</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bundled productivity solutions providers with video functionality, including Microsoft Teams and Google G Suite and Meet products;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UCaaS and legacy PBX providers, including Avaya, RingCentral, and 8x8; and</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consumer-facing platforms that can support small- or medium-sized businesses, including Amazon, Apple and Facebook.</w:t>
      </w:r>
    </w:p>
    <w:p>
      <w:pPr>
        <w:spacing w:after="0" w:line="9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4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 that can result in deferred billings or long-term accounts receivable and increase the risk of loss on uncollected accounts receivable.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be able to sustain our revenue growth rate in the future.</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quarterly results may fluctuate significantly and may not fully reflect the underlying performance of our business.</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66" w:lineRule="exact"/>
        <w:rPr>
          <w:sz w:val="20"/>
          <w:szCs w:val="20"/>
          <w:color w:val="auto"/>
        </w:rPr>
      </w:pPr>
    </w:p>
    <w:p>
      <w:pPr>
        <w:ind w:left="900" w:hanging="4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retain and upgrade customers to higher-priced tiers of Zoom Meeting plans;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attract new hosts and upgrade hosts that subscribe to our free Zoom Meeting plan to one of our paid Zoom Meeting plans;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hire and retain employees, in particular those responsible for the selling or marketing of our platform;</w:t>
      </w:r>
    </w:p>
    <w:p>
      <w:pPr>
        <w:spacing w:after="0" w:line="93" w:lineRule="exact"/>
        <w:rPr>
          <w:rFonts w:ascii="Arial" w:cs="Arial" w:eastAsia="Arial" w:hAnsi="Arial"/>
          <w:sz w:val="14"/>
          <w:szCs w:val="14"/>
          <w:color w:val="auto"/>
        </w:rPr>
      </w:pPr>
    </w:p>
    <w:p>
      <w:pPr>
        <w:ind w:left="900" w:hanging="450"/>
        <w:spacing w:after="0" w:line="281" w:lineRule="auto"/>
        <w:tabs>
          <w:tab w:leader="none" w:pos="89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47" w:lineRule="exact"/>
        <w:rPr>
          <w:rFonts w:ascii="Arial" w:cs="Arial" w:eastAsia="Arial" w:hAnsi="Arial"/>
          <w:sz w:val="14"/>
          <w:szCs w:val="14"/>
          <w:color w:val="auto"/>
        </w:rPr>
      </w:pPr>
    </w:p>
    <w:p>
      <w:pPr>
        <w:ind w:left="900" w:hanging="4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the way we organize and compensate our sales teams;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timing of expenses and recognition of revenue;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increase sales to large organizations;</w:t>
      </w:r>
    </w:p>
    <w:p>
      <w:pPr>
        <w:spacing w:after="0" w:line="93" w:lineRule="exact"/>
        <w:rPr>
          <w:rFonts w:ascii="Arial" w:cs="Arial" w:eastAsia="Arial" w:hAnsi="Arial"/>
          <w:sz w:val="14"/>
          <w:szCs w:val="14"/>
          <w:color w:val="auto"/>
        </w:rPr>
      </w:pPr>
    </w:p>
    <w:p>
      <w:pPr>
        <w:ind w:left="900" w:hanging="450"/>
        <w:spacing w:after="0" w:line="281" w:lineRule="auto"/>
        <w:tabs>
          <w:tab w:leader="none" w:pos="8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length of our sales cycles, especially with respect to sales to large enterprises and highly-regulated industries, including financial services and U.S. federal and state and foreign governmental agencies;</w:t>
      </w:r>
    </w:p>
    <w:p>
      <w:pPr>
        <w:spacing w:after="0" w:line="47" w:lineRule="exact"/>
        <w:rPr>
          <w:rFonts w:ascii="Arial" w:cs="Arial" w:eastAsia="Arial" w:hAnsi="Arial"/>
          <w:sz w:val="14"/>
          <w:szCs w:val="14"/>
          <w:color w:val="auto"/>
        </w:rPr>
      </w:pPr>
    </w:p>
    <w:p>
      <w:pPr>
        <w:ind w:left="900" w:hanging="450"/>
        <w:spacing w:after="0" w:line="321" w:lineRule="auto"/>
        <w:tabs>
          <w:tab w:leader="none" w:pos="896"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24" w:lineRule="exact"/>
        <w:rPr>
          <w:rFonts w:ascii="Arial" w:cs="Arial" w:eastAsia="Arial" w:hAnsi="Arial"/>
          <w:sz w:val="13"/>
          <w:szCs w:val="13"/>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timing and effectiveness of new sales and marketing initiatives;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ability to hire and retain experienced research and development personnel to design new products, features, and functionality that meet our privacy and security standards;</w:t>
      </w:r>
    </w:p>
    <w:p>
      <w:pPr>
        <w:spacing w:after="0" w:line="105" w:lineRule="exact"/>
        <w:rPr>
          <w:rFonts w:ascii="Arial" w:cs="Arial" w:eastAsia="Arial" w:hAnsi="Arial"/>
          <w:sz w:val="13"/>
          <w:szCs w:val="13"/>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and success of new products, features, and functionality by us or our competitors;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interruptions or delays in our service; network outages; or actual, alleged, or perceived privacy violations or issues or security vulnerabilities, incidents, or breaches;</w:t>
      </w:r>
    </w:p>
    <w:p>
      <w:pPr>
        <w:spacing w:after="0" w:line="93" w:lineRule="exact"/>
        <w:rPr>
          <w:rFonts w:ascii="Arial" w:cs="Arial" w:eastAsia="Arial" w:hAnsi="Arial"/>
          <w:sz w:val="14"/>
          <w:szCs w:val="14"/>
          <w:color w:val="auto"/>
        </w:rPr>
      </w:pPr>
    </w:p>
    <w:p>
      <w:pPr>
        <w:ind w:left="900" w:hanging="450"/>
        <w:spacing w:after="0" w:line="281" w:lineRule="auto"/>
        <w:tabs>
          <w:tab w:leader="none" w:pos="896" w:val="left"/>
        </w:tabs>
        <w:numPr>
          <w:ilvl w:val="0"/>
          <w:numId w:val="9"/>
        </w:numPr>
        <w:rPr>
          <w:rFonts w:ascii="Arial" w:cs="Arial" w:eastAsia="Arial" w:hAnsi="Arial"/>
          <w:sz w:val="14"/>
          <w:szCs w:val="14"/>
          <w:color w:val="auto"/>
        </w:rPr>
      </w:pPr>
      <w:r>
        <w:rPr>
          <w:rFonts w:ascii="Arial" w:cs="Arial" w:eastAsia="Arial" w:hAnsi="Arial"/>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47"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competitive dynamics of our industry, including consolidation among competitors;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laws and regulations that impact our business;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large indemnification payments to our users or other third parties;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expenses related to any future acquisitions; and</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general economic and market conditions.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47"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5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65"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have filed judicial challenges to the order, and on October 1, 2019, the United States Court of Appeals for the District of Columbia Circuit released a decision that affirmed nearly all of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The original parties to the appeal may seek additional review of the order from the full Court of Appeals or the Supreme Court.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As we increase sales to large organizations, our sales cycles could lengthen, and we could experience greater deployment challenges.</w:t>
      </w:r>
    </w:p>
    <w:p>
      <w:pPr>
        <w:spacing w:after="0" w:line="9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4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6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7" w:lineRule="exact"/>
        <w:rPr>
          <w:sz w:val="20"/>
          <w:szCs w:val="20"/>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awareness of the communications and collaboration technologies category;</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availability of products and services that compete with ours;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security and privacy;</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new modes of communications and collaboration that may be developed in the future;</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ease of adoption and use;</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features and platform experience;</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reliability of our platform, including frequency of outages;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performance;</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brand;</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user support; and</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pricing.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have experienced net losses in the past, and we expect to increase our expenses in the future, which could prevent us from maintaining profitability.</w:t>
      </w:r>
    </w:p>
    <w:p>
      <w:pPr>
        <w:spacing w:after="0" w:line="94"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2"/>
          <w:szCs w:val="12"/>
          <w:color w:val="auto"/>
        </w:rPr>
        <w:t>Although we generated net income of $27.1 million for the three months ended April 30, 2020,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1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47"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4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be able to respond to rapid technological changes, extend our platform, or develop new features.</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6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4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5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34"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23" w:lineRule="exact"/>
        <w:rPr>
          <w:sz w:val="20"/>
          <w:szCs w:val="20"/>
          <w:color w:val="auto"/>
        </w:rPr>
      </w:pPr>
    </w:p>
    <w:p>
      <w:pPr>
        <w:jc w:val="both"/>
        <w:ind w:firstLine="382"/>
        <w:spacing w:after="0" w:line="307" w:lineRule="auto"/>
        <w:rPr>
          <w:sz w:val="20"/>
          <w:szCs w:val="20"/>
          <w:color w:val="auto"/>
        </w:rPr>
      </w:pPr>
      <w:r>
        <w:rPr>
          <w:rFonts w:ascii="Arial" w:cs="Arial" w:eastAsia="Arial" w:hAnsi="Arial"/>
          <w:sz w:val="12"/>
          <w:szCs w:val="12"/>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virtually impossible for us to entirely mitigate these risks. If our security measures are compromised as a result of third-party action, employee, customer,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they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additional expenses, litigation, regulatory investigations and actions, and substantial harm to our business.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Zoom’s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Zoom's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212"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could expose us to market and media scrutiny regarding the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without fully considering the challenges it would bring to those who did not have full IT support or established protocols for security and privacy like our enterprise customers. As a result, we have experienced negative publicity related to meeting disruption, security, and privacy issues. Such unfavorable publicity and scrutiny could result in material reputational harm, a loss of customer and user confidence, increased regulatory or litigation exposure, additional expenses, and other harm to our business.</w:t>
      </w:r>
    </w:p>
    <w:p>
      <w:pPr>
        <w:spacing w:after="0" w:line="59"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policies, including premium increases or the imposition of large deductible or co-insurance requirements, would harm our business.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47"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3"/>
          <w:szCs w:val="13"/>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our published policies, publications, certifications, and documentation, we may at times fail to do so or may be perceived to have failed to do so. Moreover, despite our efforts, we may not be successful in achieving compliance if our employees or vendors do not comply with our published policies, certifications, and documentation. Such failures can subject us to potential international, local, state and federal legal or regulatory action if our published policies, certifications, and documentation are found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published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The failure to comply and greater public scrutiny of our privacy, data protection, and information security practices could result in material reputational harm, a loss of customer and user confidence, increased regulatory or litigation exposure, additional expenses, and other harm to our business.</w:t>
      </w:r>
    </w:p>
    <w:p>
      <w:pPr>
        <w:spacing w:after="0" w:line="60"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We also expect that there will continue to be new or amended laws, regulations, and industry standards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57"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Further, following a referendum in June 2016 in which voters in the U.K. approved an exit from the EU, the U.K. government formally left the EU on January 31, 2020, known as Brexit. Pursuant to the withdrawal arrangements agreed to between the U.K. and the EU, the U.K. is subject to a transition period until December 31, 2020, during which EU rules will continue to apply (the “Brexit Transition Period”). Negotiations between the U.K. and the EU are expected to continue in relation to the customs and trading relationship between the U.K. and the EU following the expiry of the Brexit Transition Period.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after the Brexit Transition Period and the U.K. and EU reach a definitive resolution with regards to outstanding trade and legal matters. Given these possibilities and others we may not anticipate, as well as the lack of comparable precedent,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full extent to which our business, results of operations, and financial condition could be adversely affected by Brexit is uncertain. Brexit has also created uncertainty with regard to the regulation of data protection in the U.K. In particular, although the U.K. enacted a Data Protection Act in May 2018 that is designed to be consistent with the GDPR, uncertainty remains regarding how data transfers to and from the U.K. will be regulated.</w:t>
      </w:r>
    </w:p>
    <w:p>
      <w:pPr>
        <w:spacing w:after="0" w:line="5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Additionally, although we have self-certified under the U.S.-EU and U.S.-Swiss Privacy Shield Frameworks with regard to our transfer of certain personal data from the European Economic Area (“EEA”) and Switzerland to the United States, there is currently litigation challenging various EU mechanisms for adequate data transfers, and it is uncertain whether various mechanisms, such as the Privacy Shield Frameworks or European Commission’s Standard Contractual Clauses for transfers of personal information, will be invalidated by the European courts. In addition, our self-certification may be challenged or investigated by regulators in the United States and Europe. Loss of our ability to lawfully transfer personal information out of the EEA may require us to expand our data processing capabilities in the EEA at significant expense and may make our products and services less attractive to certain customers regulated by the GDPR. Additionally, other countries outside of the EEA have passed or are considering passing laws requiring local data residency, which could increase the cost and complexity of delivering our products and services and operating our business.</w:t>
      </w:r>
    </w:p>
    <w:p>
      <w:pPr>
        <w:spacing w:after="0" w:line="66"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States have also begun to introduce more comprehensive privacy legislation. For example, the California Consumer Privacy Act of 2018 (“CCPA”), which went into effect on January 1, 2020, affords consumers expanded privacy protections. Aspects of the CCPA and its interpretation and enforcement remain uncertain. The potential effects of the CCPA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For example, multiple putative class actions have been filed against us claiming, among other things, purported violations of a variety of state consumer protection and privacy laws, including the CCPA. See Part II, Item 1 “Legal Proceedings” for additional information. 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5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States have also begun to introduce more comprehensive privacy legislation. For example, the California Consumer Privacy Act of 2018 (“CCPA”), which went into effect on January 1, 2020, affords consumers expanded privacy protections. Aspects of the CCPA and its interpretation and enforcement remain uncertain. The potential effects of the CCPA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For example, multiple putative class actions have been filed against us claiming, among other things, purported violations of a variety of state consumer protection and privacy laws, including the CCPA. See Part II, Item 1 “Legal Proceedings” for additional information. 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57" w:lineRule="exact"/>
        <w:rPr>
          <w:sz w:val="20"/>
          <w:szCs w:val="20"/>
          <w:color w:val="auto"/>
        </w:rPr>
      </w:pPr>
    </w:p>
    <w:p>
      <w:pPr>
        <w:jc w:val="both"/>
        <w:ind w:firstLine="382"/>
        <w:spacing w:after="0" w:line="307" w:lineRule="auto"/>
        <w:rPr>
          <w:sz w:val="20"/>
          <w:szCs w:val="20"/>
          <w:color w:val="auto"/>
        </w:rPr>
      </w:pPr>
      <w:r>
        <w:rPr>
          <w:rFonts w:ascii="Arial" w:cs="Arial" w:eastAsia="Arial" w:hAnsi="Arial"/>
          <w:sz w:val="12"/>
          <w:szCs w:val="12"/>
          <w:color w:val="auto"/>
        </w:rPr>
        <w:t>The Children’s Online Privacy Protection Act (“COPPA”)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is authorized to promulgate, and has promulgated, revisions to regulations implementing provisions of COPPA. Although we strive to ensure that our platform and applications are compliant with applicable provisions of COPPA,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GDPR, CCPA, or interpretations thereof. If we fail to accurately anticipate the application, interpretation, or legislative expansion of COPPA, GDPR, and CCPA, we could be subject to governmental enforcement actions, data processing restrictions, litigation, fines and penalties, or adverse publicity. Moreover, as a result of any such failures, we could be in breach of our K-12 school customer contracts, and our customers could lose trust in us, which could harm our reputation and business.</w:t>
      </w:r>
    </w:p>
    <w:p>
      <w:pPr>
        <w:spacing w:after="0" w:line="65"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With laws and regulations, such as the GDPR in the EU as well as the CCPA, SPI Law,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 We have in the past and may in the future receive inquiries or be subject to investigations by various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See Part II, Item 1 “Legal Proceedings” for additional information. Furthermore, the costs of compliance with, and other burdens imposed by, the laws, regulations, and policies that are applicable to the businesses of our users may limit the adoption and use of, and reduce the overall demand for, our platform and services, which could have an adverse impact on our business.</w:t>
      </w:r>
    </w:p>
    <w:p>
      <w:pPr>
        <w:spacing w:after="0" w:line="5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Furthermore, if third parties we work with, such as vendors or developers, violate applicable laws,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4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Increased usage of our services and additional awareness of Zoom and our brand stemming from the COVID-19 pandemic could lead to greater public scrutiny of, press related to, or a negative perception of our collection, use, storage, disclosure, and processing of personal information, and our privacy policies and practices. For example, users and customers, particularly those that are new to Zoom, may not necessarily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could result in material reputational harm, a loss of customer and user confidence, increased regulatory or litigation exposure, additional expenses and other harm to our business.</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4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successfully manage our growth or plan for future growth.</w:t>
      </w:r>
    </w:p>
    <w:p>
      <w:pPr>
        <w:spacing w:after="0" w:line="9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Since our founding in 2011, we have experienced rapid growth. For example, our headcount has grown from 1,958 full-time employees as of April 30, 2019, to 2,854 full-time employees as of April 30,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4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may be significantly affected by a change in the economy, including any resulting effect on consumer or business spending.</w:t>
      </w:r>
    </w:p>
    <w:p>
      <w:pPr>
        <w:spacing w:after="0" w:line="94"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paying customers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ability to sell subscriptions to our platform could be harmed by real or perceived material defects or errors in our platform.</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4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47" w:lineRule="exact"/>
        <w:rPr>
          <w:sz w:val="20"/>
          <w:szCs w:val="20"/>
          <w:color w:val="auto"/>
        </w:rPr>
      </w:pPr>
    </w:p>
    <w:p>
      <w:pPr>
        <w:ind w:left="900" w:hanging="513"/>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900" w:hanging="513"/>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require us to issue refunds to our customers or expose us to claims for damages;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cause us to lose existing hosts and make it more difficult to attract new customers and hosts;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increase our technical support costs; and</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harm our reputation and brand.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If we were to lose the services of our Chief Executive Officer or other members of our senior management team, we may not be able to execute our business strategy.</w:t>
      </w:r>
    </w:p>
    <w:p>
      <w:pPr>
        <w:spacing w:after="0" w:line="10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t>
      </w:r>
      <w:r>
        <w:rPr>
          <w:rFonts w:ascii="Arial" w:cs="Arial" w:eastAsia="Arial" w:hAnsi="Arial"/>
          <w:sz w:val="14"/>
          <w:szCs w:val="14"/>
          <w:b w:val="1"/>
          <w:bCs w:val="1"/>
          <w:color w:val="auto"/>
        </w:rPr>
        <w:t>-</w:t>
      </w:r>
      <w:r>
        <w:rPr>
          <w:rFonts w:ascii="Arial" w:cs="Arial" w:eastAsia="Arial" w:hAnsi="Arial"/>
          <w:sz w:val="14"/>
          <w:szCs w:val="14"/>
          <w:color w:val="auto"/>
        </w:rPr>
        <w:t>will employees, and we do not maintain any key person life insurance policies. The loss of any member of our senior management team would harm our business.</w:t>
      </w:r>
    </w:p>
    <w:p>
      <w:pPr>
        <w:spacing w:after="0" w:line="14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4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6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66"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39"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We are continuing to expand our operations outside the United States, where we may be subject to increased business and economic risks that could harm our business.</w:t>
      </w:r>
    </w:p>
    <w:p>
      <w:pPr>
        <w:spacing w:after="0" w:line="10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platform addresses the communications needs of users worldwide, and we see international expansion as a major opportunity. Our revenue from APAC and EMEA collectively represented 25% and 20% of our total revenue for the three months ended April 30, 2020 and 2019, respectively. We plan to add local sales support in further select international markets over time. Our customers include multinational corporations with global users, and we expect to continue to expand our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internationally subjects us to new risks and may increase risks that we currently face, including risks associated with:</w:t>
      </w:r>
    </w:p>
    <w:p>
      <w:pPr>
        <w:spacing w:after="0" w:line="94" w:lineRule="exact"/>
        <w:rPr>
          <w:sz w:val="20"/>
          <w:szCs w:val="20"/>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47" w:lineRule="exact"/>
        <w:rPr>
          <w:rFonts w:ascii="Arial" w:cs="Arial" w:eastAsia="Arial" w:hAnsi="Arial"/>
          <w:sz w:val="14"/>
          <w:szCs w:val="14"/>
          <w:color w:val="auto"/>
        </w:rPr>
      </w:pPr>
    </w:p>
    <w:p>
      <w:pPr>
        <w:jc w:val="both"/>
        <w:ind w:left="900" w:hanging="513"/>
        <w:spacing w:after="0" w:line="267"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56" w:lineRule="exact"/>
        <w:rPr>
          <w:rFonts w:ascii="Arial" w:cs="Arial" w:eastAsia="Arial" w:hAnsi="Arial"/>
          <w:sz w:val="14"/>
          <w:szCs w:val="14"/>
          <w:color w:val="auto"/>
        </w:rPr>
      </w:pPr>
    </w:p>
    <w:p>
      <w:pPr>
        <w:ind w:left="900" w:hanging="513"/>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management of an employee base in jurisdictions that may not give us the same employment and retention flexibility as does the United States;</w:t>
      </w:r>
    </w:p>
    <w:p>
      <w:pPr>
        <w:spacing w:after="0" w:line="93"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operating in jurisdictions that do not protect intellectual property rights to the same extent as does the United States and the practical enforcement of such intellectual property rights outside of the United States;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47" w:lineRule="exact"/>
        <w:rPr>
          <w:rFonts w:ascii="Arial" w:cs="Arial" w:eastAsia="Arial" w:hAnsi="Arial"/>
          <w:sz w:val="14"/>
          <w:szCs w:val="14"/>
          <w:color w:val="auto"/>
        </w:rPr>
      </w:pPr>
    </w:p>
    <w:p>
      <w:pPr>
        <w:ind w:left="900" w:hanging="513"/>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integration with partners outside of the United States;</w:t>
      </w:r>
    </w:p>
    <w:p>
      <w:pPr>
        <w:spacing w:after="0" w:line="93"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political and economic instability, including as a result of the United Kingdom's (“U.K.") withdrawal from the European Union (“EU”), and other political tensions between countries in which we do business;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diplomatic and trade relationships, including the imposition of new trade restrictions, trade protection measures, import or export requirements, trade embargoes, and other trade barriers;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generally longer payment cycles and greater difficulty in collecting accounts receivable, a risk that may increase as a result of the impact of COVID-19 on our customers' ability to pay for our service on a timely basis;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47" w:lineRule="exact"/>
        <w:rPr>
          <w:rFonts w:ascii="Arial" w:cs="Arial" w:eastAsia="Arial" w:hAnsi="Arial"/>
          <w:sz w:val="14"/>
          <w:szCs w:val="14"/>
          <w:color w:val="auto"/>
        </w:rPr>
      </w:pPr>
    </w:p>
    <w:p>
      <w:pPr>
        <w:ind w:left="900" w:hanging="513"/>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94"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4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The U.S. or foreign governments may take administrative, legislative, or regulatory action that could materially interfere with our ability to sell products in certain countries, particularly in China. For example, the current U.S. Administration has threatened tougher trade terms with China and other countries, leading to the imposition, or announcement of future imposition, of substantially higher U.S. Section 301 tariffs on roughly $500 billion of imports from China. In response, China imposed or proposed new or higher tariffs on U.S. products. While the imposition of these tariffs did not have a direct, material adverse impact on our business during the three months ended April 30, 2020,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5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4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Any failure to offer high-quality support for our customers and hosts may harm our relationships with our customers and hosts and, consequently, our business.</w:t>
      </w:r>
    </w:p>
    <w:p>
      <w:pPr>
        <w:spacing w:after="0" w:line="94" w:lineRule="exact"/>
        <w:rPr>
          <w:sz w:val="20"/>
          <w:szCs w:val="20"/>
          <w:color w:val="auto"/>
        </w:rPr>
      </w:pPr>
    </w:p>
    <w:p>
      <w:pPr>
        <w:jc w:val="both"/>
        <w:ind w:firstLine="382"/>
        <w:spacing w:after="0" w:line="307" w:lineRule="auto"/>
        <w:rPr>
          <w:sz w:val="20"/>
          <w:szCs w:val="20"/>
          <w:color w:val="auto"/>
        </w:rPr>
      </w:pPr>
      <w:r>
        <w:rPr>
          <w:rFonts w:ascii="Arial" w:cs="Arial" w:eastAsia="Arial" w:hAnsi="Arial"/>
          <w:sz w:val="12"/>
          <w:szCs w:val="12"/>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11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subject to liabilities on past sales for taxes, surcharges, and fees.</w:t>
      </w:r>
    </w:p>
    <w:p>
      <w:pPr>
        <w:spacing w:after="0" w:line="94"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5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Arial" w:cs="Arial" w:eastAsia="Arial" w:hAnsi="Arial"/>
          <w:sz w:val="14"/>
          <w:szCs w:val="14"/>
          <w:i w:val="1"/>
          <w:iCs w:val="1"/>
          <w:color w:val="auto"/>
        </w:rPr>
        <w:t>South Dakota v. Wayfair, Inc.</w:t>
      </w:r>
      <w:r>
        <w:rPr>
          <w:rFonts w:ascii="Arial" w:cs="Arial" w:eastAsia="Arial" w:hAnsi="Arial"/>
          <w:sz w:val="14"/>
          <w:szCs w:val="14"/>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$38.3 million and $34.0 million as of April 30,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4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5"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4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6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117"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results of operations, which are reported in U.S. dollars, could be adversely affected if currency exchange rates fluctuate substantially in the future.</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three months ended April 30, 2020 and 2019, 14.9% and 8.3% of our revenue, respectively, and 13.1% and 16.0%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and earnings and could materially impact our results of operations. We do not currently maintain a program to hedge exposures to non-U.S. dollar currencies.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sales to government entities are subject to a number of additional challenges and risks.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57" w:lineRule="exact"/>
        <w:rPr>
          <w:sz w:val="20"/>
          <w:szCs w:val="20"/>
          <w:color w:val="auto"/>
        </w:rPr>
      </w:pPr>
    </w:p>
    <w:p>
      <w:pPr>
        <w:ind w:left="900" w:hanging="513"/>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47"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4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To the extent that we become more reliant on contracts with government entities in the future, our exposure to such risks and challenges could increase, which in turn could adversely impact our business.</w:t>
      </w:r>
    </w:p>
    <w:p>
      <w:pPr>
        <w:spacing w:after="0" w:line="13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4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4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32"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4"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5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6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5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3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Federal Regulation</w:t>
      </w:r>
    </w:p>
    <w:p>
      <w:pPr>
        <w:spacing w:after="0" w:line="94"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State Regulation</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International Regulation</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We are currently, and may be in the future, party to intellectual property rights claims and other litigation matters, which, if resolved adversely, could harm our business.</w:t>
      </w:r>
    </w:p>
    <w:p>
      <w:pPr>
        <w:spacing w:after="0" w:line="105" w:lineRule="exact"/>
        <w:rPr>
          <w:sz w:val="20"/>
          <w:szCs w:val="20"/>
          <w:color w:val="auto"/>
        </w:rPr>
      </w:pPr>
    </w:p>
    <w:p>
      <w:pPr>
        <w:jc w:val="both"/>
        <w:ind w:firstLine="382"/>
        <w:spacing w:after="0" w:line="300" w:lineRule="auto"/>
        <w:rPr>
          <w:sz w:val="20"/>
          <w:szCs w:val="20"/>
          <w:color w:val="auto"/>
        </w:rPr>
      </w:pPr>
      <w:r>
        <w:rPr>
          <w:rFonts w:ascii="Arial" w:cs="Arial" w:eastAsia="Arial" w:hAnsi="Arial"/>
          <w:sz w:val="12"/>
          <w:szCs w:val="12"/>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94"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47"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could be disrupted by catastrophic events.</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6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experience an increase in paying customers or that new or existing users will continue to utilize our services at the same levels after the outbreak has tapered. Furthermore, such increased usage by free Basic account users during this time has required and will continue to require us to expand our network capacity which will increase our operating costs.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have exposure to greater than anticipated tax liabilities, which could harm our business.</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61" w:lineRule="exact"/>
        <w:rPr>
          <w:sz w:val="20"/>
          <w:szCs w:val="20"/>
          <w:color w:val="auto"/>
        </w:rPr>
      </w:pPr>
    </w:p>
    <w:p>
      <w:pPr>
        <w:jc w:val="both"/>
        <w:ind w:firstLine="382"/>
        <w:spacing w:after="0" w:line="309" w:lineRule="auto"/>
        <w:rPr>
          <w:sz w:val="20"/>
          <w:szCs w:val="20"/>
          <w:color w:val="auto"/>
        </w:rPr>
      </w:pPr>
      <w:r>
        <w:rPr>
          <w:rFonts w:ascii="Arial" w:cs="Arial" w:eastAsia="Arial" w:hAnsi="Arial"/>
          <w:sz w:val="12"/>
          <w:szCs w:val="12"/>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including France, Turkey, and India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3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94"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reported results of operations may be adversely affected by changes in accounting principles generally accepted in the United States.</w:t>
      </w:r>
    </w:p>
    <w:p>
      <w:pPr>
        <w:spacing w:after="0" w:line="94"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need additional capital, and we cannot be certain that additional financing will be available on favorable terms, or at all.</w:t>
      </w:r>
    </w:p>
    <w:p>
      <w:pPr>
        <w:spacing w:after="0" w:line="94"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94"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5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4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5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expended, and anticipate that we will continue to expend, significant resources, including accounting-related costs and significant management oversight.</w:t>
      </w:r>
    </w:p>
    <w:p>
      <w:pPr>
        <w:spacing w:after="0" w:line="9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6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6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expect that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4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4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have made and may continue in the future to make acquisitions of other companies, products, and technologies. For example, we recently announced our acquisition of Keybase Inc.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6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65" w:lineRule="exact"/>
        <w:rPr>
          <w:sz w:val="20"/>
          <w:szCs w:val="20"/>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93" w:lineRule="exact"/>
        <w:rPr>
          <w:rFonts w:ascii="Arial" w:cs="Arial" w:eastAsia="Arial" w:hAnsi="Arial"/>
          <w:sz w:val="14"/>
          <w:szCs w:val="14"/>
          <w:color w:val="auto"/>
        </w:rPr>
      </w:pPr>
    </w:p>
    <w:p>
      <w:pPr>
        <w:ind w:left="900" w:hanging="513"/>
        <w:spacing w:after="0" w:line="281" w:lineRule="auto"/>
        <w:tabs>
          <w:tab w:leader="none" w:pos="8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47"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features, or services;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significant change in our management; and</w:t>
      </w:r>
    </w:p>
    <w:p>
      <w:pPr>
        <w:spacing w:after="0" w:line="93" w:lineRule="exact"/>
        <w:rPr>
          <w:rFonts w:ascii="Arial" w:cs="Arial" w:eastAsia="Arial" w:hAnsi="Arial"/>
          <w:sz w:val="14"/>
          <w:szCs w:val="14"/>
          <w:color w:val="auto"/>
        </w:rPr>
      </w:pPr>
    </w:p>
    <w:p>
      <w:pPr>
        <w:ind w:left="900" w:hanging="513"/>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32"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1"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Class B common stock has 10 votes per share and our Class A common stock has one vote per share. As of April 30, 2020, the holders of our outstanding Class B common stock held 87.2% of the voting power of our outstanding capital stock, with our directors, executive officers and 5% stockholders and their respective affiliates holding 73.1% of such voting power in the aggregate. As of April 30, 2020, our founder, President and Chief Executive Officer, Eric S. Yuan, together with his affiliates, held approximately 15.8% of our outstanding capital stock but controlled approximately 33.9%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2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5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62"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1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4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4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6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3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4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charter documents also contain other provisions that could have an anti-takeover effect, such as:</w:t>
      </w:r>
    </w:p>
    <w:p>
      <w:pPr>
        <w:spacing w:after="0" w:line="94" w:lineRule="exact"/>
        <w:rPr>
          <w:sz w:val="20"/>
          <w:szCs w:val="20"/>
          <w:color w:val="auto"/>
        </w:rPr>
      </w:pPr>
    </w:p>
    <w:p>
      <w:pPr>
        <w:ind w:left="5580" w:right="3880" w:hanging="5130"/>
        <w:spacing w:after="0" w:line="929" w:lineRule="auto"/>
        <w:tabs>
          <w:tab w:leader="none" w:pos="899"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establishing a classified board of directors so that not all members of our board of directors are elected at one time;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permitting the board of directors to establish the number of directors and fill any vacancies and newly created directorships;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providing that directors may only be removed for cause;</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prohibiting cumulative voting for directors;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certificate of incorporation and bylaws;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authorizing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eliminating the ability of stockholders to call special meetings of stockholders;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prohibiting stockholder action by written consent, which requires all stockholder actions to be taken at a meeting of our stockholders; and</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dual-class common stock structure as described above.</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4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6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3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4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We incur costs and demands upon management as a result of complying with the laws and regulations affecting public companies in the United States, which may harm our business.</w:t>
      </w:r>
    </w:p>
    <w:p>
      <w:pPr>
        <w:spacing w:after="0" w:line="11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6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4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47"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174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4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Incorporated by Reference</w:t>
            </w:r>
          </w:p>
        </w:tc>
        <w:tc>
          <w:tcPr>
            <w:tcW w:w="1520" w:type="dxa"/>
            <w:vAlign w:val="bottom"/>
            <w:tcBorders>
              <w:bottom w:val="single" w:sz="8" w:color="auto"/>
            </w:tcBorders>
          </w:tcPr>
          <w:p>
            <w:pPr>
              <w:spacing w:after="0"/>
              <w:rPr>
                <w:sz w:val="12"/>
                <w:szCs w:val="12"/>
                <w:color w:val="auto"/>
              </w:rPr>
            </w:pPr>
          </w:p>
        </w:tc>
      </w:tr>
      <w:tr>
        <w:trPr>
          <w:trHeight w:val="150"/>
        </w:trPr>
        <w:tc>
          <w:tcPr>
            <w:tcW w:w="17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300" w:type="dxa"/>
            <w:vAlign w:val="bottom"/>
          </w:tcPr>
          <w:p>
            <w:pPr>
              <w:ind w:left="1320"/>
              <w:spacing w:after="0"/>
              <w:rPr>
                <w:sz w:val="20"/>
                <w:szCs w:val="20"/>
                <w:color w:val="auto"/>
              </w:rPr>
            </w:pPr>
            <w:r>
              <w:rPr>
                <w:rFonts w:ascii="Arial" w:cs="Arial" w:eastAsia="Arial" w:hAnsi="Arial"/>
                <w:sz w:val="11"/>
                <w:szCs w:val="11"/>
                <w:b w:val="1"/>
                <w:bCs w:val="1"/>
                <w:color w:val="auto"/>
              </w:rPr>
              <w:t>Exhibit Description</w:t>
            </w:r>
          </w:p>
        </w:tc>
        <w:tc>
          <w:tcPr>
            <w:tcW w:w="1060" w:type="dxa"/>
            <w:vAlign w:val="bottom"/>
          </w:tcPr>
          <w:p>
            <w:pPr>
              <w:ind w:left="340"/>
              <w:spacing w:after="0"/>
              <w:rPr>
                <w:sz w:val="20"/>
                <w:szCs w:val="20"/>
                <w:color w:val="auto"/>
              </w:rPr>
            </w:pPr>
            <w:r>
              <w:rPr>
                <w:rFonts w:ascii="Arial" w:cs="Arial" w:eastAsia="Arial" w:hAnsi="Arial"/>
                <w:sz w:val="11"/>
                <w:szCs w:val="11"/>
                <w:b w:val="1"/>
                <w:bCs w:val="1"/>
                <w:color w:val="auto"/>
              </w:rPr>
              <w:t>Form</w:t>
            </w:r>
          </w:p>
        </w:tc>
        <w:tc>
          <w:tcPr>
            <w:tcW w:w="860" w:type="dxa"/>
            <w:vAlign w:val="bottom"/>
          </w:tcPr>
          <w:p>
            <w:pPr>
              <w:ind w:left="460"/>
              <w:spacing w:after="0"/>
              <w:rPr>
                <w:sz w:val="20"/>
                <w:szCs w:val="20"/>
                <w:color w:val="auto"/>
              </w:rPr>
            </w:pPr>
            <w:r>
              <w:rPr>
                <w:rFonts w:ascii="Arial" w:cs="Arial" w:eastAsia="Arial" w:hAnsi="Arial"/>
                <w:sz w:val="11"/>
                <w:szCs w:val="11"/>
                <w:b w:val="1"/>
                <w:bCs w:val="1"/>
                <w:color w:val="auto"/>
                <w:w w:val="95"/>
              </w:rPr>
              <w:t>File No.</w:t>
            </w:r>
          </w:p>
        </w:tc>
        <w:tc>
          <w:tcPr>
            <w:tcW w:w="1740" w:type="dxa"/>
            <w:vAlign w:val="bottom"/>
          </w:tcPr>
          <w:p>
            <w:pPr>
              <w:ind w:left="860"/>
              <w:spacing w:after="0"/>
              <w:rPr>
                <w:sz w:val="20"/>
                <w:szCs w:val="20"/>
                <w:color w:val="auto"/>
              </w:rPr>
            </w:pPr>
            <w:r>
              <w:rPr>
                <w:rFonts w:ascii="Arial" w:cs="Arial" w:eastAsia="Arial" w:hAnsi="Arial"/>
                <w:sz w:val="11"/>
                <w:szCs w:val="11"/>
                <w:b w:val="1"/>
                <w:bCs w:val="1"/>
                <w:color w:val="auto"/>
              </w:rPr>
              <w:t>Exhibit</w:t>
            </w:r>
          </w:p>
        </w:tc>
        <w:tc>
          <w:tcPr>
            <w:tcW w:w="1520" w:type="dxa"/>
            <w:vAlign w:val="bottom"/>
          </w:tcPr>
          <w:p>
            <w:pPr>
              <w:ind w:left="420"/>
              <w:spacing w:after="0"/>
              <w:rPr>
                <w:sz w:val="20"/>
                <w:szCs w:val="20"/>
                <w:color w:val="auto"/>
              </w:rPr>
            </w:pPr>
            <w:r>
              <w:rPr>
                <w:rFonts w:ascii="Arial" w:cs="Arial" w:eastAsia="Arial" w:hAnsi="Arial"/>
                <w:sz w:val="11"/>
                <w:szCs w:val="11"/>
                <w:b w:val="1"/>
                <w:bCs w:val="1"/>
                <w:color w:val="auto"/>
              </w:rPr>
              <w:t>Filing Date</w:t>
            </w:r>
          </w:p>
        </w:tc>
      </w:tr>
    </w:tbl>
    <w:p>
      <w:pPr>
        <w:spacing w:after="0" w:line="7" w:lineRule="exact"/>
        <w:rPr>
          <w:sz w:val="20"/>
          <w:szCs w:val="20"/>
          <w:color w:val="auto"/>
        </w:rPr>
      </w:pPr>
    </w:p>
    <w:p>
      <w:pPr>
        <w:sectPr>
          <w:pgSz w:w="11900" w:h="16838" w:orient="portrait"/>
          <w:cols w:equalWidth="0" w:num="1">
            <w:col w:w="11280"/>
          </w:cols>
          <w:pgMar w:left="300" w:top="129" w:right="319" w:bottom="1440" w:gutter="0" w:footer="0" w:header="0"/>
        </w:sectPr>
      </w:pP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31.1*</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31.2*</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rFonts w:ascii="Arial" w:cs="Arial" w:eastAsia="Arial" w:hAnsi="Arial"/>
                <w:sz w:val="14"/>
                <w:szCs w:val="14"/>
                <w:color w:val="0000FF"/>
              </w:rPr>
            </w:pPr>
            <w:hyperlink r:id="rId91">
              <w:r>
                <w:rPr>
                  <w:rFonts w:ascii="Arial" w:cs="Arial" w:eastAsia="Arial" w:hAnsi="Arial"/>
                  <w:sz w:val="14"/>
                  <w:szCs w:val="14"/>
                  <w:color w:val="0000FF"/>
                </w:rPr>
                <w:t>Amended and Restated Certificate of Incorporation of Zoom Video</w:t>
              </w:r>
            </w:hyperlink>
          </w:p>
        </w:tc>
        <w:tc>
          <w:tcPr>
            <w:tcW w:w="1160" w:type="dxa"/>
            <w:vAlign w:val="bottom"/>
          </w:tcPr>
          <w:p>
            <w:pPr>
              <w:ind w:left="460"/>
              <w:spacing w:after="0"/>
              <w:rPr>
                <w:sz w:val="20"/>
                <w:szCs w:val="20"/>
                <w:color w:val="auto"/>
              </w:rPr>
            </w:pPr>
            <w:r>
              <w:rPr>
                <w:rFonts w:ascii="Arial" w:cs="Arial" w:eastAsia="Arial" w:hAnsi="Arial"/>
                <w:sz w:val="14"/>
                <w:szCs w:val="14"/>
                <w:color w:val="auto"/>
              </w:rPr>
              <w:t>8-K</w:t>
            </w:r>
          </w:p>
        </w:tc>
        <w:tc>
          <w:tcPr>
            <w:tcW w:w="1420" w:type="dxa"/>
            <w:vAlign w:val="bottom"/>
          </w:tcPr>
          <w:p>
            <w:pPr>
              <w:ind w:left="360"/>
              <w:spacing w:after="0"/>
              <w:rPr>
                <w:sz w:val="20"/>
                <w:szCs w:val="20"/>
                <w:color w:val="auto"/>
              </w:rPr>
            </w:pPr>
            <w:r>
              <w:rPr>
                <w:rFonts w:ascii="Arial" w:cs="Arial" w:eastAsia="Arial" w:hAnsi="Arial"/>
                <w:sz w:val="14"/>
                <w:szCs w:val="14"/>
                <w:color w:val="auto"/>
              </w:rPr>
              <w:t>001-38865</w:t>
            </w:r>
          </w:p>
        </w:tc>
        <w:tc>
          <w:tcPr>
            <w:tcW w:w="1000" w:type="dxa"/>
            <w:vAlign w:val="bottom"/>
          </w:tcPr>
          <w:p>
            <w:pPr>
              <w:jc w:val="right"/>
              <w:ind w:right="369"/>
              <w:spacing w:after="0"/>
              <w:rPr>
                <w:sz w:val="20"/>
                <w:szCs w:val="20"/>
                <w:color w:val="auto"/>
              </w:rPr>
            </w:pPr>
            <w:r>
              <w:rPr>
                <w:rFonts w:ascii="Arial" w:cs="Arial" w:eastAsia="Arial" w:hAnsi="Arial"/>
                <w:sz w:val="14"/>
                <w:szCs w:val="14"/>
                <w:color w:val="auto"/>
              </w:rPr>
              <w:t>3.1</w:t>
            </w:r>
          </w:p>
        </w:tc>
        <w:tc>
          <w:tcPr>
            <w:tcW w:w="1260" w:type="dxa"/>
            <w:vAlign w:val="bottom"/>
          </w:tcPr>
          <w:p>
            <w:pPr>
              <w:ind w:left="440"/>
              <w:spacing w:after="0"/>
              <w:rPr>
                <w:sz w:val="20"/>
                <w:szCs w:val="20"/>
                <w:color w:val="auto"/>
              </w:rPr>
            </w:pPr>
            <w:r>
              <w:rPr>
                <w:rFonts w:ascii="Arial" w:cs="Arial" w:eastAsia="Arial" w:hAnsi="Arial"/>
                <w:sz w:val="14"/>
                <w:szCs w:val="14"/>
                <w:color w:val="auto"/>
                <w:w w:val="92"/>
              </w:rPr>
              <w:t>April 23, 2019</w:t>
            </w:r>
          </w:p>
        </w:tc>
      </w:tr>
      <w:tr>
        <w:trPr>
          <w:trHeight w:val="139"/>
        </w:trPr>
        <w:tc>
          <w:tcPr>
            <w:tcW w:w="12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2"/>
              </w:rPr>
            </w:pPr>
            <w:hyperlink r:id="rId91">
              <w:r>
                <w:rPr>
                  <w:rFonts w:ascii="Arial" w:cs="Arial" w:eastAsia="Arial" w:hAnsi="Arial"/>
                  <w:sz w:val="14"/>
                  <w:szCs w:val="14"/>
                  <w:color w:val="0000FF"/>
                  <w:w w:val="92"/>
                </w:rPr>
                <w:t>Communications, Inc.</w:t>
              </w:r>
            </w:hyperlink>
          </w:p>
        </w:tc>
        <w:tc>
          <w:tcPr>
            <w:tcW w:w="254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3"/>
        </w:trPr>
        <w:tc>
          <w:tcPr>
            <w:tcW w:w="4440" w:type="dxa"/>
            <w:vAlign w:val="bottom"/>
            <w:gridSpan w:val="3"/>
          </w:tcPr>
          <w:p>
            <w:pPr>
              <w:spacing w:after="0"/>
              <w:rPr>
                <w:rFonts w:ascii="Arial" w:cs="Arial" w:eastAsia="Arial" w:hAnsi="Arial"/>
                <w:sz w:val="14"/>
                <w:szCs w:val="14"/>
                <w:color w:val="0000FF"/>
              </w:rPr>
            </w:pPr>
            <w:hyperlink r:id="rId92">
              <w:r>
                <w:rPr>
                  <w:rFonts w:ascii="Arial" w:cs="Arial" w:eastAsia="Arial" w:hAnsi="Arial"/>
                  <w:sz w:val="14"/>
                  <w:szCs w:val="14"/>
                  <w:u w:val="single" w:color="auto"/>
                  <w:color w:val="0000FF"/>
                </w:rPr>
                <w:t>Amended and Restated Bylaws of Zoom Video Communications, Inc</w:t>
              </w:r>
              <w:r>
                <w:rPr>
                  <w:rFonts w:ascii="Arial" w:cs="Arial" w:eastAsia="Arial" w:hAnsi="Arial"/>
                  <w:sz w:val="14"/>
                  <w:szCs w:val="14"/>
                  <w:color w:val="0000FF"/>
                </w:rPr>
                <w:t>.</w:t>
              </w:r>
            </w:hyperlink>
          </w:p>
        </w:tc>
        <w:tc>
          <w:tcPr>
            <w:tcW w:w="1160" w:type="dxa"/>
            <w:vAlign w:val="bottom"/>
          </w:tcPr>
          <w:p>
            <w:pPr>
              <w:ind w:left="460"/>
              <w:spacing w:after="0"/>
              <w:rPr>
                <w:sz w:val="20"/>
                <w:szCs w:val="20"/>
                <w:color w:val="auto"/>
              </w:rPr>
            </w:pPr>
            <w:r>
              <w:rPr>
                <w:rFonts w:ascii="Arial" w:cs="Arial" w:eastAsia="Arial" w:hAnsi="Arial"/>
                <w:sz w:val="14"/>
                <w:szCs w:val="14"/>
                <w:color w:val="auto"/>
              </w:rPr>
              <w:t>S-1/A</w:t>
            </w:r>
          </w:p>
        </w:tc>
        <w:tc>
          <w:tcPr>
            <w:tcW w:w="1420" w:type="dxa"/>
            <w:vAlign w:val="bottom"/>
          </w:tcPr>
          <w:p>
            <w:pPr>
              <w:ind w:left="360"/>
              <w:spacing w:after="0"/>
              <w:rPr>
                <w:sz w:val="20"/>
                <w:szCs w:val="20"/>
                <w:color w:val="auto"/>
              </w:rPr>
            </w:pPr>
            <w:r>
              <w:rPr>
                <w:rFonts w:ascii="Arial" w:cs="Arial" w:eastAsia="Arial" w:hAnsi="Arial"/>
                <w:sz w:val="14"/>
                <w:szCs w:val="14"/>
                <w:color w:val="auto"/>
              </w:rPr>
              <w:t>333-230444</w:t>
            </w:r>
          </w:p>
        </w:tc>
        <w:tc>
          <w:tcPr>
            <w:tcW w:w="1000" w:type="dxa"/>
            <w:vAlign w:val="bottom"/>
          </w:tcPr>
          <w:p>
            <w:pPr>
              <w:jc w:val="right"/>
              <w:ind w:right="369"/>
              <w:spacing w:after="0"/>
              <w:rPr>
                <w:sz w:val="20"/>
                <w:szCs w:val="20"/>
                <w:color w:val="auto"/>
              </w:rPr>
            </w:pPr>
            <w:r>
              <w:rPr>
                <w:rFonts w:ascii="Arial" w:cs="Arial" w:eastAsia="Arial" w:hAnsi="Arial"/>
                <w:sz w:val="14"/>
                <w:szCs w:val="14"/>
                <w:color w:val="auto"/>
              </w:rPr>
              <w:t>3.4</w:t>
            </w:r>
          </w:p>
        </w:tc>
        <w:tc>
          <w:tcPr>
            <w:tcW w:w="1260" w:type="dxa"/>
            <w:vAlign w:val="bottom"/>
          </w:tcPr>
          <w:p>
            <w:pPr>
              <w:ind w:left="440"/>
              <w:spacing w:after="0"/>
              <w:rPr>
                <w:sz w:val="20"/>
                <w:szCs w:val="20"/>
                <w:color w:val="auto"/>
              </w:rPr>
            </w:pPr>
            <w:r>
              <w:rPr>
                <w:rFonts w:ascii="Arial" w:cs="Arial" w:eastAsia="Arial" w:hAnsi="Arial"/>
                <w:sz w:val="14"/>
                <w:szCs w:val="14"/>
                <w:color w:val="auto"/>
              </w:rPr>
              <w:t>April 8, 2019</w:t>
            </w:r>
          </w:p>
        </w:tc>
      </w:tr>
    </w:tbl>
    <w:p>
      <w:pPr>
        <w:spacing w:after="0" w:line="11" w:lineRule="exact"/>
        <w:rPr>
          <w:sz w:val="20"/>
          <w:szCs w:val="20"/>
          <w:color w:val="auto"/>
        </w:rPr>
      </w:pPr>
    </w:p>
    <w:p>
      <w:pPr>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Fifth Amendment to Lease Agreement by and between Zoom Video</w:t>
        </w:r>
      </w:hyperlink>
    </w:p>
    <w:p>
      <w:pPr>
        <w:spacing w:after="0" w:line="205" w:lineRule="auto"/>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Communications, Inc. and KBSIII Almaden Financial Plaza, LLC dated March 9,</w:t>
        </w:r>
      </w:hyperlink>
    </w:p>
    <w:p>
      <w:pPr>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2020.</w:t>
        </w:r>
      </w:hyperlink>
    </w:p>
    <w:p>
      <w:pPr>
        <w:spacing w:after="0" w:line="234" w:lineRule="auto"/>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Certification of Chief Executive Officer pursuant to Exchange Act Rules 13a-14(a)</w:t>
        </w:r>
      </w:hyperlink>
    </w:p>
    <w:p>
      <w:pPr>
        <w:spacing w:after="0" w:line="206" w:lineRule="auto"/>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and 15d-14(a), as adopted pursuant to Section 302 of the Sarbanes-Oxley Act of</w:t>
        </w:r>
      </w:hyperlink>
    </w:p>
    <w:p>
      <w:pPr>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2002.</w:t>
        </w:r>
      </w:hyperlink>
    </w:p>
    <w:p>
      <w:pPr>
        <w:spacing w:after="0" w:line="234" w:lineRule="auto"/>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Certification of Chief Financial Officer pursuant to Exchange Act Rules 13a-14(a)</w:t>
        </w:r>
      </w:hyperlink>
    </w:p>
    <w:p>
      <w:pPr>
        <w:spacing w:after="0" w:line="206" w:lineRule="auto"/>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and 15d-14(a), as adopted pursuant to Section 302 of the Sarbanes-Oxley Act of</w:t>
        </w:r>
      </w:hyperlink>
    </w:p>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2002.</w:t>
        </w:r>
      </w:hyperlink>
    </w:p>
    <w:p>
      <w:pPr>
        <w:spacing w:after="0" w:line="234" w:lineRule="auto"/>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Certifications of Chief Executive Officer and Chief Financial Officer pursuant to 18</w:t>
        </w:r>
      </w:hyperlink>
    </w:p>
    <w:p>
      <w:pPr>
        <w:spacing w:after="0" w:line="206" w:lineRule="auto"/>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U.S.C. Section 1350, as adopted pursuant to Section 906 of the Sarbanes-Oxley Act</w:t>
        </w:r>
      </w:hyperlink>
    </w:p>
    <w:p>
      <w:pPr>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of 2002.</w:t>
        </w:r>
      </w:hyperlink>
    </w:p>
    <w:p>
      <w:pPr>
        <w:spacing w:after="0" w:line="18" w:lineRule="exact"/>
        <w:rPr>
          <w:sz w:val="20"/>
          <w:szCs w:val="20"/>
          <w:color w:val="auto"/>
        </w:rPr>
      </w:pPr>
    </w:p>
    <w:p>
      <w:pPr>
        <w:sectPr>
          <w:pgSz w:w="11900" w:h="16838" w:orient="portrait"/>
          <w:cols w:equalWidth="0" w:num="2">
            <w:col w:w="440" w:space="720"/>
            <w:col w:w="10120"/>
          </w:cols>
          <w:pgMar w:left="300" w:top="129" w:right="319" w:bottom="1440" w:gutter="0" w:footer="0" w:header="0"/>
          <w:type w:val="continuous"/>
        </w:sectPr>
      </w:pPr>
    </w:p>
    <w:p>
      <w:pPr>
        <w:ind w:left="20"/>
        <w:spacing w:after="0"/>
        <w:tabs>
          <w:tab w:leader="none" w:pos="114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3"/>
          <w:szCs w:val="13"/>
          <w:color w:val="auto"/>
        </w:rPr>
        <w:t>XBRL Instance Document</w:t>
      </w:r>
    </w:p>
    <w:p>
      <w:pPr>
        <w:spacing w:after="0" w:line="5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color w:val="auto"/>
        </w:rPr>
        <w:t>101.SCH*</w:t>
      </w:r>
      <w:r>
        <w:rPr>
          <w:sz w:val="20"/>
          <w:szCs w:val="20"/>
          <w:color w:val="auto"/>
        </w:rPr>
        <w:tab/>
      </w:r>
      <w:r>
        <w:rPr>
          <w:rFonts w:ascii="Arial" w:cs="Arial" w:eastAsia="Arial" w:hAnsi="Arial"/>
          <w:sz w:val="12"/>
          <w:szCs w:val="12"/>
          <w:color w:val="auto"/>
        </w:rPr>
        <w:t>XBRL Taxonomy Extension Schema Document</w:t>
      </w:r>
    </w:p>
    <w:p>
      <w:pPr>
        <w:spacing w:after="0" w:line="5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color w:val="auto"/>
        </w:rPr>
        <w:t>101.CAL*</w:t>
      </w:r>
      <w:r>
        <w:rPr>
          <w:sz w:val="20"/>
          <w:szCs w:val="20"/>
          <w:color w:val="auto"/>
        </w:rPr>
        <w:tab/>
      </w:r>
      <w:r>
        <w:rPr>
          <w:rFonts w:ascii="Arial" w:cs="Arial" w:eastAsia="Arial" w:hAnsi="Arial"/>
          <w:sz w:val="13"/>
          <w:szCs w:val="13"/>
          <w:color w:val="auto"/>
        </w:rPr>
        <w:t>XBRL Taxonomy Extension Calculation Linkbase Document</w:t>
      </w:r>
    </w:p>
    <w:p>
      <w:pPr>
        <w:spacing w:after="0" w:line="5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color w:val="auto"/>
        </w:rPr>
        <w:t>101.DEF*</w:t>
      </w:r>
      <w:r>
        <w:rPr>
          <w:sz w:val="20"/>
          <w:szCs w:val="20"/>
          <w:color w:val="auto"/>
        </w:rPr>
        <w:tab/>
      </w:r>
      <w:r>
        <w:rPr>
          <w:rFonts w:ascii="Arial" w:cs="Arial" w:eastAsia="Arial" w:hAnsi="Arial"/>
          <w:sz w:val="13"/>
          <w:szCs w:val="13"/>
          <w:color w:val="auto"/>
        </w:rPr>
        <w:t>XBRL Taxonomy Extension Definition Linkbase Document</w:t>
      </w:r>
    </w:p>
    <w:p>
      <w:pPr>
        <w:spacing w:after="0" w:line="5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color w:val="auto"/>
        </w:rPr>
        <w:t>101.LAB*</w:t>
      </w:r>
      <w:r>
        <w:rPr>
          <w:sz w:val="20"/>
          <w:szCs w:val="20"/>
          <w:color w:val="auto"/>
        </w:rPr>
        <w:tab/>
      </w:r>
      <w:r>
        <w:rPr>
          <w:rFonts w:ascii="Arial" w:cs="Arial" w:eastAsia="Arial" w:hAnsi="Arial"/>
          <w:sz w:val="13"/>
          <w:szCs w:val="13"/>
          <w:color w:val="auto"/>
        </w:rPr>
        <w:t>XBRL Taxonomy Extension Label Linkbase Document</w:t>
      </w:r>
    </w:p>
    <w:p>
      <w:pPr>
        <w:spacing w:after="0" w:line="5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2"/>
          <w:szCs w:val="12"/>
          <w:color w:val="auto"/>
        </w:rPr>
        <w:t>XBRL Taxonomy Extension Presentation Linkbase Document</w:t>
      </w:r>
    </w:p>
    <w:p>
      <w:pPr>
        <w:spacing w:after="0" w:line="51" w:lineRule="exact"/>
        <w:rPr>
          <w:sz w:val="20"/>
          <w:szCs w:val="20"/>
          <w:color w:val="auto"/>
        </w:rPr>
      </w:pPr>
    </w:p>
    <w:p>
      <w:pPr>
        <w:ind w:left="1160" w:right="5760" w:hanging="1141"/>
        <w:spacing w:after="0" w:line="321" w:lineRule="auto"/>
        <w:tabs>
          <w:tab w:leader="none" w:pos="116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cover page from the Registrant’s Quarterly Report on Form 10-Q for the quarter ended April 30, 2020, has been formatted in Inline XBRL</w:t>
      </w:r>
    </w:p>
    <w:p>
      <w:pPr>
        <w:spacing w:after="0" w:line="4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Filed herewith.</w:t>
      </w:r>
    </w:p>
    <w:p>
      <w:pPr>
        <w:spacing w:after="0" w:line="19" w:lineRule="exact"/>
        <w:rPr>
          <w:sz w:val="20"/>
          <w:szCs w:val="20"/>
          <w:color w:val="auto"/>
        </w:rPr>
      </w:pPr>
    </w:p>
    <w:p>
      <w:pPr>
        <w:ind w:left="520" w:hanging="515"/>
        <w:spacing w:after="0" w:line="259" w:lineRule="auto"/>
        <w:tabs>
          <w:tab w:leader="none" w:pos="121"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 and are not to be incorporated by reference into any filing of the Registrant under the Securities Act of 1933, as amended,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940" w:type="dxa"/>
            <w:vAlign w:val="bottom"/>
            <w:gridSpan w:val="2"/>
          </w:tcPr>
          <w:p>
            <w:pPr>
              <w:ind w:left="3480"/>
              <w:spacing w:after="0"/>
              <w:rPr>
                <w:sz w:val="20"/>
                <w:szCs w:val="20"/>
                <w:color w:val="auto"/>
              </w:rPr>
            </w:pPr>
            <w:r>
              <w:rPr>
                <w:rFonts w:ascii="Arial" w:cs="Arial" w:eastAsia="Arial" w:hAnsi="Arial"/>
                <w:sz w:val="14"/>
                <w:szCs w:val="14"/>
                <w:b w:val="1"/>
                <w:bCs w:val="1"/>
                <w:color w:val="auto"/>
              </w:rPr>
              <w:t>ZOOM VIDEO COMMUNICATIONS, INC.</w:t>
            </w:r>
          </w:p>
        </w:tc>
      </w:tr>
      <w:tr>
        <w:trPr>
          <w:trHeight w:val="414"/>
        </w:trPr>
        <w:tc>
          <w:tcPr>
            <w:tcW w:w="3300" w:type="dxa"/>
            <w:vAlign w:val="bottom"/>
          </w:tcPr>
          <w:p>
            <w:pPr>
              <w:spacing w:after="0"/>
              <w:rPr>
                <w:sz w:val="20"/>
                <w:szCs w:val="20"/>
                <w:color w:val="auto"/>
              </w:rPr>
            </w:pPr>
            <w:r>
              <w:rPr>
                <w:rFonts w:ascii="Arial" w:cs="Arial" w:eastAsia="Arial" w:hAnsi="Arial"/>
                <w:sz w:val="14"/>
                <w:szCs w:val="14"/>
                <w:color w:val="auto"/>
              </w:rPr>
              <w:t>Date: June 5, 2020</w:t>
            </w:r>
          </w:p>
        </w:tc>
        <w:tc>
          <w:tcPr>
            <w:tcW w:w="4000" w:type="dxa"/>
            <w:vAlign w:val="bottom"/>
          </w:tcPr>
          <w:p>
            <w:pPr>
              <w:ind w:left="3480"/>
              <w:spacing w:after="0"/>
              <w:rPr>
                <w:sz w:val="20"/>
                <w:szCs w:val="20"/>
                <w:color w:val="auto"/>
              </w:rPr>
            </w:pPr>
            <w:r>
              <w:rPr>
                <w:rFonts w:ascii="Arial" w:cs="Arial" w:eastAsia="Arial" w:hAnsi="Arial"/>
                <w:sz w:val="14"/>
                <w:szCs w:val="14"/>
                <w:color w:val="auto"/>
              </w:rPr>
              <w:t>By:</w:t>
            </w:r>
          </w:p>
        </w:tc>
        <w:tc>
          <w:tcPr>
            <w:tcW w:w="3940" w:type="dxa"/>
            <w:vAlign w:val="bottom"/>
          </w:tcPr>
          <w:p>
            <w:pPr>
              <w:ind w:left="20"/>
              <w:spacing w:after="0"/>
              <w:rPr>
                <w:sz w:val="20"/>
                <w:szCs w:val="20"/>
                <w:color w:val="auto"/>
              </w:rPr>
            </w:pPr>
            <w:r>
              <w:rPr>
                <w:rFonts w:ascii="Arial" w:cs="Arial" w:eastAsia="Arial" w:hAnsi="Arial"/>
                <w:sz w:val="14"/>
                <w:szCs w:val="14"/>
                <w:color w:val="auto"/>
              </w:rPr>
              <w:t>/s/ Eric S. Yuan</w:t>
            </w:r>
          </w:p>
        </w:tc>
      </w:tr>
      <w:tr>
        <w:trPr>
          <w:trHeight w:val="22"/>
        </w:trPr>
        <w:tc>
          <w:tcPr>
            <w:tcW w:w="3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181"/>
        </w:trPr>
        <w:tc>
          <w:tcPr>
            <w:tcW w:w="33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Eric S. Yuan</w:t>
            </w:r>
          </w:p>
        </w:tc>
      </w:tr>
      <w:tr>
        <w:trPr>
          <w:trHeight w:val="212"/>
        </w:trPr>
        <w:tc>
          <w:tcPr>
            <w:tcW w:w="3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12"/>
        </w:trPr>
        <w:tc>
          <w:tcPr>
            <w:tcW w:w="3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r>
        <w:trPr>
          <w:trHeight w:val="414"/>
        </w:trPr>
        <w:tc>
          <w:tcPr>
            <w:tcW w:w="3300" w:type="dxa"/>
            <w:vAlign w:val="bottom"/>
          </w:tcPr>
          <w:p>
            <w:pPr>
              <w:spacing w:after="0"/>
              <w:rPr>
                <w:sz w:val="20"/>
                <w:szCs w:val="20"/>
                <w:color w:val="auto"/>
              </w:rPr>
            </w:pPr>
            <w:r>
              <w:rPr>
                <w:rFonts w:ascii="Arial" w:cs="Arial" w:eastAsia="Arial" w:hAnsi="Arial"/>
                <w:sz w:val="14"/>
                <w:szCs w:val="14"/>
                <w:color w:val="auto"/>
              </w:rPr>
              <w:t>Date: June 5, 2020</w:t>
            </w:r>
          </w:p>
        </w:tc>
        <w:tc>
          <w:tcPr>
            <w:tcW w:w="4000" w:type="dxa"/>
            <w:vAlign w:val="bottom"/>
          </w:tcPr>
          <w:p>
            <w:pPr>
              <w:ind w:left="3480"/>
              <w:spacing w:after="0"/>
              <w:rPr>
                <w:sz w:val="20"/>
                <w:szCs w:val="20"/>
                <w:color w:val="auto"/>
              </w:rPr>
            </w:pPr>
            <w:r>
              <w:rPr>
                <w:rFonts w:ascii="Arial" w:cs="Arial" w:eastAsia="Arial" w:hAnsi="Arial"/>
                <w:sz w:val="14"/>
                <w:szCs w:val="14"/>
                <w:color w:val="auto"/>
              </w:rPr>
              <w:t>By:</w:t>
            </w:r>
          </w:p>
        </w:tc>
        <w:tc>
          <w:tcPr>
            <w:tcW w:w="3940" w:type="dxa"/>
            <w:vAlign w:val="bottom"/>
          </w:tcPr>
          <w:p>
            <w:pPr>
              <w:ind w:left="20"/>
              <w:spacing w:after="0"/>
              <w:rPr>
                <w:sz w:val="20"/>
                <w:szCs w:val="20"/>
                <w:color w:val="auto"/>
              </w:rPr>
            </w:pPr>
            <w:r>
              <w:rPr>
                <w:rFonts w:ascii="Arial" w:cs="Arial" w:eastAsia="Arial" w:hAnsi="Arial"/>
                <w:sz w:val="14"/>
                <w:szCs w:val="14"/>
                <w:color w:val="auto"/>
              </w:rPr>
              <w:t>/s/ Kelly Steckelberg</w:t>
            </w:r>
          </w:p>
        </w:tc>
      </w:tr>
      <w:tr>
        <w:trPr>
          <w:trHeight w:val="22"/>
        </w:trPr>
        <w:tc>
          <w:tcPr>
            <w:tcW w:w="3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181"/>
        </w:trPr>
        <w:tc>
          <w:tcPr>
            <w:tcW w:w="33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Kelly Steckelberg</w:t>
            </w:r>
          </w:p>
        </w:tc>
      </w:tr>
      <w:tr>
        <w:trPr>
          <w:trHeight w:val="212"/>
        </w:trPr>
        <w:tc>
          <w:tcPr>
            <w:tcW w:w="3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12"/>
        </w:trPr>
        <w:tc>
          <w:tcPr>
            <w:tcW w:w="3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Officer)</w:t>
            </w:r>
          </w:p>
        </w:tc>
      </w:tr>
      <w:tr>
        <w:trPr>
          <w:trHeight w:val="902"/>
        </w:trPr>
        <w:tc>
          <w:tcPr>
            <w:tcW w:w="3300" w:type="dxa"/>
            <w:vAlign w:val="bottom"/>
          </w:tcPr>
          <w:p>
            <w:pPr>
              <w:spacing w:after="0"/>
              <w:rPr>
                <w:sz w:val="24"/>
                <w:szCs w:val="24"/>
                <w:color w:val="auto"/>
              </w:rPr>
            </w:pPr>
          </w:p>
        </w:tc>
        <w:tc>
          <w:tcPr>
            <w:tcW w:w="4000" w:type="dxa"/>
            <w:vAlign w:val="bottom"/>
          </w:tcPr>
          <w:p>
            <w:pPr>
              <w:jc w:val="right"/>
              <w:ind w:right="1529"/>
              <w:spacing w:after="0"/>
              <w:rPr>
                <w:sz w:val="20"/>
                <w:szCs w:val="20"/>
                <w:color w:val="auto"/>
              </w:rPr>
            </w:pPr>
            <w:r>
              <w:rPr>
                <w:rFonts w:ascii="Arial" w:cs="Arial" w:eastAsia="Arial" w:hAnsi="Arial"/>
                <w:sz w:val="14"/>
                <w:szCs w:val="14"/>
                <w:color w:val="auto"/>
              </w:rPr>
              <w:t>62</w:t>
            </w:r>
          </w:p>
        </w:tc>
        <w:tc>
          <w:tcPr>
            <w:tcW w:w="3940" w:type="dxa"/>
            <w:vAlign w:val="bottom"/>
          </w:tcPr>
          <w:p>
            <w:pPr>
              <w:spacing w:after="0"/>
              <w:rPr>
                <w:sz w:val="24"/>
                <w:szCs w:val="24"/>
                <w:color w:val="auto"/>
              </w:rPr>
            </w:pPr>
          </w:p>
        </w:tc>
      </w:tr>
    </w:tbl>
    <w:p>
      <w:pPr>
        <w:sectPr>
          <w:pgSz w:w="11900" w:h="16838" w:orient="portrait"/>
          <w:cols w:equalWidth="0" w:num="1">
            <w:col w:w="11260"/>
          </w:cols>
          <w:pgMar w:left="300" w:top="129" w:right="339" w:bottom="1440"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Arial" w:cs="Arial" w:eastAsia="Arial" w:hAnsi="Arial"/>
          <w:sz w:val="14"/>
          <w:szCs w:val="14"/>
          <w:b w:val="1"/>
          <w:bCs w:val="1"/>
          <w:color w:val="auto"/>
        </w:rPr>
        <w:t>Exhibit 31.1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 Eric S. Yuan, certify that:</w:t>
      </w:r>
    </w:p>
    <w:p>
      <w:pPr>
        <w:spacing w:after="0" w:line="147" w:lineRule="exact"/>
        <w:rPr>
          <w:sz w:val="20"/>
          <w:szCs w:val="20"/>
          <w:color w:val="auto"/>
        </w:rPr>
      </w:pPr>
    </w:p>
    <w:p>
      <w:pPr>
        <w:ind w:left="1020" w:hanging="506"/>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46" w:lineRule="exact"/>
        <w:rPr>
          <w:rFonts w:ascii="Arial" w:cs="Arial" w:eastAsia="Arial" w:hAnsi="Arial"/>
          <w:sz w:val="14"/>
          <w:szCs w:val="14"/>
          <w:color w:val="auto"/>
        </w:rPr>
      </w:pPr>
    </w:p>
    <w:p>
      <w:pPr>
        <w:ind w:left="1020" w:right="220" w:hanging="506"/>
        <w:spacing w:after="0" w:line="281" w:lineRule="auto"/>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4"/>
          <w:szCs w:val="14"/>
          <w:color w:val="auto"/>
        </w:rPr>
      </w:pPr>
    </w:p>
    <w:p>
      <w:pPr>
        <w:ind w:left="1020" w:right="300" w:hanging="506"/>
        <w:spacing w:after="0" w:line="281" w:lineRule="auto"/>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1020" w:hanging="506"/>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2" w:lineRule="exact"/>
        <w:rPr>
          <w:rFonts w:ascii="Arial" w:cs="Arial" w:eastAsia="Arial" w:hAnsi="Arial"/>
          <w:sz w:val="12"/>
          <w:szCs w:val="12"/>
          <w:color w:val="auto"/>
        </w:rPr>
      </w:pPr>
    </w:p>
    <w:p>
      <w:pPr>
        <w:ind w:left="1020"/>
        <w:spacing w:after="0"/>
        <w:rPr>
          <w:rFonts w:ascii="Arial" w:cs="Arial" w:eastAsia="Arial" w:hAnsi="Arial"/>
          <w:sz w:val="12"/>
          <w:szCs w:val="12"/>
          <w:color w:val="auto"/>
        </w:rPr>
      </w:pPr>
      <w:r>
        <w:rPr>
          <w:rFonts w:ascii="Arial" w:cs="Arial" w:eastAsia="Arial" w:hAnsi="Arial"/>
          <w:sz w:val="14"/>
          <w:szCs w:val="14"/>
          <w:color w:val="auto"/>
        </w:rPr>
        <w:t>15d-15(e)) for the registrant and have:</w:t>
      </w:r>
    </w:p>
    <w:p>
      <w:pPr>
        <w:spacing w:after="0" w:line="136" w:lineRule="exact"/>
        <w:rPr>
          <w:rFonts w:ascii="Arial" w:cs="Arial" w:eastAsia="Arial" w:hAnsi="Arial"/>
          <w:sz w:val="12"/>
          <w:szCs w:val="12"/>
          <w:color w:val="auto"/>
        </w:rPr>
      </w:pPr>
    </w:p>
    <w:p>
      <w:pPr>
        <w:ind w:left="1540" w:hanging="517"/>
        <w:spacing w:after="0" w:line="267" w:lineRule="auto"/>
        <w:tabs>
          <w:tab w:leader="none" w:pos="1532"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4"/>
          <w:szCs w:val="14"/>
          <w:color w:val="auto"/>
        </w:rPr>
      </w:pPr>
    </w:p>
    <w:p>
      <w:pPr>
        <w:ind w:left="1540" w:right="380" w:hanging="517"/>
        <w:spacing w:after="0" w:line="281" w:lineRule="auto"/>
        <w:tabs>
          <w:tab w:leader="none" w:pos="1540"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1540" w:right="40" w:hanging="517"/>
        <w:spacing w:after="0" w:line="267" w:lineRule="auto"/>
        <w:tabs>
          <w:tab w:leader="none" w:pos="1532" w:val="left"/>
        </w:tabs>
        <w:numPr>
          <w:ilvl w:val="1"/>
          <w:numId w:val="2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4"/>
          <w:szCs w:val="14"/>
          <w:color w:val="auto"/>
        </w:rPr>
      </w:pPr>
    </w:p>
    <w:p>
      <w:pPr>
        <w:ind w:left="1020" w:right="200" w:hanging="506"/>
        <w:spacing w:after="0" w:line="281" w:lineRule="auto"/>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4"/>
          <w:szCs w:val="14"/>
          <w:color w:val="auto"/>
        </w:rPr>
      </w:pPr>
    </w:p>
    <w:p>
      <w:pPr>
        <w:ind w:left="1540" w:right="20" w:hanging="517"/>
        <w:spacing w:after="0" w:line="281" w:lineRule="auto"/>
        <w:tabs>
          <w:tab w:leader="none" w:pos="1532"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4"/>
          <w:szCs w:val="14"/>
          <w:color w:val="auto"/>
        </w:rPr>
      </w:pPr>
    </w:p>
    <w:p>
      <w:pPr>
        <w:ind w:left="1540" w:hanging="517"/>
        <w:spacing w:after="0"/>
        <w:tabs>
          <w:tab w:leader="none" w:pos="15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ZOOM VIDEO COMMUNICATIONS, INC.</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300" w:type="dxa"/>
            <w:vAlign w:val="bottom"/>
          </w:tcPr>
          <w:p>
            <w:pPr>
              <w:ind w:left="6600"/>
              <w:spacing w:after="0"/>
              <w:rPr>
                <w:sz w:val="20"/>
                <w:szCs w:val="20"/>
                <w:color w:val="auto"/>
              </w:rPr>
            </w:pPr>
            <w:r>
              <w:rPr>
                <w:rFonts w:ascii="Arial" w:cs="Arial" w:eastAsia="Arial" w:hAnsi="Arial"/>
                <w:sz w:val="14"/>
                <w:szCs w:val="14"/>
                <w:color w:val="auto"/>
              </w:rPr>
              <w:t>By:</w:t>
            </w:r>
          </w:p>
        </w:tc>
        <w:tc>
          <w:tcPr>
            <w:tcW w:w="3940" w:type="dxa"/>
            <w:vAlign w:val="bottom"/>
          </w:tcPr>
          <w:p>
            <w:pPr>
              <w:ind w:left="20"/>
              <w:spacing w:after="0"/>
              <w:rPr>
                <w:sz w:val="20"/>
                <w:szCs w:val="20"/>
                <w:color w:val="auto"/>
              </w:rPr>
            </w:pPr>
            <w:r>
              <w:rPr>
                <w:rFonts w:ascii="Arial" w:cs="Arial" w:eastAsia="Arial" w:hAnsi="Arial"/>
                <w:sz w:val="14"/>
                <w:szCs w:val="14"/>
                <w:color w:val="auto"/>
              </w:rPr>
              <w:t>/s/ Eric S. Yuan</w:t>
            </w:r>
          </w:p>
        </w:tc>
      </w:tr>
      <w:tr>
        <w:trPr>
          <w:trHeight w:val="22"/>
        </w:trPr>
        <w:tc>
          <w:tcPr>
            <w:tcW w:w="730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202"/>
        </w:trPr>
        <w:tc>
          <w:tcPr>
            <w:tcW w:w="7300" w:type="dxa"/>
            <w:vAlign w:val="bottom"/>
          </w:tcPr>
          <w:p>
            <w:pPr>
              <w:spacing w:after="0"/>
              <w:rPr>
                <w:sz w:val="20"/>
                <w:szCs w:val="20"/>
                <w:color w:val="auto"/>
              </w:rPr>
            </w:pPr>
            <w:r>
              <w:rPr>
                <w:rFonts w:ascii="Arial" w:cs="Arial" w:eastAsia="Arial" w:hAnsi="Arial"/>
                <w:sz w:val="14"/>
                <w:szCs w:val="14"/>
                <w:color w:val="auto"/>
              </w:rPr>
              <w:t>Date: June 5, 2020</w:t>
            </w:r>
          </w:p>
        </w:tc>
        <w:tc>
          <w:tcPr>
            <w:tcW w:w="3940" w:type="dxa"/>
            <w:vAlign w:val="bottom"/>
          </w:tcPr>
          <w:p>
            <w:pPr>
              <w:ind w:left="20"/>
              <w:spacing w:after="0"/>
              <w:rPr>
                <w:sz w:val="20"/>
                <w:szCs w:val="20"/>
                <w:color w:val="auto"/>
              </w:rPr>
            </w:pPr>
            <w:r>
              <w:rPr>
                <w:rFonts w:ascii="Arial" w:cs="Arial" w:eastAsia="Arial" w:hAnsi="Arial"/>
                <w:sz w:val="14"/>
                <w:szCs w:val="14"/>
                <w:color w:val="auto"/>
              </w:rPr>
              <w:t>Eric S. Yuan</w:t>
            </w:r>
          </w:p>
        </w:tc>
      </w:tr>
      <w:tr>
        <w:trPr>
          <w:trHeight w:val="191"/>
        </w:trPr>
        <w:tc>
          <w:tcPr>
            <w:tcW w:w="730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12"/>
        </w:trPr>
        <w:tc>
          <w:tcPr>
            <w:tcW w:w="73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bl>
    <w:p>
      <w:pPr>
        <w:sectPr>
          <w:pgSz w:w="11900" w:h="16838" w:orient="portrait"/>
          <w:cols w:equalWidth="0" w:num="1">
            <w:col w:w="11280"/>
          </w:cols>
          <w:pgMar w:left="300" w:top="729"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Kelly Steckelberg, certify that:</w:t>
      </w:r>
    </w:p>
    <w:p>
      <w:pPr>
        <w:spacing w:after="0" w:line="147" w:lineRule="exact"/>
        <w:rPr>
          <w:sz w:val="20"/>
          <w:szCs w:val="20"/>
          <w:color w:val="auto"/>
        </w:rPr>
      </w:pPr>
    </w:p>
    <w:p>
      <w:pPr>
        <w:ind w:left="1020" w:hanging="506"/>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57" w:lineRule="exact"/>
        <w:rPr>
          <w:rFonts w:ascii="Arial" w:cs="Arial" w:eastAsia="Arial" w:hAnsi="Arial"/>
          <w:sz w:val="14"/>
          <w:szCs w:val="14"/>
          <w:color w:val="auto"/>
        </w:rPr>
      </w:pPr>
    </w:p>
    <w:p>
      <w:pPr>
        <w:ind w:left="1020" w:right="220" w:hanging="506"/>
        <w:spacing w:after="0" w:line="281"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left="1020" w:right="300" w:hanging="506"/>
        <w:spacing w:after="0" w:line="281"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1020" w:hanging="506"/>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2" w:lineRule="exact"/>
        <w:rPr>
          <w:rFonts w:ascii="Arial" w:cs="Arial" w:eastAsia="Arial" w:hAnsi="Arial"/>
          <w:sz w:val="12"/>
          <w:szCs w:val="12"/>
          <w:color w:val="auto"/>
        </w:rPr>
      </w:pPr>
    </w:p>
    <w:p>
      <w:pPr>
        <w:ind w:left="1020"/>
        <w:spacing w:after="0"/>
        <w:rPr>
          <w:rFonts w:ascii="Arial" w:cs="Arial" w:eastAsia="Arial" w:hAnsi="Arial"/>
          <w:sz w:val="12"/>
          <w:szCs w:val="12"/>
          <w:color w:val="auto"/>
        </w:rPr>
      </w:pPr>
      <w:r>
        <w:rPr>
          <w:rFonts w:ascii="Arial" w:cs="Arial" w:eastAsia="Arial" w:hAnsi="Arial"/>
          <w:sz w:val="14"/>
          <w:szCs w:val="14"/>
          <w:color w:val="auto"/>
        </w:rPr>
        <w:t>15d-15(e)) for the registrant and have:</w:t>
      </w:r>
    </w:p>
    <w:p>
      <w:pPr>
        <w:spacing w:after="0" w:line="147" w:lineRule="exact"/>
        <w:rPr>
          <w:rFonts w:ascii="Arial" w:cs="Arial" w:eastAsia="Arial" w:hAnsi="Arial"/>
          <w:sz w:val="12"/>
          <w:szCs w:val="12"/>
          <w:color w:val="auto"/>
        </w:rPr>
      </w:pPr>
    </w:p>
    <w:p>
      <w:pPr>
        <w:ind w:left="1540" w:hanging="517"/>
        <w:spacing w:after="0" w:line="267" w:lineRule="auto"/>
        <w:tabs>
          <w:tab w:leader="none" w:pos="1532"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ind w:left="1540" w:right="380" w:hanging="517"/>
        <w:spacing w:after="0" w:line="281" w:lineRule="auto"/>
        <w:tabs>
          <w:tab w:leader="none" w:pos="1540"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1540" w:right="40" w:hanging="517"/>
        <w:spacing w:after="0" w:line="267" w:lineRule="auto"/>
        <w:tabs>
          <w:tab w:leader="none" w:pos="1532"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4"/>
          <w:szCs w:val="14"/>
          <w:color w:val="auto"/>
        </w:rPr>
      </w:pPr>
    </w:p>
    <w:p>
      <w:pPr>
        <w:ind w:left="1020" w:right="200" w:hanging="506"/>
        <w:spacing w:after="0" w:line="281"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540" w:right="20" w:hanging="517"/>
        <w:spacing w:after="0" w:line="281" w:lineRule="auto"/>
        <w:tabs>
          <w:tab w:leader="none" w:pos="1532"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4"/>
          <w:szCs w:val="14"/>
          <w:color w:val="auto"/>
        </w:rPr>
      </w:pPr>
    </w:p>
    <w:p>
      <w:pPr>
        <w:ind w:left="1540" w:hanging="517"/>
        <w:spacing w:after="0"/>
        <w:tabs>
          <w:tab w:leader="none" w:pos="1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ZOOM VIDEO COMMUNICATIONS, INC.</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280" w:type="dxa"/>
            <w:vAlign w:val="bottom"/>
          </w:tcPr>
          <w:p>
            <w:pPr>
              <w:ind w:left="6740"/>
              <w:spacing w:after="0"/>
              <w:rPr>
                <w:sz w:val="20"/>
                <w:szCs w:val="20"/>
                <w:color w:val="auto"/>
              </w:rPr>
            </w:pPr>
            <w:r>
              <w:rPr>
                <w:rFonts w:ascii="Arial" w:cs="Arial" w:eastAsia="Arial" w:hAnsi="Arial"/>
                <w:sz w:val="14"/>
                <w:szCs w:val="14"/>
                <w:color w:val="auto"/>
              </w:rPr>
              <w:t>By:</w:t>
            </w:r>
          </w:p>
        </w:tc>
        <w:tc>
          <w:tcPr>
            <w:tcW w:w="3940" w:type="dxa"/>
            <w:vAlign w:val="bottom"/>
          </w:tcPr>
          <w:p>
            <w:pPr>
              <w:ind w:left="20"/>
              <w:spacing w:after="0"/>
              <w:rPr>
                <w:sz w:val="20"/>
                <w:szCs w:val="20"/>
                <w:color w:val="auto"/>
              </w:rPr>
            </w:pPr>
            <w:r>
              <w:rPr>
                <w:rFonts w:ascii="Arial" w:cs="Arial" w:eastAsia="Arial" w:hAnsi="Arial"/>
                <w:sz w:val="14"/>
                <w:szCs w:val="14"/>
                <w:color w:val="auto"/>
              </w:rPr>
              <w:t>/s/ Kelly Steckelberg</w:t>
            </w:r>
          </w:p>
        </w:tc>
      </w:tr>
      <w:tr>
        <w:trPr>
          <w:trHeight w:val="22"/>
        </w:trPr>
        <w:tc>
          <w:tcPr>
            <w:tcW w:w="728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color w:val="auto"/>
              </w:rPr>
              <w:t>Date: June 5, 2020</w:t>
            </w:r>
          </w:p>
        </w:tc>
        <w:tc>
          <w:tcPr>
            <w:tcW w:w="3940" w:type="dxa"/>
            <w:vAlign w:val="bottom"/>
          </w:tcPr>
          <w:p>
            <w:pPr>
              <w:ind w:left="20"/>
              <w:spacing w:after="0"/>
              <w:rPr>
                <w:sz w:val="20"/>
                <w:szCs w:val="20"/>
                <w:color w:val="auto"/>
              </w:rPr>
            </w:pPr>
            <w:r>
              <w:rPr>
                <w:rFonts w:ascii="Arial" w:cs="Arial" w:eastAsia="Arial" w:hAnsi="Arial"/>
                <w:sz w:val="14"/>
                <w:szCs w:val="14"/>
                <w:color w:val="auto"/>
              </w:rPr>
              <w:t>Kelly Steckelberg</w:t>
            </w:r>
          </w:p>
        </w:tc>
      </w:tr>
      <w:tr>
        <w:trPr>
          <w:trHeight w:val="191"/>
        </w:trPr>
        <w:tc>
          <w:tcPr>
            <w:tcW w:w="728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12"/>
        </w:trPr>
        <w:tc>
          <w:tcPr>
            <w:tcW w:w="72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Officer)</w:t>
            </w:r>
          </w:p>
        </w:tc>
      </w:tr>
    </w:tbl>
    <w:p>
      <w:pPr>
        <w:sectPr>
          <w:pgSz w:w="11900" w:h="16838" w:orient="portrait"/>
          <w:cols w:equalWidth="0" w:num="1">
            <w:col w:w="11280"/>
          </w:cols>
          <w:pgMar w:left="300" w:top="867"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 OF THE SARBANES-OXLEY ACT OF 2002</w:t>
      </w:r>
    </w:p>
    <w:p>
      <w:pPr>
        <w:spacing w:after="0" w:line="200" w:lineRule="exact"/>
        <w:rPr>
          <w:sz w:val="20"/>
          <w:szCs w:val="20"/>
          <w:color w:val="auto"/>
        </w:rPr>
      </w:pPr>
    </w:p>
    <w:p>
      <w:pPr>
        <w:spacing w:after="0" w:line="276"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I, Eric S. Yuan, certify, pursuant to 18 U.S.C. Section 1350, as adopted pursuant to Section 906 of the Sarbanes-Oxley Act of 2002, that the Quarterly Report on Form 10-Q of Zoom Video Communications, Inc.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ind w:left="6780"/>
        <w:spacing w:after="0"/>
        <w:rPr>
          <w:sz w:val="20"/>
          <w:szCs w:val="20"/>
          <w:color w:val="auto"/>
        </w:rPr>
      </w:pPr>
      <w:r>
        <w:rPr>
          <w:rFonts w:ascii="Arial" w:cs="Arial" w:eastAsia="Arial" w:hAnsi="Arial"/>
          <w:sz w:val="14"/>
          <w:szCs w:val="14"/>
          <w:b w:val="1"/>
          <w:bCs w:val="1"/>
          <w:color w:val="auto"/>
        </w:rPr>
        <w:t>ZOOM VIDEO COMMUNICATIONS, INC.</w:t>
      </w:r>
    </w:p>
    <w:p>
      <w:pPr>
        <w:spacing w:after="0" w:line="267"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4"/>
          <w:szCs w:val="14"/>
          <w:color w:val="auto"/>
        </w:rPr>
        <w:t>Date: June 5, 2020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26035</wp:posOffset>
            </wp:positionV>
            <wp:extent cx="24993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42"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Eric S. Yuan</w:t>
      </w:r>
    </w:p>
    <w:p>
      <w:pPr>
        <w:spacing w:after="0" w:line="5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President and Chief Executive Officer</w:t>
      </w:r>
    </w:p>
    <w:p>
      <w:pPr>
        <w:spacing w:after="0" w:line="51" w:lineRule="exact"/>
        <w:rPr>
          <w:sz w:val="20"/>
          <w:szCs w:val="20"/>
          <w:color w:val="auto"/>
        </w:rPr>
      </w:pPr>
    </w:p>
    <w:p>
      <w:pPr>
        <w:ind w:left="722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I, Kelly Steckelberg, certify, pursuant to 18 U.S.C. Section 1350, as adopted pursuant to Section 906 of the Sarbanes-Oxley Act of 2002, that the Quarterly Report on Form 10-Q of Zoom Video Communications, Inc.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ind w:left="6780"/>
        <w:spacing w:after="0"/>
        <w:rPr>
          <w:sz w:val="20"/>
          <w:szCs w:val="20"/>
          <w:color w:val="auto"/>
        </w:rPr>
      </w:pPr>
      <w:r>
        <w:rPr>
          <w:rFonts w:ascii="Arial" w:cs="Arial" w:eastAsia="Arial" w:hAnsi="Arial"/>
          <w:sz w:val="14"/>
          <w:szCs w:val="14"/>
          <w:b w:val="1"/>
          <w:bCs w:val="1"/>
          <w:color w:val="auto"/>
        </w:rPr>
        <w:t>ZOOM VIDEO COMMUNICATIONS, INC.</w:t>
      </w:r>
    </w:p>
    <w:p>
      <w:pPr>
        <w:spacing w:after="0" w:line="267"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4"/>
          <w:szCs w:val="14"/>
          <w:color w:val="auto"/>
        </w:rPr>
        <w:t>Date: June 5, 2020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26035</wp:posOffset>
            </wp:positionV>
            <wp:extent cx="24993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42"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Kelly Steckelberg</w:t>
      </w:r>
    </w:p>
    <w:p>
      <w:pPr>
        <w:spacing w:after="0" w:line="5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722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91" Type="http://schemas.openxmlformats.org/officeDocument/2006/relationships/hyperlink" Target="http://www.sec.gov/Archives/edgar/data/1585521/000119312519115111/d736915dex31.htm" TargetMode="External"/><Relationship Id="rId92"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2020-06-05T15:10:40Z</dcterms:created>
  <dcterms:modified xsi:type="dcterms:W3CDTF">2020-06-05T15:10:40Z</dcterms:modified>
</cp:coreProperties>
</file>