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50" w:after="283"/>
        <w:jc w:val="center"/>
        <w:rPr>
          <w:rFonts w:ascii="Times New Roman;sans-serif" w:hAnsi="Times New Roman;sans-serif"/>
          <w:b/>
          <w:color w:val="000000"/>
          <w:sz w:val="30"/>
        </w:rPr>
      </w:pPr>
      <w:r>
        <w:rPr>
          <w:rFonts w:ascii="Times New Roman;sans-serif" w:hAnsi="Times New Roman;sans-serif"/>
          <w:b/>
          <w:color w:val="000000"/>
          <w:sz w:val="30"/>
        </w:rPr>
        <w:t>UNITED STATES</w:t>
      </w:r>
    </w:p>
    <w:p>
      <w:pPr>
        <w:pStyle w:val="TextBody"/>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SECURITIES AND EXCHANGE COMMISSION</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w:t>
      </w:r>
    </w:p>
    <w:p>
      <w:pPr>
        <w:pStyle w:val="TextBody"/>
        <w:spacing w:lineRule="auto" w:line="288" w:before="100" w:after="283"/>
        <w:jc w:val="center"/>
        <w:rPr>
          <w:rFonts w:ascii="Times New Roman;sans-serif" w:hAnsi="Times New Roman;sans-serif"/>
          <w:b/>
          <w:color w:val="000000"/>
          <w:sz w:val="30"/>
        </w:rPr>
      </w:pPr>
      <w:r>
        <w:rPr>
          <w:rFonts w:ascii="Times New Roman;sans-serif" w:hAnsi="Times New Roman;sans-serif"/>
          <w:b/>
          <w:color w:val="000000"/>
          <w:sz w:val="30"/>
        </w:rPr>
        <w:t>FORM 10-Q</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w:t>
      </w:r>
    </w:p>
    <w:p>
      <w:pPr>
        <w:pStyle w:val="TextBody"/>
        <w:spacing w:lineRule="auto" w:line="288" w:before="50" w:after="283"/>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88" w:before="5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April 30, 2022 </w:t>
      </w:r>
    </w:p>
    <w:p>
      <w:pPr>
        <w:pStyle w:val="TextBody"/>
        <w:spacing w:lineRule="auto" w:line="288" w:before="5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spacing w:lineRule="auto" w:line="288" w:before="5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001-38865</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w:t>
      </w:r>
    </w:p>
    <w:p>
      <w:pPr>
        <w:pStyle w:val="TextBody"/>
        <w:spacing w:lineRule="auto" w:line="288" w:before="50" w:after="283"/>
        <w:jc w:val="center"/>
        <w:rPr>
          <w:rFonts w:ascii="Times New Roman;sans-serif" w:hAnsi="Times New Roman;sans-serif"/>
          <w:b/>
          <w:color w:val="000000"/>
          <w:sz w:val="42"/>
        </w:rPr>
      </w:pPr>
      <w:r>
        <w:rPr>
          <w:rFonts w:ascii="Times New Roman;sans-serif" w:hAnsi="Times New Roman;sans-serif"/>
          <w:b/>
          <w:color w:val="000000"/>
          <w:sz w:val="42"/>
        </w:rPr>
        <w:t>Zoom Video Communications, Inc.</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w:t>
      </w:r>
    </w:p>
    <w:tbl>
      <w:tblPr>
        <w:tblW w:w="4048" w:type="dxa"/>
        <w:jc w:val="center"/>
        <w:tblInd w:w="0" w:type="dxa"/>
        <w:tblCellMar>
          <w:top w:w="28" w:type="dxa"/>
          <w:left w:w="28" w:type="dxa"/>
          <w:bottom w:w="28" w:type="dxa"/>
          <w:right w:w="28" w:type="dxa"/>
        </w:tblCellMar>
      </w:tblPr>
      <w:tblGrid>
        <w:gridCol w:w="927"/>
        <w:gridCol w:w="813"/>
        <w:gridCol w:w="824"/>
        <w:gridCol w:w="433"/>
        <w:gridCol w:w="433"/>
        <w:gridCol w:w="618"/>
      </w:tblGrid>
      <w:tr>
        <w:trPr/>
        <w:tc>
          <w:tcPr>
            <w:tcW w:w="927"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61-1648780</w:t>
            </w:r>
          </w:p>
        </w:tc>
      </w:tr>
      <w:tr>
        <w:trPr/>
        <w:tc>
          <w:tcPr>
            <w:tcW w:w="25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 or organization)</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spacing w:lineRule="auto" w:line="288" w:before="50" w:after="283"/>
        <w:jc w:val="center"/>
        <w:rPr/>
      </w:pPr>
      <w:r>
        <w:rPr>
          <w:rFonts w:ascii="Times New Roman;sans-serif" w:hAnsi="Times New Roman;sans-serif"/>
          <w:b/>
          <w:color w:val="000000"/>
          <w:sz w:val="20"/>
        </w:rPr>
        <w:t>55 Almaden Boulevard, 6</w:t>
      </w:r>
      <w:r>
        <w:rPr>
          <w:rFonts w:ascii="Times New Roman;sans-serif" w:hAnsi="Times New Roman;sans-serif"/>
          <w:b/>
          <w:color w:val="000000"/>
          <w:sz w:val="18"/>
        </w:rPr>
        <w:t>th</w:t>
      </w:r>
      <w:r>
        <w:rPr>
          <w:color w:val="000000"/>
        </w:rPr>
        <w:t xml:space="preserve"> </w:t>
      </w:r>
      <w:r>
        <w:rPr>
          <w:rFonts w:ascii="Times New Roman;sans-serif" w:hAnsi="Times New Roman;sans-serif"/>
          <w:b/>
          <w:color w:val="000000"/>
          <w:sz w:val="20"/>
        </w:rPr>
        <w:t>Floor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Jose, California 95113</w:t>
      </w:r>
    </w:p>
    <w:p>
      <w:pPr>
        <w:pStyle w:val="TextBody"/>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(Address of principal executive offices and Zip Code)</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(888) 799-9666</w:t>
      </w:r>
    </w:p>
    <w:p>
      <w:pPr>
        <w:pStyle w:val="TextBody"/>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(Registrant’s telephone number, including area code)</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w:t>
      </w:r>
    </w:p>
    <w:p>
      <w:pPr>
        <w:pStyle w:val="TextBody"/>
        <w:spacing w:lineRule="auto" w:line="288" w:before="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9501" w:type="dxa"/>
        <w:jc w:val="center"/>
        <w:tblInd w:w="0" w:type="dxa"/>
        <w:tblCellMar>
          <w:top w:w="28" w:type="dxa"/>
          <w:left w:w="28" w:type="dxa"/>
          <w:bottom w:w="28" w:type="dxa"/>
          <w:right w:w="28" w:type="dxa"/>
        </w:tblCellMar>
      </w:tblPr>
      <w:tblGrid>
        <w:gridCol w:w="1377"/>
        <w:gridCol w:w="1212"/>
        <w:gridCol w:w="1220"/>
        <w:gridCol w:w="109"/>
        <w:gridCol w:w="109"/>
        <w:gridCol w:w="109"/>
        <w:gridCol w:w="519"/>
        <w:gridCol w:w="519"/>
        <w:gridCol w:w="521"/>
        <w:gridCol w:w="109"/>
        <w:gridCol w:w="109"/>
        <w:gridCol w:w="109"/>
        <w:gridCol w:w="1019"/>
        <w:gridCol w:w="1019"/>
        <w:gridCol w:w="1441"/>
      </w:tblGrid>
      <w:tr>
        <w:trPr/>
        <w:tc>
          <w:tcPr>
            <w:tcW w:w="1377"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8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$0.001 par value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spacing w:lineRule="auto" w:line="288" w:before="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    No ☐ </w:t>
      </w:r>
    </w:p>
    <w:p>
      <w:pPr>
        <w:pStyle w:val="TextBody"/>
        <w:spacing w:lineRule="auto" w:line="288" w:before="5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lineRule="auto" w:line="288" w:before="5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05" w:type="dxa"/>
        <w:jc w:val="left"/>
        <w:tblInd w:w="0" w:type="dxa"/>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54"/>
      </w:tblGrid>
      <w:tr>
        <w:trPr/>
        <w:tc>
          <w:tcPr>
            <w:tcW w:w="74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60" w:after="283"/>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Yes  ☐    No  ☒</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As of May 13, 2022, the number of shares of the registrant’s Class A common stock outstanding was 251,702,995 and the number of shares of the registrant’s Class B common stock outstanding was 46,674,882.</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April 30, 2022</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CellMar>
          <w:top w:w="28" w:type="dxa"/>
          <w:left w:w="28" w:type="dxa"/>
          <w:bottom w:w="28" w:type="dxa"/>
          <w:right w:w="28" w:type="dxa"/>
        </w:tblCellMar>
      </w:tblPr>
      <w:tblGrid>
        <w:gridCol w:w="276"/>
        <w:gridCol w:w="244"/>
        <w:gridCol w:w="246"/>
        <w:gridCol w:w="2980"/>
        <w:gridCol w:w="2953"/>
        <w:gridCol w:w="2964"/>
        <w:gridCol w:w="158"/>
        <w:gridCol w:w="158"/>
        <w:gridCol w:w="226"/>
      </w:tblGrid>
      <w:tr>
        <w:trPr/>
        <w:tc>
          <w:tcPr>
            <w:tcW w:w="27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980" w:type="dxa"/>
            <w:tcBorders/>
            <w:shd w:fill="auto" w:val="clear"/>
            <w:vAlign w:val="center"/>
          </w:tcPr>
          <w:p>
            <w:pPr>
              <w:pStyle w:val="TableContents"/>
              <w:spacing w:before="0" w:after="283"/>
              <w:rPr>
                <w:sz w:val="4"/>
                <w:szCs w:val="4"/>
              </w:rPr>
            </w:pPr>
            <w:r>
              <w:rPr>
                <w:sz w:val="4"/>
                <w:szCs w:val="4"/>
              </w:rPr>
            </w:r>
          </w:p>
        </w:tc>
        <w:tc>
          <w:tcPr>
            <w:tcW w:w="295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16">
              <w:r>
                <w:rPr>
                  <w:rStyle w:val="InternetLink"/>
                  <w:rFonts w:ascii="Times New Roman;sans-serif" w:hAnsi="Times New Roman;sans-serif"/>
                  <w:b w:val="false"/>
                  <w:color w:val="0000FF"/>
                  <w:sz w:val="20"/>
                  <w:u w:val="single"/>
                </w:rPr>
                <w:t>PART I – Financial Information</w:t>
              </w:r>
            </w:hyperlink>
          </w:p>
        </w:tc>
        <w:tc>
          <w:tcPr>
            <w:tcW w:w="5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hyperlink w:anchor="id0a663c2ae3341ed992a9b81c5230853_16">
              <w:r>
                <w:rPr>
                  <w:rStyle w:val="InternetLink"/>
                  <w:rFonts w:ascii="Times New Roman;sans-serif" w:hAnsi="Times New Roman;sans-serif"/>
                  <w:b w:val="false"/>
                  <w:strike w:val="false"/>
                  <w:dstrike w:val="false"/>
                  <w:color w:val="000000"/>
                  <w:sz w:val="20"/>
                  <w:u w:val="none"/>
                  <w:effect w:val="none"/>
                </w:rPr>
                <w:t>6</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19">
              <w:r>
                <w:rPr>
                  <w:rStyle w:val="InternetLink"/>
                  <w:rFonts w:ascii="Times New Roman;sans-serif" w:hAnsi="Times New Roman;sans-serif"/>
                  <w:b w:val="false"/>
                  <w:strike w:val="false"/>
                  <w:dstrike w:val="false"/>
                  <w:color w:val="000000"/>
                  <w:sz w:val="20"/>
                  <w:u w:val="none"/>
                  <w:effect w:val="none"/>
                </w:rPr>
                <w:t>Item 1.</w:t>
              </w:r>
            </w:hyperlink>
          </w:p>
        </w:tc>
        <w:tc>
          <w:tcPr>
            <w:tcW w:w="88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19">
              <w:r>
                <w:rPr>
                  <w:rStyle w:val="InternetLink"/>
                  <w:rFonts w:ascii="Times New Roman;sans-serif" w:hAnsi="Times New Roman;sans-serif"/>
                  <w:b w:val="false"/>
                  <w:color w:val="0000FF"/>
                  <w:sz w:val="20"/>
                  <w:u w:val="single"/>
                </w:rPr>
                <w:t>Financial Statements (Unaudited)</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a663c2ae3341ed992a9b81c5230853_19">
              <w:r>
                <w:rPr>
                  <w:rStyle w:val="InternetLink"/>
                  <w:rFonts w:ascii="Times New Roman;sans-serif" w:hAnsi="Times New Roman;sans-serif"/>
                  <w:b w:val="false"/>
                  <w:strike w:val="false"/>
                  <w:dstrike w:val="false"/>
                  <w:color w:val="000000"/>
                  <w:sz w:val="20"/>
                  <w:u w:val="none"/>
                  <w:effect w:val="none"/>
                </w:rPr>
                <w:t>6</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22">
              <w:r>
                <w:rPr>
                  <w:rStyle w:val="InternetLink"/>
                </w:rPr>
                <w:t xml:space="preserve">Condensed Consolidated Balance Sheets as of </w:t>
              </w:r>
            </w:hyperlink>
            <w:hyperlink w:anchor="id0a663c2ae3341ed992a9b81c5230853_22">
              <w:r>
                <w:rPr>
                  <w:rStyle w:val="InternetLink"/>
                </w:rPr>
                <w:t>April 30, 2022</w:t>
              </w:r>
            </w:hyperlink>
            <w:hyperlink w:anchor="id0a663c2ae3341ed992a9b81c5230853_22">
              <w:r>
                <w:rPr>
                  <w:rStyle w:val="InternetLink"/>
                </w:rPr>
                <w:t xml:space="preserve"> and </w:t>
              </w:r>
            </w:hyperlink>
            <w:hyperlink w:anchor="id0a663c2ae3341ed992a9b81c5230853_22">
              <w:r>
                <w:rPr>
                  <w:rStyle w:val="InternetLink"/>
                </w:rPr>
                <w:t>January 31, 2022</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a663c2ae3341ed992a9b81c5230853_22">
              <w:r>
                <w:rPr>
                  <w:rStyle w:val="InternetLink"/>
                  <w:rFonts w:ascii="Times New Roman;sans-serif" w:hAnsi="Times New Roman;sans-serif"/>
                  <w:b w:val="false"/>
                  <w:strike w:val="false"/>
                  <w:dstrike w:val="false"/>
                  <w:color w:val="000000"/>
                  <w:sz w:val="20"/>
                  <w:u w:val="none"/>
                  <w:effect w:val="none"/>
                </w:rPr>
                <w:t>6</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7" w:type="dxa"/>
            <w:gridSpan w:val="3"/>
            <w:tcBorders/>
            <w:shd w:fill="auto" w:val="clear"/>
            <w:tcMar>
              <w:top w:w="0" w:type="dxa"/>
              <w:left w:w="0" w:type="dxa"/>
              <w:bottom w:w="0" w:type="dxa"/>
              <w:right w:w="0" w:type="dxa"/>
            </w:tcMar>
            <w:vAlign w:val="center"/>
          </w:tcPr>
          <w:p>
            <w:pPr>
              <w:pStyle w:val="TableContents"/>
              <w:spacing w:lineRule="auto" w:line="240" w:before="240" w:after="283"/>
              <w:jc w:val="left"/>
              <w:rPr/>
            </w:pPr>
            <w:hyperlink w:anchor="id0a663c2ae3341ed992a9b81c5230853_25">
              <w:r>
                <w:rPr>
                  <w:rStyle w:val="InternetLink"/>
                </w:rPr>
                <w:t xml:space="preserve">Condensed Consolidated Statements of Operations for the </w:t>
              </w:r>
            </w:hyperlink>
            <w:hyperlink w:anchor="id0a663c2ae3341ed992a9b81c5230853_25">
              <w:r>
                <w:rPr>
                  <w:rStyle w:val="InternetLink"/>
                </w:rPr>
                <w:t xml:space="preserve">Three </w:t>
              </w:r>
            </w:hyperlink>
            <w:hyperlink w:anchor="id0a663c2ae3341ed992a9b81c5230853_25">
              <w:r>
                <w:rPr>
                  <w:rStyle w:val="InternetLink"/>
                </w:rPr>
                <w:t xml:space="preserve">Months Ended </w:t>
              </w:r>
            </w:hyperlink>
            <w:hyperlink w:anchor="id0a663c2ae3341ed992a9b81c5230853_25">
              <w:r>
                <w:rPr>
                  <w:rStyle w:val="InternetLink"/>
                </w:rPr>
                <w:t>April 30, 2022</w:t>
              </w:r>
            </w:hyperlink>
            <w:hyperlink w:anchor="id0a663c2ae3341ed992a9b81c5230853_25">
              <w:r>
                <w:rPr>
                  <w:rStyle w:val="InternetLink"/>
                </w:rPr>
                <w:t xml:space="preserve"> and </w:t>
              </w:r>
            </w:hyperlink>
            <w:hyperlink w:anchor="id0a663c2ae3341ed992a9b81c5230853_25">
              <w:r>
                <w:rPr>
                  <w:rStyle w:val="InternetLink"/>
                </w:rPr>
                <w:t>2021</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a663c2ae3341ed992a9b81c5230853_25">
              <w:r>
                <w:rPr>
                  <w:rStyle w:val="InternetLink"/>
                  <w:rFonts w:ascii="Times New Roman;sans-serif" w:hAnsi="Times New Roman;sans-serif"/>
                  <w:b w:val="false"/>
                  <w:strike w:val="false"/>
                  <w:dstrike w:val="false"/>
                  <w:color w:val="000000"/>
                  <w:sz w:val="20"/>
                  <w:u w:val="none"/>
                  <w:effect w:val="none"/>
                </w:rPr>
                <w:t>7</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7" w:type="dxa"/>
            <w:gridSpan w:val="3"/>
            <w:tcBorders/>
            <w:shd w:fill="auto" w:val="clear"/>
            <w:tcMar>
              <w:top w:w="0" w:type="dxa"/>
              <w:left w:w="0" w:type="dxa"/>
              <w:bottom w:w="0" w:type="dxa"/>
              <w:right w:w="0" w:type="dxa"/>
            </w:tcMar>
            <w:vAlign w:val="center"/>
          </w:tcPr>
          <w:p>
            <w:pPr>
              <w:pStyle w:val="TableContents"/>
              <w:spacing w:lineRule="auto" w:line="240" w:before="240" w:after="283"/>
              <w:jc w:val="left"/>
              <w:rPr/>
            </w:pPr>
            <w:hyperlink w:anchor="id0a663c2ae3341ed992a9b81c5230853_28">
              <w:r>
                <w:rPr>
                  <w:rStyle w:val="InternetLink"/>
                </w:rPr>
                <w:t xml:space="preserve">Condensed Consolidated Statements of Comprehensive Income for the </w:t>
              </w:r>
            </w:hyperlink>
            <w:hyperlink w:anchor="id0a663c2ae3341ed992a9b81c5230853_28">
              <w:r>
                <w:rPr>
                  <w:rStyle w:val="InternetLink"/>
                </w:rPr>
                <w:t xml:space="preserve">Three </w:t>
              </w:r>
            </w:hyperlink>
            <w:hyperlink w:anchor="id0a663c2ae3341ed992a9b81c5230853_28">
              <w:r>
                <w:rPr>
                  <w:rStyle w:val="InternetLink"/>
                </w:rPr>
                <w:t xml:space="preserve">Months Ended </w:t>
              </w:r>
            </w:hyperlink>
            <w:hyperlink w:anchor="id0a663c2ae3341ed992a9b81c5230853_28">
              <w:r>
                <w:rPr>
                  <w:rStyle w:val="InternetLink"/>
                </w:rPr>
                <w:t>April 30, 2022</w:t>
              </w:r>
            </w:hyperlink>
            <w:hyperlink w:anchor="id0a663c2ae3341ed992a9b81c5230853_28">
              <w:r>
                <w:rPr>
                  <w:rStyle w:val="InternetLink"/>
                </w:rPr>
                <w:t xml:space="preserve"> and </w:t>
              </w:r>
            </w:hyperlink>
            <w:hyperlink w:anchor="id0a663c2ae3341ed992a9b81c5230853_28">
              <w:r>
                <w:rPr>
                  <w:rStyle w:val="InternetLink"/>
                </w:rPr>
                <w:t>2021</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a663c2ae3341ed992a9b81c5230853_28">
              <w:r>
                <w:rPr>
                  <w:rStyle w:val="InternetLink"/>
                  <w:rFonts w:ascii="Times New Roman;sans-serif" w:hAnsi="Times New Roman;sans-serif"/>
                  <w:b w:val="false"/>
                  <w:strike w:val="false"/>
                  <w:dstrike w:val="false"/>
                  <w:color w:val="000000"/>
                  <w:sz w:val="20"/>
                  <w:u w:val="none"/>
                  <w:effect w:val="none"/>
                </w:rPr>
                <w:t>8</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7" w:type="dxa"/>
            <w:gridSpan w:val="3"/>
            <w:tcBorders/>
            <w:shd w:fill="auto" w:val="clear"/>
            <w:tcMar>
              <w:top w:w="0" w:type="dxa"/>
              <w:left w:w="0" w:type="dxa"/>
              <w:bottom w:w="0" w:type="dxa"/>
              <w:right w:w="0" w:type="dxa"/>
            </w:tcMar>
            <w:vAlign w:val="center"/>
          </w:tcPr>
          <w:p>
            <w:pPr>
              <w:pStyle w:val="TableContents"/>
              <w:spacing w:lineRule="auto" w:line="240" w:before="240" w:after="283"/>
              <w:jc w:val="left"/>
              <w:rPr/>
            </w:pPr>
            <w:hyperlink w:anchor="id0a663c2ae3341ed992a9b81c5230853_31">
              <w:r>
                <w:rPr>
                  <w:rStyle w:val="InternetLink"/>
                </w:rPr>
                <w:t>Condensed Consolidated Statements of Stockholders’ Equity</w:t>
              </w:r>
            </w:hyperlink>
            <w:hyperlink w:anchor="id0a663c2ae3341ed992a9b81c5230853_31">
              <w:r>
                <w:rPr>
                  <w:rStyle w:val="InternetLink"/>
                </w:rPr>
                <w:t xml:space="preserve"> </w:t>
              </w:r>
            </w:hyperlink>
            <w:hyperlink w:anchor="id0a663c2ae3341ed992a9b81c5230853_31">
              <w:r>
                <w:rPr>
                  <w:rStyle w:val="InternetLink"/>
                </w:rPr>
                <w:t xml:space="preserve">for the </w:t>
              </w:r>
            </w:hyperlink>
            <w:hyperlink w:anchor="id0a663c2ae3341ed992a9b81c5230853_31">
              <w:r>
                <w:rPr>
                  <w:rStyle w:val="InternetLink"/>
                </w:rPr>
                <w:t xml:space="preserve">Three </w:t>
              </w:r>
            </w:hyperlink>
            <w:hyperlink w:anchor="id0a663c2ae3341ed992a9b81c5230853_31">
              <w:r>
                <w:rPr>
                  <w:rStyle w:val="InternetLink"/>
                </w:rPr>
                <w:t xml:space="preserve">Months Ended </w:t>
              </w:r>
            </w:hyperlink>
            <w:hyperlink w:anchor="id0a663c2ae3341ed992a9b81c5230853_31">
              <w:r>
                <w:rPr>
                  <w:rStyle w:val="InternetLink"/>
                </w:rPr>
                <w:t>April 30, 2022</w:t>
              </w:r>
            </w:hyperlink>
            <w:hyperlink w:anchor="id0a663c2ae3341ed992a9b81c5230853_31">
              <w:r>
                <w:rPr>
                  <w:rStyle w:val="InternetLink"/>
                </w:rPr>
                <w:t xml:space="preserve"> and </w:t>
              </w:r>
            </w:hyperlink>
            <w:hyperlink w:anchor="id0a663c2ae3341ed992a9b81c5230853_31">
              <w:r>
                <w:rPr>
                  <w:rStyle w:val="InternetLink"/>
                </w:rPr>
                <w:t>2021</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a663c2ae3341ed992a9b81c5230853_34">
              <w:r>
                <w:rPr>
                  <w:rStyle w:val="InternetLink"/>
                  <w:rFonts w:ascii="Times New Roman;sans-serif" w:hAnsi="Times New Roman;sans-serif"/>
                  <w:b w:val="false"/>
                  <w:strike w:val="false"/>
                  <w:dstrike w:val="false"/>
                  <w:color w:val="000000"/>
                  <w:sz w:val="20"/>
                  <w:u w:val="none"/>
                  <w:effect w:val="none"/>
                </w:rPr>
                <w:t>9</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37">
              <w:r>
                <w:rPr>
                  <w:rStyle w:val="InternetLink"/>
                </w:rPr>
                <w:t xml:space="preserve">Condensed Consolidated Statements of Cash Flows for the </w:t>
              </w:r>
            </w:hyperlink>
            <w:hyperlink w:anchor="id0a663c2ae3341ed992a9b81c5230853_37">
              <w:r>
                <w:rPr>
                  <w:rStyle w:val="InternetLink"/>
                </w:rPr>
                <w:t>Three Months Ended</w:t>
              </w:r>
            </w:hyperlink>
            <w:hyperlink w:anchor="id0a663c2ae3341ed992a9b81c5230853_37">
              <w:r>
                <w:rPr>
                  <w:rStyle w:val="InternetLink"/>
                </w:rPr>
                <w:t xml:space="preserve"> </w:t>
              </w:r>
            </w:hyperlink>
            <w:hyperlink w:anchor="id0a663c2ae3341ed992a9b81c5230853_37">
              <w:r>
                <w:rPr>
                  <w:rStyle w:val="InternetLink"/>
                </w:rPr>
                <w:t>April 30, 2022</w:t>
              </w:r>
            </w:hyperlink>
            <w:hyperlink w:anchor="id0a663c2ae3341ed992a9b81c5230853_37">
              <w:r>
                <w:rPr>
                  <w:rStyle w:val="InternetLink"/>
                </w:rPr>
                <w:t xml:space="preserve"> and </w:t>
              </w:r>
            </w:hyperlink>
            <w:hyperlink w:anchor="id0a663c2ae3341ed992a9b81c5230853_37">
              <w:r>
                <w:rPr>
                  <w:rStyle w:val="InternetLink"/>
                </w:rPr>
                <w:t>2021</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a663c2ae3341ed992a9b81c5230853_37">
              <w:r>
                <w:rPr>
                  <w:rStyle w:val="InternetLink"/>
                  <w:rFonts w:ascii="Times New Roman;sans-serif" w:hAnsi="Times New Roman;sans-serif"/>
                  <w:b w:val="false"/>
                  <w:strike w:val="false"/>
                  <w:dstrike w:val="false"/>
                  <w:color w:val="000000"/>
                  <w:sz w:val="20"/>
                  <w:u w:val="none"/>
                  <w:effect w:val="none"/>
                </w:rPr>
                <w:t>10</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40">
              <w:r>
                <w:rPr>
                  <w:rStyle w:val="InternetLink"/>
                  <w:rFonts w:ascii="Times New Roman;sans-serif" w:hAnsi="Times New Roman;sans-serif"/>
                  <w:b w:val="false"/>
                  <w:color w:val="0000FF"/>
                  <w:sz w:val="20"/>
                  <w:u w:val="single"/>
                </w:rPr>
                <w:t>Notes to Condensed Consolidated Financial Statements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a663c2ae3341ed992a9b81c5230853_40">
              <w:r>
                <w:rPr>
                  <w:rStyle w:val="InternetLink"/>
                  <w:rFonts w:ascii="Times New Roman;sans-serif" w:hAnsi="Times New Roman;sans-serif"/>
                  <w:b w:val="false"/>
                  <w:strike w:val="false"/>
                  <w:dstrike w:val="false"/>
                  <w:color w:val="000000"/>
                  <w:sz w:val="20"/>
                  <w:u w:val="none"/>
                  <w:effect w:val="none"/>
                </w:rPr>
                <w:t>11</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85">
              <w:r>
                <w:rPr>
                  <w:rStyle w:val="InternetLink"/>
                  <w:rFonts w:ascii="Times New Roman;sans-serif" w:hAnsi="Times New Roman;sans-serif"/>
                  <w:b w:val="false"/>
                  <w:strike w:val="false"/>
                  <w:dstrike w:val="false"/>
                  <w:color w:val="000000"/>
                  <w:sz w:val="20"/>
                  <w:u w:val="none"/>
                  <w:effect w:val="none"/>
                </w:rPr>
                <w:t>Item 2.</w:t>
              </w:r>
            </w:hyperlink>
          </w:p>
        </w:tc>
        <w:tc>
          <w:tcPr>
            <w:tcW w:w="88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a663c2ae3341ed992a9b81c5230853_85">
              <w:r>
                <w:rPr>
                  <w:rStyle w:val="InternetLink"/>
                  <w:rFonts w:ascii="Times New Roman;sans-serif" w:hAnsi="Times New Roman;sans-serif"/>
                  <w:b w:val="false"/>
                  <w:strike w:val="false"/>
                  <w:dstrike w:val="false"/>
                  <w:color w:val="000000"/>
                  <w:sz w:val="20"/>
                  <w:u w:val="none"/>
                  <w:effect w:val="none"/>
                </w:rPr>
                <w:t>21</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124">
              <w:r>
                <w:rPr>
                  <w:rStyle w:val="InternetLink"/>
                  <w:rFonts w:ascii="Times New Roman;sans-serif" w:hAnsi="Times New Roman;sans-serif"/>
                  <w:b w:val="false"/>
                  <w:strike w:val="false"/>
                  <w:dstrike w:val="false"/>
                  <w:color w:val="000000"/>
                  <w:sz w:val="20"/>
                  <w:u w:val="none"/>
                  <w:effect w:val="none"/>
                </w:rPr>
                <w:t>Item 3.</w:t>
              </w:r>
            </w:hyperlink>
          </w:p>
        </w:tc>
        <w:tc>
          <w:tcPr>
            <w:tcW w:w="88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124">
              <w:r>
                <w:rPr>
                  <w:rStyle w:val="InternetLink"/>
                  <w:rFonts w:ascii="Times New Roman;sans-serif" w:hAnsi="Times New Roman;sans-serif"/>
                  <w:b w:val="false"/>
                  <w:color w:val="0000FF"/>
                  <w:sz w:val="20"/>
                  <w:u w:val="single"/>
                </w:rPr>
                <w:t>Quantitative and Qualitative Disclosures About Market Risk</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a663c2ae3341ed992a9b81c5230853_124">
              <w:r>
                <w:rPr>
                  <w:rStyle w:val="InternetLink"/>
                  <w:rFonts w:ascii="Times New Roman;sans-serif" w:hAnsi="Times New Roman;sans-serif"/>
                  <w:b w:val="false"/>
                  <w:strike w:val="false"/>
                  <w:dstrike w:val="false"/>
                  <w:color w:val="000000"/>
                  <w:sz w:val="20"/>
                  <w:u w:val="none"/>
                  <w:effect w:val="none"/>
                </w:rPr>
                <w:t>31</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127">
              <w:r>
                <w:rPr>
                  <w:rStyle w:val="InternetLink"/>
                  <w:rFonts w:ascii="Times New Roman;sans-serif" w:hAnsi="Times New Roman;sans-serif"/>
                  <w:b w:val="false"/>
                  <w:strike w:val="false"/>
                  <w:dstrike w:val="false"/>
                  <w:color w:val="000000"/>
                  <w:sz w:val="20"/>
                  <w:u w:val="none"/>
                  <w:effect w:val="none"/>
                </w:rPr>
                <w:t>Item 4.</w:t>
              </w:r>
            </w:hyperlink>
          </w:p>
        </w:tc>
        <w:tc>
          <w:tcPr>
            <w:tcW w:w="88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127">
              <w:r>
                <w:rPr>
                  <w:rStyle w:val="InternetLink"/>
                  <w:rFonts w:ascii="Times New Roman;sans-serif" w:hAnsi="Times New Roman;sans-serif"/>
                  <w:b w:val="false"/>
                  <w:color w:val="0000FF"/>
                  <w:sz w:val="20"/>
                  <w:u w:val="single"/>
                </w:rPr>
                <w:t>Controls and Procedures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a663c2ae3341ed992a9b81c5230853_127">
              <w:r>
                <w:rPr>
                  <w:rStyle w:val="InternetLink"/>
                  <w:rFonts w:ascii="Times New Roman;sans-serif" w:hAnsi="Times New Roman;sans-serif"/>
                  <w:b w:val="false"/>
                  <w:strike w:val="false"/>
                  <w:dstrike w:val="false"/>
                  <w:color w:val="000000"/>
                  <w:sz w:val="20"/>
                  <w:u w:val="none"/>
                  <w:effect w:val="none"/>
                </w:rPr>
                <w:t>31</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130">
              <w:r>
                <w:rPr>
                  <w:rStyle w:val="InternetLink"/>
                  <w:rFonts w:ascii="Times New Roman;sans-serif" w:hAnsi="Times New Roman;sans-serif"/>
                  <w:b w:val="false"/>
                  <w:color w:val="0000FF"/>
                  <w:sz w:val="20"/>
                  <w:u w:val="single"/>
                </w:rPr>
                <w:t>PART II – Other Information</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a663c2ae3341ed992a9b81c5230853_130">
              <w:r>
                <w:rPr>
                  <w:rStyle w:val="InternetLink"/>
                  <w:rFonts w:ascii="Times New Roman;sans-serif" w:hAnsi="Times New Roman;sans-serif"/>
                  <w:b w:val="false"/>
                  <w:strike w:val="false"/>
                  <w:dstrike w:val="false"/>
                  <w:color w:val="000000"/>
                  <w:sz w:val="20"/>
                  <w:u w:val="none"/>
                  <w:effect w:val="none"/>
                </w:rPr>
                <w:t>33</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133">
              <w:r>
                <w:rPr>
                  <w:rStyle w:val="InternetLink"/>
                  <w:rFonts w:ascii="Times New Roman;sans-serif" w:hAnsi="Times New Roman;sans-serif"/>
                  <w:b w:val="false"/>
                  <w:strike w:val="false"/>
                  <w:dstrike w:val="false"/>
                  <w:color w:val="000000"/>
                  <w:sz w:val="20"/>
                  <w:u w:val="none"/>
                  <w:effect w:val="none"/>
                </w:rPr>
                <w:t>Item 1.</w:t>
              </w:r>
            </w:hyperlink>
          </w:p>
        </w:tc>
        <w:tc>
          <w:tcPr>
            <w:tcW w:w="88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133">
              <w:r>
                <w:rPr>
                  <w:rStyle w:val="InternetLink"/>
                  <w:rFonts w:ascii="Times New Roman;sans-serif" w:hAnsi="Times New Roman;sans-serif"/>
                  <w:b w:val="false"/>
                  <w:color w:val="0000FF"/>
                  <w:sz w:val="20"/>
                  <w:u w:val="single"/>
                </w:rPr>
                <w:t>Legal Proceedings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a663c2ae3341ed992a9b81c5230853_133">
              <w:r>
                <w:rPr>
                  <w:rStyle w:val="InternetLink"/>
                  <w:rFonts w:ascii="Times New Roman;sans-serif" w:hAnsi="Times New Roman;sans-serif"/>
                  <w:b w:val="false"/>
                  <w:strike w:val="false"/>
                  <w:dstrike w:val="false"/>
                  <w:color w:val="000000"/>
                  <w:sz w:val="20"/>
                  <w:u w:val="none"/>
                  <w:effect w:val="none"/>
                </w:rPr>
                <w:t>33</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136">
              <w:r>
                <w:rPr>
                  <w:rStyle w:val="InternetLink"/>
                  <w:rFonts w:ascii="Times New Roman;sans-serif" w:hAnsi="Times New Roman;sans-serif"/>
                  <w:b w:val="false"/>
                  <w:strike w:val="false"/>
                  <w:dstrike w:val="false"/>
                  <w:color w:val="000000"/>
                  <w:sz w:val="20"/>
                  <w:u w:val="none"/>
                  <w:effect w:val="none"/>
                </w:rPr>
                <w:t>Item 1A</w:t>
              </w:r>
            </w:hyperlink>
          </w:p>
        </w:tc>
        <w:tc>
          <w:tcPr>
            <w:tcW w:w="88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136">
              <w:r>
                <w:rPr>
                  <w:rStyle w:val="InternetLink"/>
                  <w:rFonts w:ascii="Times New Roman;sans-serif" w:hAnsi="Times New Roman;sans-serif"/>
                  <w:b w:val="false"/>
                  <w:color w:val="0000FF"/>
                  <w:sz w:val="20"/>
                  <w:u w:val="single"/>
                </w:rPr>
                <w:t>Risk Factors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a663c2ae3341ed992a9b81c5230853_136">
              <w:r>
                <w:rPr>
                  <w:rStyle w:val="InternetLink"/>
                  <w:rFonts w:ascii="Times New Roman;sans-serif" w:hAnsi="Times New Roman;sans-serif"/>
                  <w:b w:val="false"/>
                  <w:strike w:val="false"/>
                  <w:dstrike w:val="false"/>
                  <w:color w:val="000000"/>
                  <w:sz w:val="20"/>
                  <w:u w:val="none"/>
                  <w:effect w:val="none"/>
                </w:rPr>
                <w:t>33</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139">
              <w:r>
                <w:rPr>
                  <w:rStyle w:val="InternetLink"/>
                  <w:rFonts w:ascii="Times New Roman;sans-serif" w:hAnsi="Times New Roman;sans-serif"/>
                  <w:b w:val="false"/>
                  <w:strike w:val="false"/>
                  <w:dstrike w:val="false"/>
                  <w:color w:val="000000"/>
                  <w:sz w:val="20"/>
                  <w:u w:val="none"/>
                  <w:effect w:val="none"/>
                </w:rPr>
                <w:t>Item 2.</w:t>
              </w:r>
            </w:hyperlink>
          </w:p>
        </w:tc>
        <w:tc>
          <w:tcPr>
            <w:tcW w:w="88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139">
              <w:r>
                <w:rPr>
                  <w:rStyle w:val="InternetLink"/>
                  <w:rFonts w:ascii="Times New Roman;sans-serif" w:hAnsi="Times New Roman;sans-serif"/>
                  <w:b w:val="false"/>
                  <w:color w:val="0000FF"/>
                  <w:sz w:val="20"/>
                  <w:u w:val="single"/>
                </w:rPr>
                <w:t>Unregistered Sales of Equity Securities and Use of Proceeds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a663c2ae3341ed992a9b81c5230853_139">
              <w:r>
                <w:rPr>
                  <w:rStyle w:val="InternetLink"/>
                  <w:rFonts w:ascii="Times New Roman;sans-serif" w:hAnsi="Times New Roman;sans-serif"/>
                  <w:b w:val="false"/>
                  <w:strike w:val="false"/>
                  <w:dstrike w:val="false"/>
                  <w:color w:val="000000"/>
                  <w:sz w:val="20"/>
                  <w:u w:val="none"/>
                  <w:effect w:val="none"/>
                </w:rPr>
                <w:t>63</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142">
              <w:r>
                <w:rPr>
                  <w:rStyle w:val="InternetLink"/>
                  <w:rFonts w:ascii="Times New Roman;sans-serif" w:hAnsi="Times New Roman;sans-serif"/>
                  <w:b w:val="false"/>
                  <w:strike w:val="false"/>
                  <w:dstrike w:val="false"/>
                  <w:color w:val="000000"/>
                  <w:sz w:val="20"/>
                  <w:u w:val="none"/>
                  <w:effect w:val="none"/>
                </w:rPr>
                <w:t>Item 3.</w:t>
              </w:r>
            </w:hyperlink>
          </w:p>
        </w:tc>
        <w:tc>
          <w:tcPr>
            <w:tcW w:w="88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142">
              <w:r>
                <w:rPr>
                  <w:rStyle w:val="InternetLink"/>
                  <w:rFonts w:ascii="Times New Roman;sans-serif" w:hAnsi="Times New Roman;sans-serif"/>
                  <w:b w:val="false"/>
                  <w:color w:val="0000FF"/>
                  <w:sz w:val="20"/>
                  <w:u w:val="single"/>
                </w:rPr>
                <w:t>Defaults Upon Senior Securities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a663c2ae3341ed992a9b81c5230853_142">
              <w:r>
                <w:rPr>
                  <w:rStyle w:val="InternetLink"/>
                  <w:rFonts w:ascii="Times New Roman;sans-serif" w:hAnsi="Times New Roman;sans-serif"/>
                  <w:b w:val="false"/>
                  <w:strike w:val="false"/>
                  <w:dstrike w:val="false"/>
                  <w:color w:val="000000"/>
                  <w:sz w:val="20"/>
                  <w:u w:val="none"/>
                  <w:effect w:val="none"/>
                </w:rPr>
                <w:t>63</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145">
              <w:r>
                <w:rPr>
                  <w:rStyle w:val="InternetLink"/>
                  <w:rFonts w:ascii="Times New Roman;sans-serif" w:hAnsi="Times New Roman;sans-serif"/>
                  <w:b w:val="false"/>
                  <w:strike w:val="false"/>
                  <w:dstrike w:val="false"/>
                  <w:color w:val="000000"/>
                  <w:sz w:val="20"/>
                  <w:u w:val="none"/>
                  <w:effect w:val="none"/>
                </w:rPr>
                <w:t>Item 4.</w:t>
              </w:r>
            </w:hyperlink>
          </w:p>
        </w:tc>
        <w:tc>
          <w:tcPr>
            <w:tcW w:w="88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145">
              <w:r>
                <w:rPr>
                  <w:rStyle w:val="InternetLink"/>
                  <w:rFonts w:ascii="Times New Roman;sans-serif" w:hAnsi="Times New Roman;sans-serif"/>
                  <w:b w:val="false"/>
                  <w:color w:val="0000FF"/>
                  <w:sz w:val="20"/>
                  <w:u w:val="single"/>
                </w:rPr>
                <w:t>Mine Safety Disclosures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a663c2ae3341ed992a9b81c5230853_145">
              <w:r>
                <w:rPr>
                  <w:rStyle w:val="InternetLink"/>
                  <w:rFonts w:ascii="Times New Roman;sans-serif" w:hAnsi="Times New Roman;sans-serif"/>
                  <w:b w:val="false"/>
                  <w:strike w:val="false"/>
                  <w:dstrike w:val="false"/>
                  <w:color w:val="000000"/>
                  <w:sz w:val="20"/>
                  <w:u w:val="none"/>
                  <w:effect w:val="none"/>
                </w:rPr>
                <w:t>63</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148">
              <w:r>
                <w:rPr>
                  <w:rStyle w:val="InternetLink"/>
                  <w:rFonts w:ascii="Times New Roman;sans-serif" w:hAnsi="Times New Roman;sans-serif"/>
                  <w:b w:val="false"/>
                  <w:strike w:val="false"/>
                  <w:dstrike w:val="false"/>
                  <w:color w:val="000000"/>
                  <w:sz w:val="20"/>
                  <w:u w:val="none"/>
                  <w:effect w:val="none"/>
                </w:rPr>
                <w:t>Item 5.</w:t>
              </w:r>
            </w:hyperlink>
          </w:p>
        </w:tc>
        <w:tc>
          <w:tcPr>
            <w:tcW w:w="88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148">
              <w:r>
                <w:rPr>
                  <w:rStyle w:val="InternetLink"/>
                  <w:rFonts w:ascii="Times New Roman;sans-serif" w:hAnsi="Times New Roman;sans-serif"/>
                  <w:b w:val="false"/>
                  <w:color w:val="0000FF"/>
                  <w:sz w:val="20"/>
                  <w:u w:val="single"/>
                </w:rPr>
                <w:t>Other Information</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a663c2ae3341ed992a9b81c5230853_148">
              <w:r>
                <w:rPr>
                  <w:rStyle w:val="InternetLink"/>
                  <w:rFonts w:ascii="Times New Roman;sans-serif" w:hAnsi="Times New Roman;sans-serif"/>
                  <w:b w:val="false"/>
                  <w:strike w:val="false"/>
                  <w:dstrike w:val="false"/>
                  <w:color w:val="000000"/>
                  <w:sz w:val="20"/>
                  <w:u w:val="none"/>
                  <w:effect w:val="none"/>
                </w:rPr>
                <w:t>63</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151">
              <w:r>
                <w:rPr>
                  <w:rStyle w:val="InternetLink"/>
                  <w:rFonts w:ascii="Times New Roman;sans-serif" w:hAnsi="Times New Roman;sans-serif"/>
                  <w:b w:val="false"/>
                  <w:strike w:val="false"/>
                  <w:dstrike w:val="false"/>
                  <w:color w:val="000000"/>
                  <w:sz w:val="20"/>
                  <w:u w:val="none"/>
                  <w:effect w:val="none"/>
                </w:rPr>
                <w:t>Item 6.</w:t>
              </w:r>
            </w:hyperlink>
          </w:p>
        </w:tc>
        <w:tc>
          <w:tcPr>
            <w:tcW w:w="88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151">
              <w:r>
                <w:rPr>
                  <w:rStyle w:val="InternetLink"/>
                  <w:rFonts w:ascii="Times New Roman;sans-serif" w:hAnsi="Times New Roman;sans-serif"/>
                  <w:b w:val="false"/>
                  <w:color w:val="0000FF"/>
                  <w:sz w:val="20"/>
                  <w:u w:val="single"/>
                </w:rPr>
                <w:t>Exhibits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a663c2ae3341ed992a9b81c5230853_151">
              <w:r>
                <w:rPr>
                  <w:rStyle w:val="InternetLink"/>
                  <w:rFonts w:ascii="Times New Roman;sans-serif" w:hAnsi="Times New Roman;sans-serif"/>
                  <w:b w:val="false"/>
                  <w:strike w:val="false"/>
                  <w:dstrike w:val="false"/>
                  <w:color w:val="000000"/>
                  <w:sz w:val="20"/>
                  <w:u w:val="none"/>
                  <w:effect w:val="none"/>
                </w:rPr>
                <w:t>64</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a663c2ae3341ed992a9b81c5230853_154">
              <w:r>
                <w:rPr>
                  <w:rStyle w:val="InternetLink"/>
                  <w:rFonts w:ascii="Times New Roman;sans-serif" w:hAnsi="Times New Roman;sans-serif"/>
                  <w:b w:val="false"/>
                  <w:color w:val="0000FF"/>
                  <w:sz w:val="20"/>
                  <w:u w:val="single"/>
                </w:rPr>
                <w:t>Signatures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a663c2ae3341ed992a9b81c5230853_154">
              <w:r>
                <w:rPr>
                  <w:rStyle w:val="InternetLink"/>
                  <w:rFonts w:ascii="Times New Roman;sans-serif" w:hAnsi="Times New Roman;sans-serif"/>
                  <w:b w:val="false"/>
                  <w:strike w:val="false"/>
                  <w:dstrike w:val="false"/>
                  <w:color w:val="000000"/>
                  <w:sz w:val="20"/>
                  <w:u w:val="none"/>
                  <w:effect w:val="none"/>
                </w:rPr>
                <w:t>65</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97205"/>
                <wp:effectExtent l="0" t="0" r="0" b="0"/>
                <wp:wrapNone/>
                <wp:docPr id="2" name="Frame2"/>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including our statements regarding the benefits and timing of the roll 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Quarterly Report on Form 10-Q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market trends; our market position and opportunity; our growth strategy and business aspirations for our communications platform; our product strategy; our efforts to enhance the security and privacy of our platform; the potential impacts of the COVID-19 pandemic recovery and related public health measures on our business, the business of our customers, suppliers and channel partners, and the economy; our ability to become the ubiquitous platform for communications; our ability to attract new customers and retain existing customers; our ability to successfully expand into our existing markets and into new markets; our ability to effectively manage our growth and future expenses; and the impact of recent accounting pronouncements on our unaudited condensed consolidated financial statements.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Quarterly Report on Form 10-Q and the documents that we reference in this Quarterly Report on Form 10-Q and have filed with the Securities and Exchange Commission as exhibits to this Quarterly Report on Form 10-Q with the understanding that our actual future results, levels of activity, performance, and events and circumstances may be materially different from what we expect.</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97205"/>
                <wp:effectExtent l="0" t="0" r="0" b="0"/>
                <wp:wrapNone/>
                <wp:docPr id="3" name="Frame3"/>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SUMMARY RISK FACTORS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Investing in our Class A common stock involves numerous risks, including the risks described in “Part II—Other Information, Item 1A. Risk Factors” of this Quarterly Report on Form 10-Q. Below are some of these risks, any one of which could materially adversely affect our business, financial condition, results of operations, and prospects.</w:t>
      </w:r>
    </w:p>
    <w:p>
      <w:pPr>
        <w:pStyle w:val="TextBody"/>
        <w:spacing w:lineRule="auto" w:line="288" w:before="120" w:after="283"/>
        <w:ind w:left="0" w:right="0" w:hanging="180"/>
        <w:jc w:val="both"/>
        <w:rPr/>
      </w:pPr>
      <w:r>
        <w:rPr>
          <w:color w:val="000000"/>
        </w:rPr>
        <w:t>•</w:t>
      </w:r>
      <w:r>
        <w:rPr>
          <w:rFonts w:ascii="Times New Roman;sans-serif" w:hAnsi="Times New Roman;sans-serif"/>
          <w:b w:val="false"/>
          <w:color w:val="000000"/>
          <w:sz w:val="20"/>
        </w:rPr>
        <w:t>Our business depends on our ability to attract new customers, retain and upsell additional products and new product categories to existing customers, and upgrade free users to our paid offerings. Any decline in new customers, renewals, or upgrades would harm our business.</w:t>
      </w:r>
    </w:p>
    <w:p>
      <w:pPr>
        <w:pStyle w:val="TextBody"/>
        <w:spacing w:lineRule="auto" w:line="288" w:before="120" w:after="283"/>
        <w:ind w:left="0" w:right="0" w:hanging="180"/>
        <w:jc w:val="both"/>
        <w:rPr/>
      </w:pPr>
      <w:r>
        <w:rPr>
          <w:color w:val="000000"/>
        </w:rPr>
        <w:t>•</w:t>
      </w:r>
      <w:r>
        <w:rPr>
          <w:rFonts w:ascii="Times New Roman;sans-serif" w:hAnsi="Times New Roman;sans-serif"/>
          <w:b w:val="false"/>
          <w:color w:val="000000"/>
          <w:sz w:val="20"/>
        </w:rPr>
        <w:t>While we continue to add paid users to our customer base, we expect our user growth rate to continue to slow or decline as the impact of the COVID-19 pandemic continues to taper, particularly as users return to work or school or are otherwise no longer subject to limitations on in-person meetings.</w:t>
      </w:r>
    </w:p>
    <w:p>
      <w:pPr>
        <w:pStyle w:val="TextBody"/>
        <w:spacing w:lineRule="auto" w:line="288" w:before="120" w:after="283"/>
        <w:ind w:left="0" w:right="0" w:hanging="180"/>
        <w:jc w:val="both"/>
        <w:rPr/>
      </w:pPr>
      <w:r>
        <w:rPr>
          <w:color w:val="000000"/>
        </w:rPr>
        <w:t>•</w:t>
      </w:r>
      <w:r>
        <w:rPr>
          <w:rFonts w:ascii="Times New Roman;sans-serif" w:hAnsi="Times New Roman;sans-serif"/>
          <w:b w:val="false"/>
          <w:color w:val="000000"/>
          <w:sz w:val="20"/>
        </w:rPr>
        <w:t>Our revenue growth rate has begun to decline, and we expect our revenue growth rate to generally decline in future periods.</w:t>
      </w:r>
    </w:p>
    <w:p>
      <w:pPr>
        <w:pStyle w:val="TextBody"/>
        <w:spacing w:lineRule="auto" w:line="288" w:before="120" w:after="283"/>
        <w:ind w:left="0" w:right="0" w:hanging="180"/>
        <w:jc w:val="both"/>
        <w:rPr/>
      </w:pPr>
      <w:r>
        <w:rPr>
          <w:color w:val="000000"/>
        </w:rPr>
        <w:t>•</w:t>
      </w:r>
      <w:r>
        <w:rPr>
          <w:rFonts w:ascii="Times New Roman;sans-serif" w:hAnsi="Times New Roman;sans-serif"/>
          <w:b w:val="false"/>
          <w:color w:val="000000"/>
          <w:sz w:val="20"/>
        </w:rPr>
        <w:t>Interruptions, delays, or outages in service from our co-located data centers and a variety of other factors would impair the delivery of our services, require us to issue credits or pay penalties, and harm our business.</w:t>
      </w:r>
    </w:p>
    <w:p>
      <w:pPr>
        <w:pStyle w:val="TextBody"/>
        <w:spacing w:lineRule="auto" w:line="288" w:before="120" w:after="283"/>
        <w:ind w:left="0" w:right="0" w:hanging="180"/>
        <w:jc w:val="both"/>
        <w:rPr/>
      </w:pPr>
      <w:r>
        <w:rPr>
          <w:color w:val="000000"/>
        </w:rPr>
        <w:t>•</w:t>
      </w:r>
      <w:r>
        <w:rPr>
          <w:rFonts w:ascii="Times New Roman;sans-serif" w:hAnsi="Times New Roman;sans-serif"/>
          <w:b w:val="false"/>
          <w:color w:val="000000"/>
          <w:sz w:val="20"/>
        </w:rPr>
        <w:t>We operate in competitive markets, and we must continue to compete effectively.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In addition, as we introduce new products and services, and with the introduction of new technologies and market entrants, we expect competition to intensify in the future.</w:t>
      </w:r>
    </w:p>
    <w:p>
      <w:pPr>
        <w:pStyle w:val="TextBody"/>
        <w:spacing w:lineRule="auto" w:line="288" w:before="120" w:after="283"/>
        <w:ind w:left="0" w:right="0" w:hanging="180"/>
        <w:jc w:val="both"/>
        <w:rPr/>
      </w:pPr>
      <w:r>
        <w:rPr>
          <w:color w:val="000000"/>
        </w:rPr>
        <w:t>•</w:t>
      </w:r>
      <w:r>
        <w:rPr>
          <w:rFonts w:ascii="Times New Roman;sans-serif" w:hAnsi="Times New Roman;sans-serif"/>
          <w:b w:val="false"/>
          <w:color w:val="000000"/>
          <w:sz w:val="20"/>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pStyle w:val="TextBody"/>
        <w:spacing w:lineRule="auto" w:line="288" w:before="120" w:after="283"/>
        <w:ind w:left="0" w:right="0" w:hanging="180"/>
        <w:jc w:val="both"/>
        <w:rPr/>
      </w:pPr>
      <w:r>
        <w:rPr>
          <w:color w:val="000000"/>
        </w:rPr>
        <w:t>•</w:t>
      </w:r>
      <w:r>
        <w:rPr>
          <w:rFonts w:ascii="Times New Roman;sans-serif" w:hAnsi="Times New Roman;sans-serif"/>
          <w:b w:val="false"/>
          <w:color w:val="000000"/>
          <w:sz w:val="20"/>
        </w:rPr>
        <w:t>As we increase sales to large organizations, our sales cycles could lengthen, and we could experience greater deployment challenges.</w:t>
      </w:r>
    </w:p>
    <w:p>
      <w:pPr>
        <w:pStyle w:val="TextBody"/>
        <w:spacing w:lineRule="auto" w:line="288" w:before="120" w:after="283"/>
        <w:ind w:left="0" w:right="0" w:hanging="180"/>
        <w:jc w:val="both"/>
        <w:rPr/>
      </w:pPr>
      <w:r>
        <w:rPr>
          <w:color w:val="000000"/>
        </w:rPr>
        <w:t>•</w:t>
      </w:r>
      <w:r>
        <w:rPr>
          <w:rFonts w:ascii="Times New Roman;sans-serif" w:hAnsi="Times New Roman;sans-serif"/>
          <w:b w:val="false"/>
          <w:color w:val="000000"/>
          <w:sz w:val="20"/>
        </w:rPr>
        <w:t>We generate revenue from sales of subscriptions to our platform, and any decline in demand for our platform or for communications and collaboration technologies in general would harm our business.</w:t>
      </w:r>
    </w:p>
    <w:p>
      <w:pPr>
        <w:pStyle w:val="TextBody"/>
        <w:spacing w:lineRule="auto" w:line="288" w:before="120" w:after="283"/>
        <w:ind w:left="0" w:right="0" w:hanging="180"/>
        <w:jc w:val="both"/>
        <w:rPr/>
      </w:pPr>
      <w:r>
        <w:rPr>
          <w:color w:val="000000"/>
        </w:rPr>
        <w:t>•</w:t>
      </w:r>
      <w:r>
        <w:rPr>
          <w:rFonts w:ascii="Times New Roman;sans-serif" w:hAnsi="Times New Roman;sans-serif"/>
          <w:b w:val="false"/>
          <w:color w:val="000000"/>
          <w:sz w:val="20"/>
        </w:rPr>
        <w:t>We expect to continue to increase our expenses in the future, which could decrease our profitability or prevent us from maintaining profitability.</w:t>
      </w:r>
    </w:p>
    <w:p>
      <w:pPr>
        <w:pStyle w:val="TextBody"/>
        <w:spacing w:lineRule="auto" w:line="288" w:before="120" w:after="283"/>
        <w:ind w:left="0" w:right="0" w:hanging="180"/>
        <w:jc w:val="both"/>
        <w:rPr/>
      </w:pPr>
      <w:r>
        <w:rPr>
          <w:color w:val="000000"/>
        </w:rPr>
        <w:t>•</w:t>
      </w:r>
      <w:r>
        <w:rPr>
          <w:rFonts w:ascii="Times New Roman;sans-serif" w:hAnsi="Times New Roman;sans-serif"/>
          <w:b w:val="false"/>
          <w:color w:val="000000"/>
          <w:sz w:val="20"/>
        </w:rPr>
        <w:t>We may not be able to respond to rapid technological changes, extend our platform or develop new features.</w:t>
      </w:r>
    </w:p>
    <w:p>
      <w:pPr>
        <w:pStyle w:val="TextBody"/>
        <w:spacing w:lineRule="auto" w:line="288" w:before="120" w:after="283"/>
        <w:ind w:left="0" w:right="0" w:hanging="180"/>
        <w:jc w:val="both"/>
        <w:rPr/>
      </w:pPr>
      <w:r>
        <w:rPr>
          <w:color w:val="000000"/>
        </w:rPr>
        <w:t>•</w:t>
      </w:r>
      <w:r>
        <w:rPr>
          <w:rFonts w:ascii="Times New Roman;sans-serif" w:hAnsi="Times New Roman;sans-serif"/>
          <w:b w:val="false"/>
          <w:color w:val="000000"/>
          <w:sz w:val="20"/>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pStyle w:val="TextBody"/>
        <w:spacing w:lineRule="auto" w:line="288" w:before="120" w:after="283"/>
        <w:ind w:left="0" w:right="0" w:hanging="180"/>
        <w:jc w:val="both"/>
        <w:rPr/>
      </w:pPr>
      <w:r>
        <w:rPr>
          <w:color w:val="000000"/>
        </w:rPr>
        <w:t>•</w:t>
      </w:r>
      <w:r>
        <w:rPr>
          <w:rFonts w:ascii="Times New Roman;sans-serif" w:hAnsi="Times New Roman;sans-serif"/>
          <w:b w:val="false"/>
          <w:color w:val="000000"/>
          <w:sz w:val="20"/>
        </w:rPr>
        <w:t>We have a limited operating history at the current scale of our business, which makes it difficult to evaluate our prospects and future results of operations.</w:t>
      </w:r>
    </w:p>
    <w:p>
      <w:pPr>
        <w:pStyle w:val="TextBody"/>
        <w:spacing w:lineRule="auto" w:line="288" w:before="120" w:after="283"/>
        <w:ind w:left="0" w:right="0" w:hanging="180"/>
        <w:jc w:val="both"/>
        <w:rPr/>
      </w:pPr>
      <w:r>
        <w:rPr>
          <w:color w:val="000000"/>
        </w:rPr>
        <w:t>•</w:t>
      </w:r>
      <w:r>
        <w:rPr>
          <w:rFonts w:ascii="Times New Roman;sans-serif" w:hAnsi="Times New Roman;sans-serif"/>
          <w:b w:val="false"/>
          <w:color w:val="000000"/>
          <w:sz w:val="20"/>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pStyle w:val="TextBody"/>
        <w:spacing w:lineRule="auto" w:line="288" w:before="120" w:after="283"/>
        <w:ind w:left="0" w:right="0" w:hanging="180"/>
        <w:jc w:val="both"/>
        <w:rPr/>
      </w:pPr>
      <w:r>
        <w:rPr>
          <w:color w:val="000000"/>
        </w:rPr>
        <w:t>•</w:t>
      </w:r>
      <w:r>
        <w:rPr>
          <w:rFonts w:ascii="Times New Roman;sans-serif" w:hAnsi="Times New Roman;sans-serif"/>
          <w:b w:val="false"/>
          <w:color w:val="000000"/>
          <w:sz w:val="20"/>
        </w:rPr>
        <w:t>If we were to lose the services of our Chief Executive Officer or other members of our senior management team, we may not be able to execute our business strategy.</w:t>
      </w:r>
    </w:p>
    <w:p>
      <w:pPr>
        <w:pStyle w:val="TextBody"/>
        <w:spacing w:lineRule="auto" w:line="288" w:before="120" w:after="283"/>
        <w:ind w:left="0" w:right="0" w:hanging="180"/>
        <w:jc w:val="both"/>
        <w:rPr/>
      </w:pPr>
      <w:r>
        <w:rPr>
          <w:color w:val="000000"/>
        </w:rPr>
        <w:t>•</w:t>
      </w:r>
      <w:r>
        <w:rPr>
          <w:rFonts w:ascii="Times New Roman;sans-serif" w:hAnsi="Times New Roman;sans-serif"/>
          <w:b w:val="false"/>
          <w:color w:val="000000"/>
          <w:sz w:val="20"/>
        </w:rPr>
        <w:t>We have significant and expanding operations outside the United States, which may subject us to increased business, regulatory and economic risks that could harm our business.</w:t>
      </w:r>
    </w:p>
    <w:p>
      <w:pPr>
        <w:pStyle w:val="TextBody"/>
        <w:spacing w:lineRule="auto" w:line="288" w:before="120" w:after="283"/>
        <w:ind w:left="0" w:right="0" w:hanging="180"/>
        <w:jc w:val="both"/>
        <w:rPr/>
      </w:pPr>
      <w:r>
        <w:rPr>
          <w:color w:val="000000"/>
        </w:rPr>
        <w:t>•</w:t>
      </w:r>
      <w:r>
        <w:rPr>
          <w:rFonts w:ascii="Times New Roman;sans-serif" w:hAnsi="Times New Roman;sans-serif"/>
          <w:b w:val="false"/>
          <w:color w:val="000000"/>
          <w:sz w:val="20"/>
        </w:rPr>
        <w:t xml:space="preserve">We may be subject to, or assist law enforcement with enforcement of, a variety of U.S. and international laws that could result in claims, increase the cost of operations, or otherwise harm our business due to changes in the laws, </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97205"/>
                <wp:effectExtent l="0" t="0" r="0" b="0"/>
                <wp:wrapNone/>
                <wp:docPr id="4" name="Frame4"/>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interpretations of the laws, greater enforcement of the laws, or investigations into compliance with the laws.</w:t>
      </w:r>
    </w:p>
    <w:p>
      <w:pPr>
        <w:pStyle w:val="TextBody"/>
        <w:spacing w:lineRule="auto" w:line="288" w:before="120" w:after="283"/>
        <w:ind w:left="0" w:right="0" w:hanging="180"/>
        <w:jc w:val="both"/>
        <w:rPr/>
      </w:pPr>
      <w:r>
        <w:rPr>
          <w:color w:val="000000"/>
        </w:rPr>
        <w:t>•</w:t>
      </w:r>
      <w:r>
        <w:rPr>
          <w:rFonts w:ascii="Times New Roman;sans-serif" w:hAnsi="Times New Roman;sans-serif"/>
          <w:b w:val="false"/>
          <w:color w:val="000000"/>
          <w:sz w:val="20"/>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pStyle w:val="TextBody"/>
        <w:spacing w:lineRule="auto" w:line="288" w:before="120" w:after="283"/>
        <w:ind w:left="0" w:right="0" w:hanging="180"/>
        <w:jc w:val="both"/>
        <w:rPr/>
      </w:pPr>
      <w:r>
        <w:rPr>
          <w:color w:val="000000"/>
        </w:rPr>
        <w:t>•</w:t>
      </w:r>
      <w:r>
        <w:rPr>
          <w:rFonts w:ascii="Times New Roman;sans-serif" w:hAnsi="Times New Roman;sans-serif"/>
          <w:b w:val="false"/>
          <w:color w:val="000000"/>
          <w:sz w:val="20"/>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adequately address these and other risks we face, our business may be harmed.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7205"/>
                <wp:effectExtent l="0" t="0" r="0" b="0"/>
                <wp:wrapNone/>
                <wp:docPr id="5" name="Frame5"/>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CellMar>
          <w:top w:w="28" w:type="dxa"/>
          <w:left w:w="28" w:type="dxa"/>
          <w:bottom w:w="28" w:type="dxa"/>
          <w:right w:w="28" w:type="dxa"/>
        </w:tblCellMar>
      </w:tblPr>
      <w:tblGrid>
        <w:gridCol w:w="2916"/>
        <w:gridCol w:w="2301"/>
        <w:gridCol w:w="2263"/>
        <w:gridCol w:w="196"/>
        <w:gridCol w:w="871"/>
        <w:gridCol w:w="109"/>
        <w:gridCol w:w="109"/>
        <w:gridCol w:w="109"/>
        <w:gridCol w:w="109"/>
        <w:gridCol w:w="196"/>
        <w:gridCol w:w="871"/>
        <w:gridCol w:w="155"/>
      </w:tblGrid>
      <w:tr>
        <w:trPr/>
        <w:tc>
          <w:tcPr>
            <w:tcW w:w="2916" w:type="dxa"/>
            <w:tcBorders/>
            <w:shd w:fill="auto" w:val="clear"/>
            <w:vAlign w:val="center"/>
          </w:tcPr>
          <w:p>
            <w:pPr>
              <w:pStyle w:val="TableContents"/>
              <w:spacing w:before="0" w:after="283"/>
              <w:rPr>
                <w:sz w:val="4"/>
                <w:szCs w:val="4"/>
              </w:rPr>
            </w:pPr>
            <w:r>
              <w:rPr>
                <w:sz w:val="4"/>
                <w:szCs w:val="4"/>
              </w:rPr>
            </w:r>
          </w:p>
        </w:tc>
        <w:tc>
          <w:tcPr>
            <w:tcW w:w="2301" w:type="dxa"/>
            <w:tcBorders/>
            <w:shd w:fill="auto" w:val="clear"/>
            <w:vAlign w:val="center"/>
          </w:tcPr>
          <w:p>
            <w:pPr>
              <w:pStyle w:val="TableContents"/>
              <w:spacing w:before="0" w:after="283"/>
              <w:rPr>
                <w:sz w:val="4"/>
                <w:szCs w:val="4"/>
              </w:rPr>
            </w:pPr>
            <w:r>
              <w:rPr>
                <w:sz w:val="4"/>
                <w:szCs w:val="4"/>
              </w:rPr>
            </w:r>
          </w:p>
        </w:tc>
        <w:tc>
          <w:tcPr>
            <w:tcW w:w="226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w:t>
              <w:br/>
              <w:t>2022</w:t>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1,407,305 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1,062,820 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4,318,974 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4,356,446 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allowances of $27,527 and $24,696 as of April 30, 2022 and January 31, 2022, respectively</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483,879 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419,673 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contract acquisition costs, current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211,575 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199,266 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145,602 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6,564,278 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6,183,807 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contract acquisition costs, noncurrent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164,714 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240,611 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222,354 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95,965 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Strategic investments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367,814 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27,607 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419,979 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382,296 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noncurrent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106,761 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7,956,713 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7,551,318 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430,415 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current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1,286,403 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1,141,435 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1,579,691 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noncurrent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38,481 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noncurrent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85,018 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 noncurrent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68,110 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1,771,300 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6)</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per share, 200,000,000 shares authorized as of April 30, 2022 and January 31, 2022; zero shares issued and outstanding as of April 30, 2022 and January 31, 2022</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per share, 2,000,000,000 Class A shares authorized as of April 30, 2022 and January 31, 2022; 252,153,721 and 247,044,454 shares issued and outstanding as of April 30, 2022 and January 31, 2022, respectively; 300,000,000 Class B shares authorized as of April 30, 2022 and January 31, 2022; 46,670,512 and 51,993,351 shares issued and outstanding as of April 30, 2022 and January 31, 2022, respectively</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3,831,060 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3,749,514 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(17,902)</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2,161,765 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2,048,107 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5,947,887 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5,780,018 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7,956,713 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7,551,318 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97205"/>
                <wp:effectExtent l="0" t="0" r="0" b="0"/>
                <wp:wrapNone/>
                <wp:docPr id="6" name="Frame6"/>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2406"/>
        <w:gridCol w:w="1902"/>
        <w:gridCol w:w="1904"/>
        <w:gridCol w:w="109"/>
        <w:gridCol w:w="109"/>
        <w:gridCol w:w="132"/>
        <w:gridCol w:w="132"/>
        <w:gridCol w:w="132"/>
        <w:gridCol w:w="132"/>
        <w:gridCol w:w="256"/>
        <w:gridCol w:w="1187"/>
        <w:gridCol w:w="132"/>
        <w:gridCol w:w="109"/>
        <w:gridCol w:w="109"/>
        <w:gridCol w:w="109"/>
        <w:gridCol w:w="241"/>
        <w:gridCol w:w="945"/>
        <w:gridCol w:w="159"/>
      </w:tblGrid>
      <w:tr>
        <w:trPr/>
        <w:tc>
          <w:tcPr>
            <w:tcW w:w="2406" w:type="dxa"/>
            <w:tcBorders/>
            <w:shd w:fill="auto" w:val="clear"/>
            <w:vAlign w:val="center"/>
          </w:tcPr>
          <w:p>
            <w:pPr>
              <w:pStyle w:val="TableContents"/>
              <w:spacing w:before="0" w:after="283"/>
              <w:rPr>
                <w:sz w:val="4"/>
                <w:szCs w:val="4"/>
              </w:rPr>
            </w:pPr>
            <w:r>
              <w:rPr>
                <w:sz w:val="4"/>
                <w:szCs w:val="4"/>
              </w:rPr>
            </w:r>
          </w:p>
        </w:tc>
        <w:tc>
          <w:tcPr>
            <w:tcW w:w="1902" w:type="dxa"/>
            <w:tcBorders/>
            <w:shd w:fill="auto" w:val="clear"/>
            <w:vAlign w:val="center"/>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3"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672" w:type="dxa"/>
            <w:gridSpan w:val="6"/>
            <w:tcBorders/>
            <w:shd w:fill="auto" w:val="clear"/>
          </w:tcPr>
          <w:p>
            <w:pPr>
              <w:pStyle w:val="TableContents"/>
              <w:spacing w:before="0" w:after="283"/>
              <w:rPr>
                <w:sz w:val="4"/>
                <w:szCs w:val="4"/>
              </w:rPr>
            </w:pPr>
            <w:r>
              <w:rPr>
                <w:sz w:val="4"/>
                <w:szCs w:val="4"/>
              </w:rPr>
            </w:r>
          </w:p>
        </w:tc>
      </w:tr>
      <w:tr>
        <w:trPr/>
        <w:tc>
          <w:tcPr>
            <w:tcW w:w="62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1,073,800 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956,237 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261,821 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264,994 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811,979 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691,243 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144,291 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362,783 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245,667 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117,840 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154,089 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624,914 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464,931 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187,065 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226,312 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on strategic investments,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(36,404)</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(6,989)</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6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143,672 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228,931 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30,014 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113,658 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227,531 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Undistributed earnings attributable to participating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113,640 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227,383 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per share attributable to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299,147,105 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293,794,778 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306,614,220 </w:t>
            </w:r>
          </w:p>
        </w:tc>
        <w:tc>
          <w:tcPr>
            <w:tcW w:w="1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305,412,419 </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97205"/>
                <wp:effectExtent l="0" t="0" r="0" b="0"/>
                <wp:wrapNone/>
                <wp:docPr id="7" name="Frame7"/>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714" w:type="dxa"/>
        <w:jc w:val="center"/>
        <w:tblInd w:w="0" w:type="dxa"/>
        <w:tblCellMar>
          <w:top w:w="28" w:type="dxa"/>
          <w:left w:w="28" w:type="dxa"/>
          <w:bottom w:w="28" w:type="dxa"/>
          <w:right w:w="28" w:type="dxa"/>
        </w:tblCellMar>
      </w:tblPr>
      <w:tblGrid>
        <w:gridCol w:w="2058"/>
        <w:gridCol w:w="1804"/>
        <w:gridCol w:w="1822"/>
        <w:gridCol w:w="109"/>
        <w:gridCol w:w="109"/>
        <w:gridCol w:w="158"/>
        <w:gridCol w:w="158"/>
        <w:gridCol w:w="158"/>
        <w:gridCol w:w="158"/>
        <w:gridCol w:w="306"/>
        <w:gridCol w:w="1198"/>
        <w:gridCol w:w="158"/>
        <w:gridCol w:w="109"/>
        <w:gridCol w:w="109"/>
        <w:gridCol w:w="109"/>
        <w:gridCol w:w="211"/>
        <w:gridCol w:w="826"/>
        <w:gridCol w:w="154"/>
      </w:tblGrid>
      <w:tr>
        <w:trPr/>
        <w:tc>
          <w:tcPr>
            <w:tcW w:w="2058" w:type="dxa"/>
            <w:tcBorders/>
            <w:shd w:fill="auto" w:val="clear"/>
            <w:vAlign w:val="center"/>
          </w:tcPr>
          <w:p>
            <w:pPr>
              <w:pStyle w:val="TableContents"/>
              <w:spacing w:before="0" w:after="283"/>
              <w:rPr>
                <w:sz w:val="4"/>
                <w:szCs w:val="4"/>
              </w:rPr>
            </w:pPr>
            <w:r>
              <w:rPr>
                <w:sz w:val="4"/>
                <w:szCs w:val="4"/>
              </w:rPr>
            </w:r>
          </w:p>
        </w:tc>
        <w:tc>
          <w:tcPr>
            <w:tcW w:w="1804" w:type="dxa"/>
            <w:tcBorders/>
            <w:shd w:fill="auto" w:val="clear"/>
            <w:vAlign w:val="center"/>
          </w:tcPr>
          <w:p>
            <w:pPr>
              <w:pStyle w:val="TableContents"/>
              <w:spacing w:before="0" w:after="283"/>
              <w:rPr>
                <w:sz w:val="4"/>
                <w:szCs w:val="4"/>
              </w:rPr>
            </w:pPr>
            <w:r>
              <w:rPr>
                <w:sz w:val="4"/>
                <w:szCs w:val="4"/>
              </w:rPr>
            </w:r>
          </w:p>
        </w:tc>
        <w:tc>
          <w:tcPr>
            <w:tcW w:w="18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4"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518" w:type="dxa"/>
            <w:gridSpan w:val="6"/>
            <w:tcBorders/>
            <w:shd w:fill="auto" w:val="clear"/>
          </w:tcPr>
          <w:p>
            <w:pPr>
              <w:pStyle w:val="TableContents"/>
              <w:spacing w:before="0" w:after="283"/>
              <w:rPr>
                <w:sz w:val="4"/>
                <w:szCs w:val="4"/>
              </w:rPr>
            </w:pPr>
            <w:r>
              <w:rPr>
                <w:sz w:val="4"/>
                <w:szCs w:val="4"/>
              </w:rPr>
            </w:r>
          </w:p>
        </w:tc>
      </w:tr>
      <w:tr>
        <w:trPr/>
        <w:tc>
          <w:tcPr>
            <w:tcW w:w="56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113,658 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available-for-sale marketable securities,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(27,335)</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86,323 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97205"/>
                <wp:effectExtent l="0" t="0" r="0" b="0"/>
                <wp:wrapNone/>
                <wp:docPr id="8" name="Frame8"/>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770"/>
        <w:gridCol w:w="239"/>
        <w:gridCol w:w="242"/>
        <w:gridCol w:w="109"/>
        <w:gridCol w:w="109"/>
        <w:gridCol w:w="109"/>
        <w:gridCol w:w="155"/>
        <w:gridCol w:w="155"/>
        <w:gridCol w:w="588"/>
        <w:gridCol w:w="463"/>
        <w:gridCol w:w="156"/>
        <w:gridCol w:w="109"/>
        <w:gridCol w:w="109"/>
        <w:gridCol w:w="109"/>
        <w:gridCol w:w="235"/>
        <w:gridCol w:w="505"/>
        <w:gridCol w:w="131"/>
        <w:gridCol w:w="109"/>
        <w:gridCol w:w="109"/>
        <w:gridCol w:w="109"/>
        <w:gridCol w:w="202"/>
        <w:gridCol w:w="900"/>
        <w:gridCol w:w="114"/>
        <w:gridCol w:w="109"/>
        <w:gridCol w:w="109"/>
        <w:gridCol w:w="109"/>
        <w:gridCol w:w="197"/>
        <w:gridCol w:w="669"/>
        <w:gridCol w:w="110"/>
        <w:gridCol w:w="109"/>
        <w:gridCol w:w="109"/>
        <w:gridCol w:w="109"/>
        <w:gridCol w:w="197"/>
        <w:gridCol w:w="879"/>
        <w:gridCol w:w="110"/>
        <w:gridCol w:w="109"/>
        <w:gridCol w:w="109"/>
        <w:gridCol w:w="109"/>
        <w:gridCol w:w="196"/>
        <w:gridCol w:w="871"/>
        <w:gridCol w:w="159"/>
      </w:tblGrid>
      <w:tr>
        <w:trPr/>
        <w:tc>
          <w:tcPr>
            <w:tcW w:w="77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2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317"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 2022</w:t>
            </w:r>
          </w:p>
        </w:tc>
      </w:tr>
      <w:tr>
        <w:trPr/>
        <w:tc>
          <w:tcPr>
            <w:tcW w:w="12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7" w:type="dxa"/>
            <w:gridSpan w:val="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Equity</w:t>
            </w:r>
          </w:p>
        </w:tc>
        <w:tc>
          <w:tcPr>
            <w:tcW w:w="1553" w:type="dxa"/>
            <w:gridSpan w:val="6"/>
            <w:tcBorders/>
            <w:shd w:fill="auto" w:val="clear"/>
          </w:tcPr>
          <w:p>
            <w:pPr>
              <w:pStyle w:val="TableContents"/>
              <w:spacing w:before="0" w:after="283"/>
              <w:rPr>
                <w:sz w:val="4"/>
                <w:szCs w:val="4"/>
              </w:rPr>
            </w:pPr>
            <w:r>
              <w:rPr>
                <w:sz w:val="4"/>
                <w:szCs w:val="4"/>
              </w:rPr>
            </w:r>
          </w:p>
        </w:tc>
      </w:tr>
      <w:tr>
        <w:trPr/>
        <w:tc>
          <w:tcPr>
            <w:tcW w:w="12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87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21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97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18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2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January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299,037,805 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3,749,514 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(17,902)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2,048,107 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5,780,018 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543,518 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release of restricted stock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467,160 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(1,224,250)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(132,411)</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(132,412)</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210,614 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210,614 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(27,335)</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(27,335)</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113,658 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113,658 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April 30,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298,824,233 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3,831,060 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(45,237)</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2,161,765 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5,947,887 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754"/>
        <w:gridCol w:w="218"/>
        <w:gridCol w:w="220"/>
        <w:gridCol w:w="109"/>
        <w:gridCol w:w="109"/>
        <w:gridCol w:w="109"/>
        <w:gridCol w:w="153"/>
        <w:gridCol w:w="153"/>
        <w:gridCol w:w="588"/>
        <w:gridCol w:w="463"/>
        <w:gridCol w:w="154"/>
        <w:gridCol w:w="109"/>
        <w:gridCol w:w="109"/>
        <w:gridCol w:w="109"/>
        <w:gridCol w:w="235"/>
        <w:gridCol w:w="505"/>
        <w:gridCol w:w="131"/>
        <w:gridCol w:w="230"/>
        <w:gridCol w:w="230"/>
        <w:gridCol w:w="231"/>
        <w:gridCol w:w="204"/>
        <w:gridCol w:w="909"/>
        <w:gridCol w:w="115"/>
        <w:gridCol w:w="109"/>
        <w:gridCol w:w="109"/>
        <w:gridCol w:w="109"/>
        <w:gridCol w:w="203"/>
        <w:gridCol w:w="437"/>
        <w:gridCol w:w="114"/>
        <w:gridCol w:w="109"/>
        <w:gridCol w:w="109"/>
        <w:gridCol w:w="109"/>
        <w:gridCol w:w="206"/>
        <w:gridCol w:w="774"/>
        <w:gridCol w:w="116"/>
        <w:gridCol w:w="109"/>
        <w:gridCol w:w="109"/>
        <w:gridCol w:w="109"/>
        <w:gridCol w:w="196"/>
        <w:gridCol w:w="871"/>
        <w:gridCol w:w="160"/>
      </w:tblGrid>
      <w:tr>
        <w:trPr/>
        <w:tc>
          <w:tcPr>
            <w:tcW w:w="75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1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380"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 2021</w:t>
            </w:r>
          </w:p>
        </w:tc>
      </w:tr>
      <w:tr>
        <w:trPr/>
        <w:tc>
          <w:tcPr>
            <w:tcW w:w="11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1" w:type="dxa"/>
            <w:gridSpan w:val="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6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c>
          <w:tcPr>
            <w:tcW w:w="1554" w:type="dxa"/>
            <w:gridSpan w:val="6"/>
            <w:tcBorders/>
            <w:shd w:fill="auto" w:val="clear"/>
          </w:tcPr>
          <w:p>
            <w:pPr>
              <w:pStyle w:val="TableContents"/>
              <w:spacing w:before="0" w:after="283"/>
              <w:rPr>
                <w:sz w:val="4"/>
                <w:szCs w:val="4"/>
              </w:rPr>
            </w:pPr>
            <w:r>
              <w:rPr>
                <w:sz w:val="4"/>
                <w:szCs w:val="4"/>
              </w:rPr>
            </w:r>
          </w:p>
        </w:tc>
      </w:tr>
      <w:tr>
        <w:trPr/>
        <w:tc>
          <w:tcPr>
            <w:tcW w:w="11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228"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2"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January 31,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293,549,223 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3,187,168 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672,468 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3,860,767 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751,686 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release of restricted stock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211,036 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101,598 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101,598 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227,531 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227,531 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April 30,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294,511,945 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3,292,241 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899,999 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4,192,733 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97205"/>
                <wp:effectExtent l="0" t="0" r="0" b="0"/>
                <wp:wrapNone/>
                <wp:docPr id="9" name="Frame9"/>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2816"/>
        <w:gridCol w:w="2328"/>
        <w:gridCol w:w="2336"/>
        <w:gridCol w:w="196"/>
        <w:gridCol w:w="871"/>
        <w:gridCol w:w="109"/>
        <w:gridCol w:w="109"/>
        <w:gridCol w:w="109"/>
        <w:gridCol w:w="109"/>
        <w:gridCol w:w="196"/>
        <w:gridCol w:w="871"/>
        <w:gridCol w:w="155"/>
      </w:tblGrid>
      <w:tr>
        <w:trPr/>
        <w:tc>
          <w:tcPr>
            <w:tcW w:w="2816" w:type="dxa"/>
            <w:tcBorders/>
            <w:shd w:fill="auto" w:val="clear"/>
            <w:vAlign w:val="center"/>
          </w:tcPr>
          <w:p>
            <w:pPr>
              <w:pStyle w:val="TableContents"/>
              <w:spacing w:before="0" w:after="283"/>
              <w:rPr>
                <w:sz w:val="4"/>
                <w:szCs w:val="4"/>
              </w:rPr>
            </w:pPr>
            <w:r>
              <w:rPr>
                <w:sz w:val="4"/>
                <w:szCs w:val="4"/>
              </w:rPr>
            </w:r>
          </w:p>
        </w:tc>
        <w:tc>
          <w:tcPr>
            <w:tcW w:w="2328" w:type="dxa"/>
            <w:tcBorders/>
            <w:shd w:fill="auto" w:val="clear"/>
            <w:vAlign w:val="center"/>
          </w:tcPr>
          <w:p>
            <w:pPr>
              <w:pStyle w:val="TableContents"/>
              <w:spacing w:before="0" w:after="283"/>
              <w:rPr>
                <w:sz w:val="4"/>
                <w:szCs w:val="4"/>
              </w:rPr>
            </w:pPr>
            <w:r>
              <w:rPr>
                <w:sz w:val="4"/>
                <w:szCs w:val="4"/>
              </w:rPr>
            </w:r>
          </w:p>
        </w:tc>
        <w:tc>
          <w:tcPr>
            <w:tcW w:w="233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7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227,531 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209,363 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98,969 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contract acquisition costs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37,766 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Losses on strategic investments, net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accounts receivable allowances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lease cost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on marketable securities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(75,665)</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(29,975)</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contract acquisition costs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(47,813)</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liabilities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88,656 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152,974 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210,896 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net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(3,513)</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533,302 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marketable securities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(611,662)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(1,425,451)</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Maturities of marketable securities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609,327 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291,047 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(79,074)</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strategic investments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intangible assets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(1,219,978)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repurchases of common stock</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(132,412)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employee equity transactions remitted to employees and tax authorities, net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(9,984)</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cash equivalents, and restricted cash</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cash equivalents, and restricted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(692,955)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 beginning of period</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1,073,353 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2,293,116 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1,414,502 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1,600,161 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cash, cash equivalents, and restricted cash within the condensed consolidated balance sheets to the amounts shown in the condensed consolidated statements of cash flows above:</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1,407,305 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1,557,270 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current included in 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40,648 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noncurrent included in other assets, noncurrent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1,414,502 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1,600,161 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97205"/>
                <wp:effectExtent l="0" t="0" r="0" b="0"/>
                <wp:wrapNone/>
                <wp:docPr id="10" name="Frame10"/>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pPr>
      <w:r>
        <w:rPr>
          <w:rFonts w:ascii="Times New Roman;sans-serif" w:hAnsi="Times New Roman;sans-serif"/>
          <w:b/>
          <w:color w:val="000000"/>
          <w:sz w:val="20"/>
        </w:rPr>
        <w:t>1.</w:t>
      </w:r>
      <w:r>
        <w:rPr>
          <w:rFonts w:ascii="Times New Roman;sans-serif" w:hAnsi="Times New Roman;sans-serif"/>
          <w:b/>
          <w:color w:val="000000"/>
          <w:sz w:val="20"/>
        </w:rPr>
        <w:t>Summary of Business and Significant Accounting Policies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Video Communications, Inc. and its subsidiaries (collectively, “Zoom,” the “Company,” “we,” “us,” or “our”) connect people through our core unified communications offering, which frictionlessly brings together video, phone, chat, webinars events, and contact center, and enables meaningful experiences across disparate devices and locations. We were incorporated in the state of Delaware in April 2011, and are headquartered in San Jose, California.</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Fiscal Year</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fiscal year ends on January 31. References to fiscal year 2023, for example, refer to the fiscal year ending January 31, 2023.</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generally accepted accounting principles in the United States of America (“GAAP”) and applicable regulations of the Securities and Exchange Commission (“SEC”) regarding interim financial reporting, and include the accounts of Zoom Video Communications, Inc., its subsidiaries, and variable interest entities for which we are the primary beneficiary. All intercompany balances and transactions have been eliminated in consolidation.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balance sheet as of January 31, 2022 included herein was derived from the audited financial statements as of that date, but does not include all disclosures, including certain notes required by GAAP on an annual reporting basis. The unaudited condensed consolidated financial statements reflect all normal recurring adjustments necessary to present fairly the balance sheets, statements of operations, statements of comprehensive income, statements of stockholders’ equity, and statements of cash flows for the interim periods, but are not necessarily indicative of the results of operations to be anticipated for the full fiscal year or any future period.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should be read in conjunction with the audited consolidated financial statements and notes included in our Annual Report on Form 10-K for the year ended January 31, 2022, filed with the SEC on March 7, 2022.</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the useful lives of long-lived assets, the incremental borrowing rate for operating leases, stock-based compensation expense, sales and other tax liabilities, the fair value of marketable securities and strategic investments, acquired intangible assets and goodwill, the valuation of deferred income tax assets and uncertain tax positions, and accruals and contingencies. Actual results could materially differ from those estimates.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discussed in Note 1. “Summary of Business and Significant Accounting Policies” in the notes to consolidated financial statements included in our Annual Report on Form 10-K for the year ended January 31, 2022, filed with the SEC on March 7, 2022. There have been no significant changes to these policies during the three months ended April 30,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97205"/>
                <wp:effectExtent l="0" t="0" r="0" b="0"/>
                <wp:wrapNone/>
                <wp:docPr id="11" name="Frame11"/>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2.    Revenue Recognition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revenue by region based on the billing address of customers:</w:t>
      </w:r>
    </w:p>
    <w:tbl>
      <w:tblPr>
        <w:tblW w:w="10205" w:type="dxa"/>
        <w:jc w:val="left"/>
        <w:tblInd w:w="0" w:type="dxa"/>
        <w:tblCellMar>
          <w:top w:w="28" w:type="dxa"/>
          <w:left w:w="28" w:type="dxa"/>
          <w:bottom w:w="28" w:type="dxa"/>
          <w:right w:w="28" w:type="dxa"/>
        </w:tblCellMar>
      </w:tblPr>
      <w:tblGrid>
        <w:gridCol w:w="1170"/>
        <w:gridCol w:w="1027"/>
        <w:gridCol w:w="1035"/>
        <w:gridCol w:w="109"/>
        <w:gridCol w:w="109"/>
        <w:gridCol w:w="114"/>
        <w:gridCol w:w="114"/>
        <w:gridCol w:w="155"/>
        <w:gridCol w:w="155"/>
        <w:gridCol w:w="156"/>
        <w:gridCol w:w="114"/>
        <w:gridCol w:w="114"/>
        <w:gridCol w:w="114"/>
        <w:gridCol w:w="221"/>
        <w:gridCol w:w="1025"/>
        <w:gridCol w:w="114"/>
        <w:gridCol w:w="109"/>
        <w:gridCol w:w="109"/>
        <w:gridCol w:w="109"/>
        <w:gridCol w:w="247"/>
        <w:gridCol w:w="243"/>
        <w:gridCol w:w="601"/>
        <w:gridCol w:w="109"/>
        <w:gridCol w:w="109"/>
        <w:gridCol w:w="109"/>
        <w:gridCol w:w="211"/>
        <w:gridCol w:w="826"/>
        <w:gridCol w:w="109"/>
        <w:gridCol w:w="109"/>
        <w:gridCol w:w="109"/>
        <w:gridCol w:w="109"/>
        <w:gridCol w:w="235"/>
        <w:gridCol w:w="234"/>
        <w:gridCol w:w="672"/>
      </w:tblGrid>
      <w:tr>
        <w:trPr/>
        <w:tc>
          <w:tcPr>
            <w:tcW w:w="1170"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r>
      <w:tr>
        <w:trPr/>
        <w:tc>
          <w:tcPr>
            <w:tcW w:w="32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4359" w:type="dxa"/>
            <w:gridSpan w:val="18"/>
            <w:tcBorders/>
            <w:shd w:fill="auto" w:val="clear"/>
          </w:tcPr>
          <w:p>
            <w:pPr>
              <w:pStyle w:val="TableContents"/>
              <w:spacing w:before="0" w:after="283"/>
              <w:rPr>
                <w:sz w:val="4"/>
                <w:szCs w:val="4"/>
              </w:rPr>
            </w:pPr>
            <w:r>
              <w:rPr>
                <w:sz w:val="4"/>
                <w:szCs w:val="4"/>
              </w:rPr>
            </w:r>
          </w:p>
        </w:tc>
      </w:tr>
      <w:tr>
        <w:trPr/>
        <w:tc>
          <w:tcPr>
            <w:tcW w:w="32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77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2941" w:type="dxa"/>
            <w:gridSpan w:val="12"/>
            <w:tcBorders/>
            <w:shd w:fill="auto" w:val="clear"/>
          </w:tcPr>
          <w:p>
            <w:pPr>
              <w:pStyle w:val="TableContents"/>
              <w:spacing w:before="0" w:after="283"/>
              <w:rPr>
                <w:sz w:val="4"/>
                <w:szCs w:val="4"/>
              </w:rPr>
            </w:pPr>
            <w:r>
              <w:rPr>
                <w:sz w:val="4"/>
                <w:szCs w:val="4"/>
              </w:rPr>
            </w:r>
          </w:p>
        </w:tc>
      </w:tr>
      <w:tr>
        <w:trPr/>
        <w:tc>
          <w:tcPr>
            <w:tcW w:w="32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w:t>
            </w:r>
          </w:p>
        </w:tc>
      </w:tr>
      <w:tr>
        <w:trPr/>
        <w:tc>
          <w:tcPr>
            <w:tcW w:w="32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6061" w:type="dxa"/>
            <w:gridSpan w:val="2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3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728,381 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6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6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32" w:type="dxa"/>
            <w:gridSpan w:val="3"/>
            <w:tcBorders/>
            <w:shd w:fill="FFFFFF" w:val="clear"/>
            <w:tcMar>
              <w:top w:w="0" w:type="dxa"/>
              <w:left w:w="0" w:type="dxa"/>
              <w:bottom w:w="0" w:type="dxa"/>
              <w:right w:w="0" w:type="dxa"/>
            </w:tcMar>
            <w:vAlign w:val="center"/>
          </w:tcPr>
          <w:p>
            <w:pPr>
              <w:pStyle w:val="TableContents"/>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 (“APAC”)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148,821 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2" w:type="dxa"/>
            <w:gridSpan w:val="3"/>
            <w:tcBorders/>
            <w:shd w:fill="CCEEFF" w:val="clear"/>
            <w:tcMar>
              <w:top w:w="0" w:type="dxa"/>
              <w:left w:w="0" w:type="dxa"/>
              <w:bottom w:w="0" w:type="dxa"/>
              <w:right w:w="0" w:type="dxa"/>
            </w:tcMar>
            <w:vAlign w:val="center"/>
          </w:tcPr>
          <w:p>
            <w:pPr>
              <w:pStyle w:val="TableContents"/>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 (“EMEA”)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196,598 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6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1,073,800 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36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of allowances on the condensed consolidated balance sheets was $68.6 million and $59.7 million as of April 30, 2022 and January 31, 2022, respectively.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 of deferred revenue. Revenue is deferred when we have the right to invoice in advance of performance under a customer contract. The current portion of deferred revenue balances is recognized over the next 12 months. The amount of revenue recognized that was included in deferred revenue at the beginning of each period was $541.6 million and $419.1 million during the three months ended April 30, 2022 and 2021, respectively.</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our subscription agreements are monthly, annual, and multiyear, and we may bill for the full term in advance or on an annual, quarterly, or monthly basis, depending on the billing terms with customers. As of April 30, 2022, the aggregate amount of the transaction price allocated to our remaining performance obligations was $2,990.0 million, which consists of both billed consideration in the amount of $1,331.0 million and unbilled consideration in the amount of $1,659.0 million that we expect to recognize as revenue. We expect to recognize 63% of our remaining performance obligations as revenue over the next 12 months and the remainder thereafter.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97205"/>
                <wp:effectExtent l="0" t="0" r="0" b="0"/>
                <wp:wrapNone/>
                <wp:docPr id="12" name="Frame12"/>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3.    Investments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Marketable Securities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30, 2022 and January 31, 2022, our marketable securities consisted of the following: </w:t>
      </w:r>
    </w:p>
    <w:tbl>
      <w:tblPr>
        <w:tblW w:w="8575" w:type="dxa"/>
        <w:jc w:val="left"/>
        <w:tblInd w:w="0" w:type="dxa"/>
        <w:tblCellMar>
          <w:top w:w="28" w:type="dxa"/>
          <w:left w:w="28" w:type="dxa"/>
          <w:bottom w:w="28" w:type="dxa"/>
          <w:right w:w="28" w:type="dxa"/>
        </w:tblCellMar>
      </w:tblPr>
      <w:tblGrid>
        <w:gridCol w:w="1070"/>
        <w:gridCol w:w="941"/>
        <w:gridCol w:w="944"/>
        <w:gridCol w:w="211"/>
        <w:gridCol w:w="976"/>
        <w:gridCol w:w="109"/>
        <w:gridCol w:w="109"/>
        <w:gridCol w:w="109"/>
        <w:gridCol w:w="109"/>
        <w:gridCol w:w="257"/>
        <w:gridCol w:w="495"/>
        <w:gridCol w:w="134"/>
        <w:gridCol w:w="109"/>
        <w:gridCol w:w="109"/>
        <w:gridCol w:w="109"/>
        <w:gridCol w:w="211"/>
        <w:gridCol w:w="796"/>
        <w:gridCol w:w="109"/>
        <w:gridCol w:w="109"/>
        <w:gridCol w:w="109"/>
        <w:gridCol w:w="109"/>
        <w:gridCol w:w="211"/>
        <w:gridCol w:w="976"/>
        <w:gridCol w:w="154"/>
      </w:tblGrid>
      <w:tr>
        <w:trPr/>
        <w:tc>
          <w:tcPr>
            <w:tcW w:w="107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30, 2022</w:t>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w:t>
              <w:br/>
              <w:t>Value</w:t>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594,397 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debt securities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3,192,672 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3,146,058 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4,378,899 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4,318,974 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575" w:type="dxa"/>
        <w:jc w:val="left"/>
        <w:tblInd w:w="0" w:type="dxa"/>
        <w:tblCellMar>
          <w:top w:w="28" w:type="dxa"/>
          <w:left w:w="28" w:type="dxa"/>
          <w:bottom w:w="28" w:type="dxa"/>
          <w:right w:w="28" w:type="dxa"/>
        </w:tblCellMar>
      </w:tblPr>
      <w:tblGrid>
        <w:gridCol w:w="1070"/>
        <w:gridCol w:w="941"/>
        <w:gridCol w:w="944"/>
        <w:gridCol w:w="211"/>
        <w:gridCol w:w="976"/>
        <w:gridCol w:w="109"/>
        <w:gridCol w:w="109"/>
        <w:gridCol w:w="109"/>
        <w:gridCol w:w="109"/>
        <w:gridCol w:w="257"/>
        <w:gridCol w:w="495"/>
        <w:gridCol w:w="134"/>
        <w:gridCol w:w="109"/>
        <w:gridCol w:w="109"/>
        <w:gridCol w:w="109"/>
        <w:gridCol w:w="211"/>
        <w:gridCol w:w="796"/>
        <w:gridCol w:w="109"/>
        <w:gridCol w:w="109"/>
        <w:gridCol w:w="109"/>
        <w:gridCol w:w="109"/>
        <w:gridCol w:w="211"/>
        <w:gridCol w:w="976"/>
        <w:gridCol w:w="154"/>
      </w:tblGrid>
      <w:tr>
        <w:trPr/>
        <w:tc>
          <w:tcPr>
            <w:tcW w:w="107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2022</w:t>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w:t>
              <w:br/>
              <w:t>Value</w:t>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632,935 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629,609 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debt securities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3,046,742 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3,027,509 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389,678 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4,380,350 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4,356,446 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Unrealized losses for securities that have been in an unrealized loss position for less than 12 months were $58.2 million as of April 30, 2022 and $23.3 million as of January 31, 2022. Unrealized losses for securities that have been in an unrealized loss position for 12 months or longer were immaterial as of April 30, 2022 and January 31, 2022. We review the individual securities that have unrealized losses on a regular basis to evaluate whether or not any security has experienced, or is expected to experience, credit losses resulting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period. There were no material realized gains or losses from available-for-sale securities that were reclassified out of accumulated other comprehensive income (loss) for the three months ended April 30, 2022 and 2021.</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contractual maturities of our marketable securities as of April 30, 2022 and January 31, 2022:</w:t>
      </w:r>
    </w:p>
    <w:tbl>
      <w:tblPr>
        <w:tblW w:w="5102" w:type="dxa"/>
        <w:jc w:val="left"/>
        <w:tblInd w:w="0" w:type="dxa"/>
        <w:tblCellMar>
          <w:top w:w="28" w:type="dxa"/>
          <w:left w:w="28" w:type="dxa"/>
          <w:bottom w:w="28" w:type="dxa"/>
          <w:right w:w="28" w:type="dxa"/>
        </w:tblCellMar>
      </w:tblPr>
      <w:tblGrid>
        <w:gridCol w:w="738"/>
        <w:gridCol w:w="649"/>
        <w:gridCol w:w="653"/>
        <w:gridCol w:w="211"/>
        <w:gridCol w:w="976"/>
        <w:gridCol w:w="109"/>
        <w:gridCol w:w="109"/>
        <w:gridCol w:w="109"/>
        <w:gridCol w:w="109"/>
        <w:gridCol w:w="226"/>
        <w:gridCol w:w="1048"/>
        <w:gridCol w:w="165"/>
      </w:tblGrid>
      <w:tr>
        <w:trPr/>
        <w:tc>
          <w:tcPr>
            <w:tcW w:w="738"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2022</w:t>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4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one year</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2,624,024 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2,387,139 </w:t>
            </w:r>
          </w:p>
        </w:tc>
        <w:tc>
          <w:tcPr>
            <w:tcW w:w="16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1,694,950 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1,969,307 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4,318,974 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4,356,446 </w:t>
            </w:r>
          </w:p>
        </w:tc>
        <w:tc>
          <w:tcPr>
            <w:tcW w:w="16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97205"/>
                <wp:effectExtent l="0" t="0" r="0" b="0"/>
                <wp:wrapNone/>
                <wp:docPr id="13" name="Frame13"/>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Strategic Investments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Strategic investments by form and measurement category as of April 30, 2022 were as follows:</w:t>
      </w:r>
    </w:p>
    <w:tbl>
      <w:tblPr>
        <w:tblW w:w="8312" w:type="dxa"/>
        <w:jc w:val="left"/>
        <w:tblInd w:w="0" w:type="dxa"/>
        <w:tblCellMar>
          <w:top w:w="28" w:type="dxa"/>
          <w:left w:w="28" w:type="dxa"/>
          <w:bottom w:w="28" w:type="dxa"/>
          <w:right w:w="28" w:type="dxa"/>
        </w:tblCellMar>
      </w:tblPr>
      <w:tblGrid>
        <w:gridCol w:w="674"/>
        <w:gridCol w:w="591"/>
        <w:gridCol w:w="594"/>
        <w:gridCol w:w="211"/>
        <w:gridCol w:w="826"/>
        <w:gridCol w:w="109"/>
        <w:gridCol w:w="109"/>
        <w:gridCol w:w="109"/>
        <w:gridCol w:w="109"/>
        <w:gridCol w:w="359"/>
        <w:gridCol w:w="1406"/>
        <w:gridCol w:w="185"/>
        <w:gridCol w:w="109"/>
        <w:gridCol w:w="109"/>
        <w:gridCol w:w="109"/>
        <w:gridCol w:w="240"/>
        <w:gridCol w:w="821"/>
        <w:gridCol w:w="124"/>
        <w:gridCol w:w="109"/>
        <w:gridCol w:w="109"/>
        <w:gridCol w:w="109"/>
        <w:gridCol w:w="211"/>
        <w:gridCol w:w="826"/>
        <w:gridCol w:w="154"/>
      </w:tblGrid>
      <w:tr>
        <w:trPr/>
        <w:tc>
          <w:tcPr>
            <w:tcW w:w="674"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40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Category</w:t>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Alternative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Method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102,150 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93,653 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102,150 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93,653 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Strategic investments by form and measurement category as of January 31, 2022 were as follows:</w:t>
      </w:r>
    </w:p>
    <w:tbl>
      <w:tblPr>
        <w:tblW w:w="8311" w:type="dxa"/>
        <w:jc w:val="left"/>
        <w:tblInd w:w="0" w:type="dxa"/>
        <w:tblCellMar>
          <w:top w:w="28" w:type="dxa"/>
          <w:left w:w="28" w:type="dxa"/>
          <w:bottom w:w="28" w:type="dxa"/>
          <w:right w:w="28" w:type="dxa"/>
        </w:tblCellMar>
      </w:tblPr>
      <w:tblGrid>
        <w:gridCol w:w="674"/>
        <w:gridCol w:w="591"/>
        <w:gridCol w:w="594"/>
        <w:gridCol w:w="211"/>
        <w:gridCol w:w="826"/>
        <w:gridCol w:w="109"/>
        <w:gridCol w:w="109"/>
        <w:gridCol w:w="109"/>
        <w:gridCol w:w="109"/>
        <w:gridCol w:w="395"/>
        <w:gridCol w:w="1349"/>
        <w:gridCol w:w="205"/>
        <w:gridCol w:w="109"/>
        <w:gridCol w:w="109"/>
        <w:gridCol w:w="109"/>
        <w:gridCol w:w="240"/>
        <w:gridCol w:w="821"/>
        <w:gridCol w:w="124"/>
        <w:gridCol w:w="109"/>
        <w:gridCol w:w="109"/>
        <w:gridCol w:w="109"/>
        <w:gridCol w:w="211"/>
        <w:gridCol w:w="826"/>
        <w:gridCol w:w="154"/>
      </w:tblGrid>
      <w:tr>
        <w:trPr/>
        <w:tc>
          <w:tcPr>
            <w:tcW w:w="674"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Category</w:t>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Alternative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Method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91,399 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93,400 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91,399 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93,400 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about our financial instruments that are measured at fair value on a recurring basis and indicate the fair value hierarchy of the valuation inputs utilized to determine such fair value:</w:t>
      </w:r>
    </w:p>
    <w:tbl>
      <w:tblPr>
        <w:tblW w:w="10205" w:type="dxa"/>
        <w:jc w:val="left"/>
        <w:tblInd w:w="0" w:type="dxa"/>
        <w:tblCellMar>
          <w:top w:w="28" w:type="dxa"/>
          <w:left w:w="28" w:type="dxa"/>
          <w:bottom w:w="28" w:type="dxa"/>
          <w:right w:w="28" w:type="dxa"/>
        </w:tblCellMar>
      </w:tblPr>
      <w:tblGrid>
        <w:gridCol w:w="1569"/>
        <w:gridCol w:w="1334"/>
        <w:gridCol w:w="134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721"/>
        <w:gridCol w:w="155"/>
      </w:tblGrid>
      <w:tr>
        <w:trPr/>
        <w:tc>
          <w:tcPr>
            <w:tcW w:w="1569" w:type="dxa"/>
            <w:tcBorders/>
            <w:shd w:fill="auto" w:val="clear"/>
            <w:vAlign w:val="center"/>
          </w:tcPr>
          <w:p>
            <w:pPr>
              <w:pStyle w:val="TableContents"/>
              <w:spacing w:before="0" w:after="283"/>
              <w:rPr>
                <w:sz w:val="4"/>
                <w:szCs w:val="4"/>
              </w:rPr>
            </w:pPr>
            <w:r>
              <w:rPr>
                <w:sz w:val="4"/>
                <w:szCs w:val="4"/>
              </w:rPr>
            </w:r>
          </w:p>
        </w:tc>
        <w:tc>
          <w:tcPr>
            <w:tcW w:w="1334"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30, 2022</w:t>
            </w:r>
          </w:p>
        </w:tc>
      </w:tr>
      <w:tr>
        <w:trPr/>
        <w:tc>
          <w:tcPr>
            <w:tcW w:w="4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4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594,397 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594,397 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debt securities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3,146,058 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3,146,058 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424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4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Publicly held equity securities included in strategic investments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Privately held debt securities included in strategic investments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 included in other assets, noncurrent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5,618,562 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1,187,704 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24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97205"/>
                <wp:effectExtent l="0" t="0" r="0" b="0"/>
                <wp:wrapNone/>
                <wp:docPr id="14" name="Frame14"/>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1620"/>
        <w:gridCol w:w="1385"/>
        <w:gridCol w:w="1394"/>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721"/>
        <w:gridCol w:w="155"/>
      </w:tblGrid>
      <w:tr>
        <w:trPr/>
        <w:tc>
          <w:tcPr>
            <w:tcW w:w="1620"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3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2022</w:t>
            </w:r>
          </w:p>
        </w:tc>
      </w:tr>
      <w:tr>
        <w:trPr/>
        <w:tc>
          <w:tcPr>
            <w:tcW w:w="4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4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688,722 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688,722 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629,609 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629,609 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debt securities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3,027,509 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3,027,509 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389,678 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389,678 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439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 included in other assets, noncurrent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Publicly held equity securities included in strategic investments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Privately held debt securities included in strategic investments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5,336,725 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4,464,988 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39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439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439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439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our highly liquid money market funds and publicly held equity securities within Level 1 of the fair value hierarchy because they are valued based on quoted market prices in active markets. We classify our commercial paper, agency bonds, corporate and other debt securities, U.S. government agency securities, treasury bills, and certificates of deposit within Level 2 because they are valued using inputs other than quoted prices that are directly or indirectly observable in the market, including readily available pricing sources for the identical underlying security, which may not be actively traded. We classify our privately held debt securities as Level 3 due to the lack of relevant observable market data over fair value inputs, such as the probability weighting of the various scenarios that can impact settlement of the arrangement.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5.    Balance Sheet Components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Accounts Receivable, Net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are recorded for invoiced amounts and amounts for which revenue has been recognized, but not invoiced, net of allowances. Our short-term accounts receivable consist of the following:</w:t>
      </w:r>
    </w:p>
    <w:tbl>
      <w:tblPr>
        <w:tblW w:w="5635" w:type="dxa"/>
        <w:jc w:val="left"/>
        <w:tblInd w:w="0" w:type="dxa"/>
        <w:tblCellMar>
          <w:top w:w="28" w:type="dxa"/>
          <w:left w:w="28" w:type="dxa"/>
          <w:bottom w:w="28" w:type="dxa"/>
          <w:right w:w="28" w:type="dxa"/>
        </w:tblCellMar>
      </w:tblPr>
      <w:tblGrid>
        <w:gridCol w:w="982"/>
        <w:gridCol w:w="863"/>
        <w:gridCol w:w="869"/>
        <w:gridCol w:w="212"/>
        <w:gridCol w:w="833"/>
        <w:gridCol w:w="109"/>
        <w:gridCol w:w="109"/>
        <w:gridCol w:w="109"/>
        <w:gridCol w:w="109"/>
        <w:gridCol w:w="255"/>
        <w:gridCol w:w="999"/>
        <w:gridCol w:w="186"/>
      </w:tblGrid>
      <w:tr>
        <w:trPr/>
        <w:tc>
          <w:tcPr>
            <w:tcW w:w="982"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2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2022</w:t>
            </w:r>
          </w:p>
        </w:tc>
      </w:tr>
      <w:tr>
        <w:trPr/>
        <w:tc>
          <w:tcPr>
            <w:tcW w:w="2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gross</w:t>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511,406 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444,369 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returns</w:t>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(7,696)</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419,673 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rollforward of our allowance for credit losses for the three months ended April 30, 2022 and 2021:</w:t>
      </w:r>
    </w:p>
    <w:tbl>
      <w:tblPr>
        <w:tblW w:w="4659" w:type="dxa"/>
        <w:jc w:val="left"/>
        <w:tblInd w:w="0" w:type="dxa"/>
        <w:tblCellMar>
          <w:top w:w="28" w:type="dxa"/>
          <w:left w:w="28" w:type="dxa"/>
          <w:bottom w:w="28" w:type="dxa"/>
          <w:right w:w="28" w:type="dxa"/>
        </w:tblCellMar>
      </w:tblPr>
      <w:tblGrid>
        <w:gridCol w:w="799"/>
        <w:gridCol w:w="700"/>
        <w:gridCol w:w="706"/>
        <w:gridCol w:w="211"/>
        <w:gridCol w:w="721"/>
        <w:gridCol w:w="109"/>
        <w:gridCol w:w="109"/>
        <w:gridCol w:w="109"/>
        <w:gridCol w:w="109"/>
        <w:gridCol w:w="211"/>
        <w:gridCol w:w="721"/>
        <w:gridCol w:w="154"/>
      </w:tblGrid>
      <w:tr>
        <w:trPr/>
        <w:tc>
          <w:tcPr>
            <w:tcW w:w="799"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(in thousands)</w:t>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April 30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97205"/>
                <wp:effectExtent l="0" t="0" r="0" b="0"/>
                <wp:wrapNone/>
                <wp:docPr id="15" name="Frame15"/>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Prepaid Expenses and Other Current Assets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w:t>
      </w:r>
    </w:p>
    <w:tbl>
      <w:tblPr>
        <w:tblW w:w="7541" w:type="dxa"/>
        <w:jc w:val="left"/>
        <w:tblInd w:w="0" w:type="dxa"/>
        <w:tblCellMar>
          <w:top w:w="28" w:type="dxa"/>
          <w:left w:w="28" w:type="dxa"/>
          <w:bottom w:w="28" w:type="dxa"/>
          <w:right w:w="28" w:type="dxa"/>
        </w:tblCellMar>
      </w:tblPr>
      <w:tblGrid>
        <w:gridCol w:w="1674"/>
        <w:gridCol w:w="1467"/>
        <w:gridCol w:w="1479"/>
        <w:gridCol w:w="212"/>
        <w:gridCol w:w="833"/>
        <w:gridCol w:w="109"/>
        <w:gridCol w:w="109"/>
        <w:gridCol w:w="109"/>
        <w:gridCol w:w="109"/>
        <w:gridCol w:w="255"/>
        <w:gridCol w:w="999"/>
        <w:gridCol w:w="186"/>
      </w:tblGrid>
      <w:tr>
        <w:trPr/>
        <w:tc>
          <w:tcPr>
            <w:tcW w:w="1674" w:type="dxa"/>
            <w:tcBorders/>
            <w:shd w:fill="auto" w:val="clear"/>
            <w:vAlign w:val="center"/>
          </w:tcPr>
          <w:p>
            <w:pPr>
              <w:pStyle w:val="TableContents"/>
              <w:spacing w:before="0" w:after="283"/>
              <w:rPr>
                <w:sz w:val="4"/>
                <w:szCs w:val="4"/>
              </w:rPr>
            </w:pPr>
            <w:r>
              <w:rPr>
                <w:sz w:val="4"/>
                <w:szCs w:val="4"/>
              </w:rPr>
            </w:r>
          </w:p>
        </w:tc>
        <w:tc>
          <w:tcPr>
            <w:tcW w:w="1467" w:type="dxa"/>
            <w:tcBorders/>
            <w:shd w:fill="auto" w:val="clear"/>
            <w:vAlign w:val="center"/>
          </w:tcPr>
          <w:p>
            <w:pPr>
              <w:pStyle w:val="TableContents"/>
              <w:spacing w:before="0" w:after="283"/>
              <w:rPr>
                <w:sz w:val="4"/>
                <w:szCs w:val="4"/>
              </w:rPr>
            </w:pPr>
            <w:r>
              <w:rPr>
                <w:sz w:val="4"/>
                <w:szCs w:val="4"/>
              </w:rPr>
            </w:r>
          </w:p>
        </w:tc>
        <w:tc>
          <w:tcPr>
            <w:tcW w:w="147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4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2022</w:t>
            </w:r>
          </w:p>
        </w:tc>
      </w:tr>
      <w:tr>
        <w:trPr/>
        <w:tc>
          <w:tcPr>
            <w:tcW w:w="4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112,666 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from international employee stock sales</w:t>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10,236 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145,602 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w:t>
      </w:r>
    </w:p>
    <w:tbl>
      <w:tblPr>
        <w:tblW w:w="7031" w:type="dxa"/>
        <w:jc w:val="left"/>
        <w:tblInd w:w="0" w:type="dxa"/>
        <w:tblCellMar>
          <w:top w:w="28" w:type="dxa"/>
          <w:left w:w="28" w:type="dxa"/>
          <w:bottom w:w="28" w:type="dxa"/>
          <w:right w:w="28" w:type="dxa"/>
        </w:tblCellMar>
      </w:tblPr>
      <w:tblGrid>
        <w:gridCol w:w="1481"/>
        <w:gridCol w:w="1306"/>
        <w:gridCol w:w="1323"/>
        <w:gridCol w:w="212"/>
        <w:gridCol w:w="833"/>
        <w:gridCol w:w="109"/>
        <w:gridCol w:w="109"/>
        <w:gridCol w:w="109"/>
        <w:gridCol w:w="109"/>
        <w:gridCol w:w="255"/>
        <w:gridCol w:w="999"/>
        <w:gridCol w:w="186"/>
      </w:tblGrid>
      <w:tr>
        <w:trPr/>
        <w:tc>
          <w:tcPr>
            <w:tcW w:w="1481"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2022</w:t>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Servers</w:t>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185,491 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59,153 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office equipment</w:t>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Furniture and fixtures </w:t>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4,565 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313,959 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(91,605)</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222,354 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was $15.1 million and $10.5 million for the three months ended April 30, 2022 and 2021, respectively.</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Other Assets, Noncurrent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assets, noncurrent consisted of the following:</w:t>
      </w:r>
    </w:p>
    <w:tbl>
      <w:tblPr>
        <w:tblW w:w="5711" w:type="dxa"/>
        <w:jc w:val="left"/>
        <w:tblInd w:w="0" w:type="dxa"/>
        <w:tblCellMar>
          <w:top w:w="28" w:type="dxa"/>
          <w:left w:w="28" w:type="dxa"/>
          <w:bottom w:w="28" w:type="dxa"/>
          <w:right w:w="28" w:type="dxa"/>
        </w:tblCellMar>
      </w:tblPr>
      <w:tblGrid>
        <w:gridCol w:w="1010"/>
        <w:gridCol w:w="887"/>
        <w:gridCol w:w="893"/>
        <w:gridCol w:w="212"/>
        <w:gridCol w:w="833"/>
        <w:gridCol w:w="109"/>
        <w:gridCol w:w="109"/>
        <w:gridCol w:w="109"/>
        <w:gridCol w:w="109"/>
        <w:gridCol w:w="255"/>
        <w:gridCol w:w="999"/>
        <w:gridCol w:w="186"/>
      </w:tblGrid>
      <w:tr>
        <w:trPr/>
        <w:tc>
          <w:tcPr>
            <w:tcW w:w="1010"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2022</w:t>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noncurrent</w:t>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55,643 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w:t>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noncurrent</w:t>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13,978 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106,761 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97205"/>
                <wp:effectExtent l="0" t="0" r="0" b="0"/>
                <wp:wrapNone/>
                <wp:docPr id="16" name="Frame16"/>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Accrued Expenses and Other Current Liabilities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consisted of the following:</w:t>
      </w:r>
    </w:p>
    <w:tbl>
      <w:tblPr>
        <w:tblW w:w="6746" w:type="dxa"/>
        <w:jc w:val="left"/>
        <w:tblInd w:w="0" w:type="dxa"/>
        <w:tblCellMar>
          <w:top w:w="28" w:type="dxa"/>
          <w:left w:w="28" w:type="dxa"/>
          <w:bottom w:w="28" w:type="dxa"/>
          <w:right w:w="28" w:type="dxa"/>
        </w:tblCellMar>
      </w:tblPr>
      <w:tblGrid>
        <w:gridCol w:w="1386"/>
        <w:gridCol w:w="1215"/>
        <w:gridCol w:w="1224"/>
        <w:gridCol w:w="212"/>
        <w:gridCol w:w="833"/>
        <w:gridCol w:w="109"/>
        <w:gridCol w:w="109"/>
        <w:gridCol w:w="109"/>
        <w:gridCol w:w="109"/>
        <w:gridCol w:w="255"/>
        <w:gridCol w:w="999"/>
        <w:gridCol w:w="186"/>
      </w:tblGrid>
      <w:tr>
        <w:trPr/>
        <w:tc>
          <w:tcPr>
            <w:tcW w:w="1386"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2022</w:t>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825"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149,658 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126,322 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liabilities</w:t>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56,968 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other non-income tax liabilities</w:t>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33,305 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 liabilities</w:t>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20,697 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22,581 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430,415 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Other Liabilities, Noncurrent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 consisted of the following:</w:t>
      </w:r>
    </w:p>
    <w:tbl>
      <w:tblPr>
        <w:tblW w:w="6416" w:type="dxa"/>
        <w:jc w:val="left"/>
        <w:tblInd w:w="0" w:type="dxa"/>
        <w:tblCellMar>
          <w:top w:w="28" w:type="dxa"/>
          <w:left w:w="28" w:type="dxa"/>
          <w:bottom w:w="28" w:type="dxa"/>
          <w:right w:w="28" w:type="dxa"/>
        </w:tblCellMar>
      </w:tblPr>
      <w:tblGrid>
        <w:gridCol w:w="1266"/>
        <w:gridCol w:w="1113"/>
        <w:gridCol w:w="1116"/>
        <w:gridCol w:w="234"/>
        <w:gridCol w:w="800"/>
        <w:gridCol w:w="121"/>
        <w:gridCol w:w="109"/>
        <w:gridCol w:w="109"/>
        <w:gridCol w:w="109"/>
        <w:gridCol w:w="279"/>
        <w:gridCol w:w="956"/>
        <w:gridCol w:w="204"/>
      </w:tblGrid>
      <w:tr>
        <w:trPr/>
        <w:tc>
          <w:tcPr>
            <w:tcW w:w="1266"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2022</w:t>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other non-income tax liabilities</w:t>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54,869 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53,916 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14,194 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74,971 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68,110 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6.    Commitments and Contingencies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Non-cancelable Purchase Obligations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April 30, 2022, there have been no material changes to our non-cancelable purchase obligations from those disclosed in Note 8. “Commitments and Contingencies” in the notes to consolidated financial statements included in our Annual Report on Form 10-K for the year ended January 31, 2022, filed with the SEC on March 7, 2022.</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Contingencies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we received a grand jury subpoena from the Department of Justice’s U.S. Attorney’s Office for Eastern District of New York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relating to the Tiananmen commemorations on Zoom. In July 2020, we received subpoenas from the Department of Justice’s U.S. Attorney’s Office for the Northern District of California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97205"/>
                <wp:effectExtent l="0" t="0" r="0" b="0"/>
                <wp:wrapNone/>
                <wp:docPr id="17" name="Frame17"/>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7, 2020, and April 8, 2020, securities class action complaints were filed against us and two of our officers in the United States District Court for the NDCA. The plaintiffs are purported stockholders of the Company. The complaints allege, among other things, that we violated Sections 10(b) and 20(a) of the Exchange Act, and Rule 10b-5 by making false and misleading statements and omissions of material fact about our data privacy and security measures. The complaints seek unspecified damages, interest, fees, and costs. On May 18, 2020, the actions were consolidated. On November 4, 2020, the court appointed a lead plaintiff. On December 23, 2020, the lead plaintiff filed a consolidated complaint. We filed a motion to dismiss the consolidated complaint on May 20, 2021. Plaintiff filed an opposition to our motion to dismiss on July 9, 2021. Our reply in support of the motion to dismiss was filed on August 9, 2021. On February 16, 2022, the court granted in part, and denied in part, our motion to dismiss. On March 14, 2022, we moved for reconsideration of the court’s ruling on the motion to dismiss. On March 22, 2022, the court ordered plaintiff to respond to our motion, which Plaintiff did on March 29, 2022. On April 22, 2022, we answered the complaint.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11, 2020 and July 30, 2020, purported shareholder derivative complaints were filed in the United States District Court for the District of Delaware. The first complaint names as defendants nine of our officers and directors, and the second complaint names eight of our officers and directors. The lawsuits assert state and federal claims and are based on the same alleged misstatements as the shareholder class action complaint. The lawsuits accuse our board of directors of failing to exercise reasonable and prudent supervision over our management, policies, practices, and internal controls. The plaintiffs seek unspecified monetary damages on behalf of us as well as governance reforms. On September 25, 2020, the derivative cases were consolidated. The consolidated case is stayed pending resolution of the motion to dismiss the securities class action. On October 27, 2021, a third substantially identical lawsuit was filed in the same court against the same defendants, seeking unspecified monetary damages and governance reforms. On November 17, 2021, all three derivative lawsuits were consolidated and remain stayed pending resolution of the motion to dismiss the securities class action.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these lawsuits are without merit, and we are vigorously defending ourselves against them. Given the uncertainty of litigation, the preliminary stage of the cases, and the legal standards that must be met for, among other things, class certification and success on the merits, we cannot estimate the reasonably possible loss or range of loss that may result from these actions.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Beginning on March 30, 2020, multiple putative class actions were filed against us in various U.S. federal district courts and state courts relating to our alleged privacy and security practices, including alleged data sharing with third parties (the “U.S. Privacy Class Actions”). The plaintiffs claim violations of a variety of state consumer protection and privacy laws, and also assert state constitutional and common law claims, such as negligence and unjust enrichment. The U.S. Privacy Class Actions seek to certify both nationwide and state-specific classes of individuals using our services in certain time periods. The plaintiffs seek various forms of injunctive and monetary relief, including restitution, statutory and actual damages, punitive damages, and attorneys’ fees. The federal cases have been transferred to and consolidated in the NDCA with our consent; lead plaintiffs’ counsel have been appointed; and plaintiffs filed their first amended consolidated class action complaint on October 28, 2020. On March 11, 2021, the court granted in part, and denied in part, our motion to dismiss, and gave plaintiffs leave to amend. On July 30, 2021, we entered into a settlement agreement with plaintiffs to settle the action on a classwide basis, and plaintiffs filed a motion for preliminary approval of the settlement with the court on July 31, 2021. On October 21, 2021, the Court preliminarily approved the settlement. Under the terms of the settlement, we have paid $85.0 million into an escrow account that will be used to pay claims filed by settlement class members, attorneys’ fees and expenses, administrative costs, and service payments to plaintiffs. On April 21, 2022, the Court granted final approval of the settlement. On May 19, 2022, two objectors to the settlement appealed the Court's final approval order.</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7.    Stockholders’ Equity and Equity Incentive Plans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authorizes the issuance of 2,000,000,000 shares of Class A common stock, $0.001 par value per share, and 300,000,000 shares of Class B common stock, $0.001 par value per share. Class A and Class B common stock are referred to as common stock throughout the notes to the condensed consolidated financial statements, unless otherwise noted.</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97205"/>
                <wp:effectExtent l="0" t="0" r="0" b="0"/>
                <wp:wrapNone/>
                <wp:docPr id="18" name="Frame18"/>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Stock Repurchase Plan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our Board of Directors authorized a stock repurchase program of up to $1.0 billion of our Class A common stock, which expires in February 2024. Repurchases of our Class A common stock may be effected from time to time, either on the open market (including preset trading plans), in privately negotiated transactions, and other transactions in accordance with applicable securities laws. The program does not obligate us to repurchase any specific number of shares and may be discontinued at any time.</w:t>
      </w:r>
    </w:p>
    <w:p>
      <w:pPr>
        <w:pStyle w:val="TextBody"/>
        <w:spacing w:lineRule="auto" w:line="288" w:before="120" w:after="283"/>
        <w:ind w:left="0" w:right="0" w:firstLine="5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During the three-months ended April 30, 2022, we repurchased and subsequently retired 1,224,250 shares of our Class A common stock for an aggregate amount of $132.4 million. As of April 30, 2022, $867.6 million of the repurchase authorization remained available.</w:t>
      </w:r>
    </w:p>
    <w:p>
      <w:pPr>
        <w:pStyle w:val="TextBody"/>
        <w:spacing w:lineRule="auto" w:line="288" w:before="24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Equity Incentive Plans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two equity incentive plans: the 2011 Global Share Plan (“2011 Plan”) and the 2019 Equity Incentive Plan (“2019 Plan”). All shares that remain available for future grants are under the 2019 Plan.</w:t>
      </w:r>
    </w:p>
    <w:p>
      <w:pPr>
        <w:pStyle w:val="TextBody"/>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under our equity incentive plan and related information is as follows:</w:t>
      </w:r>
    </w:p>
    <w:tbl>
      <w:tblPr>
        <w:tblW w:w="9554" w:type="dxa"/>
        <w:jc w:val="left"/>
        <w:tblInd w:w="0" w:type="dxa"/>
        <w:tblCellMar>
          <w:top w:w="28" w:type="dxa"/>
          <w:left w:w="28" w:type="dxa"/>
          <w:bottom w:w="28" w:type="dxa"/>
          <w:right w:w="28" w:type="dxa"/>
        </w:tblCellMar>
      </w:tblPr>
      <w:tblGrid>
        <w:gridCol w:w="1462"/>
        <w:gridCol w:w="1281"/>
        <w:gridCol w:w="1291"/>
        <w:gridCol w:w="488"/>
        <w:gridCol w:w="488"/>
        <w:gridCol w:w="336"/>
        <w:gridCol w:w="109"/>
        <w:gridCol w:w="109"/>
        <w:gridCol w:w="109"/>
        <w:gridCol w:w="211"/>
        <w:gridCol w:w="616"/>
        <w:gridCol w:w="109"/>
        <w:gridCol w:w="109"/>
        <w:gridCol w:w="109"/>
        <w:gridCol w:w="109"/>
        <w:gridCol w:w="330"/>
        <w:gridCol w:w="330"/>
        <w:gridCol w:w="331"/>
        <w:gridCol w:w="109"/>
        <w:gridCol w:w="109"/>
        <w:gridCol w:w="109"/>
        <w:gridCol w:w="211"/>
        <w:gridCol w:w="826"/>
        <w:gridCol w:w="109"/>
        <w:gridCol w:w="154"/>
      </w:tblGrid>
      <w:tr>
        <w:trPr/>
        <w:tc>
          <w:tcPr>
            <w:tcW w:w="1462"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6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w:t>
              <w:br/>
              <w:t>Stock</w:t>
              <w:br/>
              <w:t>Options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Life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life, and per share data)</w:t>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 2022</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6,195,205 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905,744 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(543,518)</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Canceled/forfeited/expired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(57,576)</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April 30, 2022</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5,594,111 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April 30, 2022</w:t>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5,594,111 </w:t>
            </w:r>
          </w:p>
        </w:tc>
        <w:tc>
          <w:tcPr>
            <w:tcW w:w="33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April 30, 2022</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4,823,299 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30, 2022, unrecognized stock-based compensation expense related to outstanding unvested stock options was $12.7 million, which is expected to be recognized over a weighted-average period of 0.6 years.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restricted stock unit (“RSU”) activity under our equity incentive plan and related information is as follows:</w:t>
      </w:r>
    </w:p>
    <w:tbl>
      <w:tblPr>
        <w:tblW w:w="6883" w:type="dxa"/>
        <w:jc w:val="left"/>
        <w:tblInd w:w="0" w:type="dxa"/>
        <w:tblCellMar>
          <w:top w:w="28" w:type="dxa"/>
          <w:left w:w="28" w:type="dxa"/>
          <w:bottom w:w="28" w:type="dxa"/>
          <w:right w:w="28" w:type="dxa"/>
        </w:tblCellMar>
      </w:tblPr>
      <w:tblGrid>
        <w:gridCol w:w="994"/>
        <w:gridCol w:w="874"/>
        <w:gridCol w:w="877"/>
        <w:gridCol w:w="488"/>
        <w:gridCol w:w="488"/>
        <w:gridCol w:w="256"/>
        <w:gridCol w:w="109"/>
        <w:gridCol w:w="109"/>
        <w:gridCol w:w="109"/>
        <w:gridCol w:w="501"/>
        <w:gridCol w:w="1713"/>
        <w:gridCol w:w="365"/>
      </w:tblGrid>
      <w:tr>
        <w:trPr/>
        <w:tc>
          <w:tcPr>
            <w:tcW w:w="994"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713"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Unvested</w:t>
              <w:br/>
              <w:t>RSUs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 Fair Value Per Share</w:t>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January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5,546,366 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232.58 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4,948,266 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108.15 </w:t>
            </w:r>
          </w:p>
        </w:tc>
        <w:tc>
          <w:tcPr>
            <w:tcW w:w="3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79" w:type="dxa"/>
            <w:gridSpan w:val="3"/>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(467,160)</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230.67 </w:t>
            </w:r>
          </w:p>
        </w:tc>
        <w:tc>
          <w:tcPr>
            <w:tcW w:w="3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(342,851)</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192.07 </w:t>
            </w:r>
          </w:p>
        </w:tc>
        <w:tc>
          <w:tcPr>
            <w:tcW w:w="3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April 30, 2022</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9,684,621 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170.51 </w:t>
            </w:r>
          </w:p>
        </w:tc>
        <w:tc>
          <w:tcPr>
            <w:tcW w:w="3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an update made to our equity compensation program resulted in the modification of the value of RSUs offered to our employees. This had an immaterial impact on our condensed consolidated statement of operations for the three months ended April 30, 2022.</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30, 2022, unrecognized stock-based compensation expense related to RSUs was $2,173.6 million, including the impact of the modification, which is expected to be recognized over a weighted-average period of 3.0 years.</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97205"/>
                <wp:effectExtent l="0" t="0" r="0" b="0"/>
                <wp:wrapNone/>
                <wp:docPr id="19" name="Frame19"/>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2019 Employee Stock Purchase Plan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2019, we adopted the 2019 Employee Stock Purchase Plan (“ESPP”). As of April 30, 2022, unrecognized stock-based compensation expense related to the ESPP was $51.9 million, which is expected to be recognized over a weighted-average period of 1.3 years.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stock-based compensation expense by line item in the accompanying condensed consolidated statements of operations is summarized as follows:</w:t>
      </w:r>
    </w:p>
    <w:tbl>
      <w:tblPr>
        <w:tblW w:w="9279" w:type="dxa"/>
        <w:jc w:val="left"/>
        <w:tblInd w:w="0" w:type="dxa"/>
        <w:tblCellMar>
          <w:top w:w="28" w:type="dxa"/>
          <w:left w:w="28" w:type="dxa"/>
          <w:bottom w:w="28" w:type="dxa"/>
          <w:right w:w="28" w:type="dxa"/>
        </w:tblCellMar>
      </w:tblPr>
      <w:tblGrid>
        <w:gridCol w:w="1935"/>
        <w:gridCol w:w="1706"/>
        <w:gridCol w:w="1713"/>
        <w:gridCol w:w="109"/>
        <w:gridCol w:w="109"/>
        <w:gridCol w:w="158"/>
        <w:gridCol w:w="158"/>
        <w:gridCol w:w="158"/>
        <w:gridCol w:w="158"/>
        <w:gridCol w:w="306"/>
        <w:gridCol w:w="1198"/>
        <w:gridCol w:w="158"/>
        <w:gridCol w:w="109"/>
        <w:gridCol w:w="109"/>
        <w:gridCol w:w="109"/>
        <w:gridCol w:w="211"/>
        <w:gridCol w:w="721"/>
        <w:gridCol w:w="154"/>
      </w:tblGrid>
      <w:tr>
        <w:trPr/>
        <w:tc>
          <w:tcPr>
            <w:tcW w:w="1935" w:type="dxa"/>
            <w:tcBorders/>
            <w:shd w:fill="auto" w:val="clear"/>
            <w:vAlign w:val="center"/>
          </w:tcPr>
          <w:p>
            <w:pPr>
              <w:pStyle w:val="TableContents"/>
              <w:spacing w:before="0" w:after="283"/>
              <w:rPr>
                <w:sz w:val="4"/>
                <w:szCs w:val="4"/>
              </w:rPr>
            </w:pPr>
            <w:r>
              <w:rPr>
                <w:sz w:val="4"/>
                <w:szCs w:val="4"/>
              </w:rPr>
            </w:r>
          </w:p>
        </w:tc>
        <w:tc>
          <w:tcPr>
            <w:tcW w:w="1706" w:type="dxa"/>
            <w:tcBorders/>
            <w:shd w:fill="auto" w:val="clear"/>
            <w:vAlign w:val="center"/>
          </w:tcPr>
          <w:p>
            <w:pPr>
              <w:pStyle w:val="TableContents"/>
              <w:spacing w:before="0" w:after="283"/>
              <w:rPr>
                <w:sz w:val="4"/>
                <w:szCs w:val="4"/>
              </w:rPr>
            </w:pPr>
            <w:r>
              <w:rPr>
                <w:sz w:val="4"/>
                <w:szCs w:val="4"/>
              </w:rPr>
            </w:r>
          </w:p>
        </w:tc>
        <w:tc>
          <w:tcPr>
            <w:tcW w:w="17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4"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413" w:type="dxa"/>
            <w:gridSpan w:val="6"/>
            <w:tcBorders/>
            <w:shd w:fill="auto" w:val="clear"/>
          </w:tcPr>
          <w:p>
            <w:pPr>
              <w:pStyle w:val="TableContents"/>
              <w:spacing w:before="0" w:after="283"/>
              <w:rPr>
                <w:sz w:val="4"/>
                <w:szCs w:val="4"/>
              </w:rPr>
            </w:pPr>
            <w:r>
              <w:rPr>
                <w:sz w:val="4"/>
                <w:szCs w:val="4"/>
              </w:rPr>
            </w:r>
          </w:p>
        </w:tc>
      </w:tr>
      <w:tr>
        <w:trPr/>
        <w:tc>
          <w:tcPr>
            <w:tcW w:w="5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3549"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93,795 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209,363 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(42,915)</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recorded to 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166,448 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20" w:after="283"/>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8.    Income Taxes</w:t>
      </w:r>
    </w:p>
    <w:p>
      <w:pPr>
        <w:pStyle w:val="TextBody"/>
        <w:spacing w:lineRule="auto" w:line="288" w:before="120" w:after="283"/>
        <w:ind w:left="0" w:right="0" w:firstLine="540"/>
        <w:jc w:val="both"/>
        <w:rPr/>
      </w:pPr>
      <w:r>
        <w:rPr>
          <w:rFonts w:ascii="Times New Roman;sans-serif" w:hAnsi="Times New Roman;sans-serif"/>
          <w:b w:val="false"/>
          <w:color w:val="000000"/>
          <w:sz w:val="20"/>
          <w:highlight w:val="white"/>
        </w:rPr>
        <w:t xml:space="preserve">We compute our provision for income taxes by applying the estimated annual effective tax rate to year-to-date ordinary income and adjust the provision for discrete tax items recorded in the period. </w:t>
      </w:r>
      <w:r>
        <w:rPr>
          <w:rFonts w:ascii="Times New Roman;sans-serif" w:hAnsi="Times New Roman;sans-serif"/>
          <w:b w:val="false"/>
          <w:color w:val="000000"/>
          <w:sz w:val="20"/>
        </w:rPr>
        <w:t>In each quarter, we update the estimated annual effective tax rate and make a year-to-date adjustment to the provision. The estimated annual effective tax rate is subject to significant volatility due to several factors, including our ability to accurately predict the proportion of our pretax income in multiple jurisdictions and certain book-tax differences.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details of the provision for income taxes:</w:t>
      </w:r>
    </w:p>
    <w:tbl>
      <w:tblPr>
        <w:tblW w:w="7669" w:type="dxa"/>
        <w:jc w:val="left"/>
        <w:tblInd w:w="0" w:type="dxa"/>
        <w:tblCellMar>
          <w:top w:w="28" w:type="dxa"/>
          <w:left w:w="28" w:type="dxa"/>
          <w:bottom w:w="28" w:type="dxa"/>
          <w:right w:w="28" w:type="dxa"/>
        </w:tblCellMar>
      </w:tblPr>
      <w:tblGrid>
        <w:gridCol w:w="1259"/>
        <w:gridCol w:w="1108"/>
        <w:gridCol w:w="1112"/>
        <w:gridCol w:w="109"/>
        <w:gridCol w:w="109"/>
        <w:gridCol w:w="143"/>
        <w:gridCol w:w="143"/>
        <w:gridCol w:w="143"/>
        <w:gridCol w:w="143"/>
        <w:gridCol w:w="277"/>
        <w:gridCol w:w="1087"/>
        <w:gridCol w:w="356"/>
        <w:gridCol w:w="109"/>
        <w:gridCol w:w="109"/>
        <w:gridCol w:w="109"/>
        <w:gridCol w:w="211"/>
        <w:gridCol w:w="826"/>
        <w:gridCol w:w="316"/>
      </w:tblGrid>
      <w:tr>
        <w:trPr/>
        <w:tc>
          <w:tcPr>
            <w:tcW w:w="1259"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680" w:type="dxa"/>
            <w:gridSpan w:val="6"/>
            <w:tcBorders/>
            <w:shd w:fill="auto" w:val="clear"/>
          </w:tcPr>
          <w:p>
            <w:pPr>
              <w:pStyle w:val="TableContents"/>
              <w:spacing w:before="0" w:after="283"/>
              <w:rPr>
                <w:sz w:val="4"/>
                <w:szCs w:val="4"/>
              </w:rPr>
            </w:pPr>
            <w:r>
              <w:rPr>
                <w:sz w:val="4"/>
                <w:szCs w:val="4"/>
              </w:rPr>
            </w:r>
          </w:p>
        </w:tc>
      </w:tr>
      <w:tr>
        <w:trPr/>
        <w:tc>
          <w:tcPr>
            <w:tcW w:w="3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3829"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143,672 </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228,931 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30,014 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3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was $30.0 million and $1.4 million for the three months ended April 30, 2022 and 2021, respectively. The year-over-year increase in effective tax rate for the three-month period ended April 30, 2022 was due primarily to the valuation allowance on the U.S. deferred tax assets as of April 30, 2021, which was released in the fourth quarter of fiscal year 2022. For the three months ended April 30, 2022, the effective tax rate differed from the U.S. federal statutory rate due primarily to stock-based compensation for tax purposes, offset by research credits and the foreign-derived intangible income deduction. For the three months ended April 30, 2021, the effective tax rate differed from the U.S. federal statutory rate due primarily to the valuation allowance on the U.S. deferred tax assets.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realization of tax benefits of net deferred tax assets is dependent upon future levels of taxable income, of an appropriate character, in the periods the items are expected to be deductible or taxable. Based on the available objective evidence during the three months ended April 30, 2022, we continue to believe that it is more likely than not that the tax benefits of the U.K. net deferred tax assets may not be realized. Accordingly, we maintained a full valuation allowance against the tax benefits of these net deferred tax assets. We intend to maintain the full valuation allowance until sufficient positive evidence exists to support a reversal of, or decrease in, the valuation allowance.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April 30, 2022, there were no material changes to the total amount of unrecognized tax benefits and we do not expect any significant changes in the next 12 months.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97205"/>
                <wp:effectExtent l="0" t="0" r="0" b="0"/>
                <wp:wrapNone/>
                <wp:docPr id="20" name="Frame20"/>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required by the 2017 Tax Cuts and Jobs Act, we are capitalizing research and development expenses incurred in fiscal year 2023. These expenses are capitalized and amortized over five years for domestic research and fifteen years for international research. The mandatory capitalization requirement increases our cash tax liabilities but also decreases our effective tax rate due to increasing the foreign-derived intangible income deduction. The cash flow impact will decrease over time as capitalized research and development expenditures continue to amortize.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9.    Net Income Per Share Attributable to Common Stockholders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income per share attributable to common stockholders for the periods presented:</w:t>
      </w:r>
    </w:p>
    <w:tbl>
      <w:tblPr>
        <w:tblW w:w="10205" w:type="dxa"/>
        <w:jc w:val="left"/>
        <w:tblInd w:w="0" w:type="dxa"/>
        <w:tblCellMar>
          <w:top w:w="28" w:type="dxa"/>
          <w:left w:w="28" w:type="dxa"/>
          <w:bottom w:w="28" w:type="dxa"/>
          <w:right w:w="28" w:type="dxa"/>
        </w:tblCellMar>
      </w:tblPr>
      <w:tblGrid>
        <w:gridCol w:w="1425"/>
        <w:gridCol w:w="1002"/>
        <w:gridCol w:w="1006"/>
        <w:gridCol w:w="109"/>
        <w:gridCol w:w="109"/>
        <w:gridCol w:w="117"/>
        <w:gridCol w:w="117"/>
        <w:gridCol w:w="155"/>
        <w:gridCol w:w="155"/>
        <w:gridCol w:w="156"/>
        <w:gridCol w:w="117"/>
        <w:gridCol w:w="117"/>
        <w:gridCol w:w="117"/>
        <w:gridCol w:w="246"/>
        <w:gridCol w:w="807"/>
        <w:gridCol w:w="117"/>
        <w:gridCol w:w="109"/>
        <w:gridCol w:w="109"/>
        <w:gridCol w:w="109"/>
        <w:gridCol w:w="223"/>
        <w:gridCol w:w="738"/>
        <w:gridCol w:w="109"/>
        <w:gridCol w:w="109"/>
        <w:gridCol w:w="109"/>
        <w:gridCol w:w="109"/>
        <w:gridCol w:w="221"/>
        <w:gridCol w:w="830"/>
        <w:gridCol w:w="109"/>
        <w:gridCol w:w="109"/>
        <w:gridCol w:w="109"/>
        <w:gridCol w:w="109"/>
        <w:gridCol w:w="223"/>
        <w:gridCol w:w="738"/>
        <w:gridCol w:w="161"/>
      </w:tblGrid>
      <w:tr>
        <w:trPr/>
        <w:tc>
          <w:tcPr>
            <w:tcW w:w="1425"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1"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4333" w:type="dxa"/>
            <w:gridSpan w:val="18"/>
            <w:tcBorders/>
            <w:shd w:fill="auto" w:val="clear"/>
          </w:tcPr>
          <w:p>
            <w:pPr>
              <w:pStyle w:val="TableContents"/>
              <w:spacing w:before="0" w:after="283"/>
              <w:rPr>
                <w:sz w:val="4"/>
                <w:szCs w:val="4"/>
              </w:rPr>
            </w:pPr>
            <w:r>
              <w:rPr>
                <w:sz w:val="4"/>
                <w:szCs w:val="4"/>
              </w:rPr>
            </w:r>
          </w:p>
        </w:tc>
      </w:tr>
      <w:tr>
        <w:trPr/>
        <w:tc>
          <w:tcPr>
            <w:tcW w:w="34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6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2936" w:type="dxa"/>
            <w:gridSpan w:val="12"/>
            <w:tcBorders/>
            <w:shd w:fill="auto" w:val="clear"/>
          </w:tcPr>
          <w:p>
            <w:pPr>
              <w:pStyle w:val="TableContents"/>
              <w:spacing w:before="0" w:after="283"/>
              <w:rPr>
                <w:sz w:val="4"/>
                <w:szCs w:val="4"/>
              </w:rPr>
            </w:pPr>
            <w:r>
              <w:rPr>
                <w:sz w:val="4"/>
                <w:szCs w:val="4"/>
              </w:rPr>
            </w:r>
          </w:p>
        </w:tc>
      </w:tr>
      <w:tr>
        <w:trPr/>
        <w:tc>
          <w:tcPr>
            <w:tcW w:w="34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r>
      <w:tr>
        <w:trPr/>
        <w:tc>
          <w:tcPr>
            <w:tcW w:w="34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5854" w:type="dxa"/>
            <w:gridSpan w:val="24"/>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r>
      <w:tr>
        <w:trPr/>
        <w:tc>
          <w:tcPr>
            <w:tcW w:w="34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5854" w:type="dxa"/>
            <w:gridSpan w:val="24"/>
            <w:vMerge w:val="continue"/>
            <w:tcBorders/>
            <w:shd w:fill="auto" w:val="clear"/>
            <w:tcMar>
              <w:top w:w="0" w:type="dxa"/>
              <w:left w:w="0" w:type="dxa"/>
              <w:bottom w:w="0" w:type="dxa"/>
              <w:right w:w="0" w:type="dxa"/>
            </w:tcMar>
            <w:vAlign w:val="center"/>
          </w:tcPr>
          <w:p>
            <w:pPr>
              <w:pStyle w:val="Normal"/>
              <w:rPr/>
            </w:pPr>
            <w:r>
              <w:rPr/>
            </w:r>
          </w:p>
        </w:tc>
      </w:tr>
      <w:tr>
        <w:trPr/>
        <w:tc>
          <w:tcPr>
            <w:tcW w:w="34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95,289 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50,126 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undistributed earnings attributable to participating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common stockholders,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95,289 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49,978 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net income attributable to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4,308 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common stockholders,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93,791 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net income per share attributable to common stockholders,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250,840,017 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48,307,088 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229,220,253 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64,574,525 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net income per share attributable to common stockholders,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253,035,897 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53,578,323 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232,497,872 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72,914,547 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 attributable to common stockholders,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 attributable to common stockholders,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0.37 </w:t>
            </w:r>
          </w:p>
        </w:tc>
        <w:tc>
          <w:tcPr>
            <w:tcW w:w="1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0.74 </w:t>
            </w:r>
          </w:p>
        </w:tc>
        <w:tc>
          <w:tcPr>
            <w:tcW w:w="1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potential shares of common stock that were excluded from the computation of diluted net income per share attributable to common stockholders for the periods presented, because including them would have been anti-dilutive, are as follows:</w:t>
      </w:r>
    </w:p>
    <w:tbl>
      <w:tblPr>
        <w:tblW w:w="9380" w:type="dxa"/>
        <w:jc w:val="left"/>
        <w:tblInd w:w="0" w:type="dxa"/>
        <w:tblCellMar>
          <w:top w:w="28" w:type="dxa"/>
          <w:left w:w="28" w:type="dxa"/>
          <w:bottom w:w="28" w:type="dxa"/>
          <w:right w:w="28" w:type="dxa"/>
        </w:tblCellMar>
      </w:tblPr>
      <w:tblGrid>
        <w:gridCol w:w="1145"/>
        <w:gridCol w:w="1006"/>
        <w:gridCol w:w="1013"/>
        <w:gridCol w:w="109"/>
        <w:gridCol w:w="109"/>
        <w:gridCol w:w="208"/>
        <w:gridCol w:w="208"/>
        <w:gridCol w:w="208"/>
        <w:gridCol w:w="208"/>
        <w:gridCol w:w="208"/>
        <w:gridCol w:w="208"/>
        <w:gridCol w:w="208"/>
        <w:gridCol w:w="208"/>
        <w:gridCol w:w="487"/>
        <w:gridCol w:w="384"/>
        <w:gridCol w:w="215"/>
        <w:gridCol w:w="109"/>
        <w:gridCol w:w="109"/>
        <w:gridCol w:w="109"/>
        <w:gridCol w:w="209"/>
        <w:gridCol w:w="209"/>
        <w:gridCol w:w="211"/>
        <w:gridCol w:w="109"/>
        <w:gridCol w:w="109"/>
        <w:gridCol w:w="109"/>
        <w:gridCol w:w="368"/>
        <w:gridCol w:w="368"/>
        <w:gridCol w:w="216"/>
        <w:gridCol w:w="109"/>
        <w:gridCol w:w="109"/>
        <w:gridCol w:w="109"/>
        <w:gridCol w:w="203"/>
        <w:gridCol w:w="203"/>
        <w:gridCol w:w="280"/>
      </w:tblGrid>
      <w:tr>
        <w:trPr/>
        <w:tc>
          <w:tcPr>
            <w:tcW w:w="1145"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0"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3248" w:type="dxa"/>
            <w:gridSpan w:val="18"/>
            <w:tcBorders/>
            <w:shd w:fill="auto" w:val="clea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6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4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2292" w:type="dxa"/>
            <w:gridSpan w:val="12"/>
            <w:tcBorders/>
            <w:shd w:fill="auto" w:val="clea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RSUs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3,775,393 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279,046 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rights committed under the ESPP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232,870 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21,830 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6" w:type="dxa"/>
            <w:gridSpan w:val="3"/>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6" w:type="dxa"/>
            <w:gridSpan w:val="3"/>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4,008,263 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300,876 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above does not include 405,156 shares of issued Class A common stock held by us as of April 30, 2022 and 2021 that are reserved for the sole purpose of being transferred to nonprofit organizations.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10.    Subsequent Events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May 2022, we acquired a private technology company specializing in conversational AI with an automation platform for customer support. The acquisition expands the features of our contact center platform. The total purchase consideration will be paid in cash from our existing balances of cash and cash equivalents.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44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the unaudited condensed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97205"/>
                <wp:effectExtent l="0" t="0" r="0" b="0"/>
                <wp:wrapNone/>
                <wp:docPr id="21" name="Frame21"/>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mission is to make video communications frictionless and secure.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enables people to connect to others, share ideas, make plans, and build toward a future limited only by their imagination. Our frictionless communications platform started with video as its foundation, and we have set the standard for innovation ever since. We connect people through our core unified communications offering, which frictionlessly brings together phone, chat, video, whiteboarding, and webinars, and enables meaningful experiences across disparate devices and locations. Our Developer Platform enables customers, developers, and service providers to easily build apps and integrations on top of Zoom’s industry-leading video communications platform, with opportunities for global discovery and distribution. Our virtual and hybrid event solutions allow users to seamlessly create and manage engaging events. Our Contact Center is an omnichannel contact center solution that is optimized for video and integrated right into the Zoom client.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face-to-face communications build greater empathy and trust. We strive to live up to the trust our customers place in us by delivering a communications solution while prioritizing their privacy and security. Our 27 co-located data centers worldwide and the public cloud in conjunction with our proprietary adaptive rate codec enable us to provide both high-quality and high-definition, real-time video to our customers even in low-bandwidth environments.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the sale of subscriptions to our unified communications platform. Subscription revenue is driven primarily by the number of paid hosts as well as purchases of additional products, including Rooms, Webinars, Phone, Events, Contact Center, and Hardware-as-a-Service (“HaaS”) for rooms and phones. A host is any user of our unified communications platform who initiates a Zoom Meeting and invites one or more participants to join that meeting. We refer to hosts who subscribe to a paid Zoom Meeting plan as “paid hosts.” We define a customer as a separate and distinct buying entity, which can be a single paid user or host or an organization of any size (including a distinct unit of an organization) that has multiple paid hosts. Our Basic offering is free and gives hosts access to Zoom Meetings with core features but with the limitation that meetings time-out at 40 minutes. Our paid offerings include our Pro, Business, Enterprise, Education, and Healthcare plans, which provide incremental features and functionality, such as different participant limits, administrative controls, and reporting.</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Zoom Phone, plans include Zoom Phone Pro, which provides extension-to-extension calling or can be used with the Bring Your Own Carrier model wherein the customer connects Zoom Phone to an existing carrier. We also offer Regional Unlimited and Regional Metered calling plans in three specific markets (United States/Canada, United Kingdom/Ireland, and Australia/New Zealand). In addition, we introduced the Global Select plan in August 2020, which allows customers to select from local numbers and domestic calling in more than 45 countries and territories where Zoom has local public switched telephone network (“PSTN”) coverage.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was $1,073.8 million and $956.2 million for the three months ended April 30, 2022 and 2021, respectively, representing period-over-period growth of 12%. We had net income of $113.7 million and $227.5 million for the three months ended April 30, 2022 and 2021, respectively. Net cash provided by operating activities was $526.2 million and $533.3 million for the three months ended April 30, 2022 and 2021, respectively.</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Impact of the COVID-19 Pandemic</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monitor the actual and potential effects of the COVID-19 pandemic across our business. The extent and continued impact of the COVID-19 pandemic on our business will depend on certain developments including the duration and spread of the virus and its variant strains; the availability; distribution and adoption of effective vaccines; the severity of the economic decline attributable to the pandemic and the timing, nature and sustainability of economic recovery; and government responses, including vaccination or testing mandates, all of which are highly uncertain and unpredictable.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onset of the COVID-19 pandemic, many organizations resorted to mandating employees to work from home, which has resulted in these organizations seeking out video communication solutions like ours to keep employees as productive as possible, even while working from home. There is no assurance that we will experience an increase in paid hosts or that new or existing users will continue to utilize our service after the COVID-19 pandemic has tapered globally. Moreover, the tapering of the COVID-19 pandemic may result in a decline in paid hosts and users once individuals are no longer working or attending school from home.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30, 2022, many of our employees have returned to our offices for at least part of the week. Our return to work approach may vary among geographies depending on appropriate health protocols, and may change at any time depending on the severity of or spikes in COVID-19 cases. The impact, if any, of these and any additional operational changes we may implement is uncertain, but changes we have implemented have not affected and are not expected to affect our ability to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97205"/>
                <wp:effectExtent l="0" t="0" r="0" b="0"/>
                <wp:wrapNone/>
                <wp:docPr id="22" name="Frame22"/>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maintain operations, including financial reporting systems, internal control over financial reporting and disclosure controls and procedures.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War in Ukraine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closely monitoring the unfolding events of the Russian invasion of Ukraine and its global impacts, including various sanctions and export restrictions on Russia and Belarus by the United States, the United Kingdom, the European Union, and other governmental authorities. While the war is still evolving and the outcome remains highly uncertain, we believe the Russia-Ukraine war may have some impact on our business and results of operations. However, if the Russia-Ukraine war continues or worsens, leading to additional sanctions, tightened export restrictions, and greater global economic disruptions and uncertainty, our business and results of operations could be materially impacted. Our customers in Russia, Belarus, and Ukraine represented an immaterial portion of our net assets and total consolidated revenue as of and for the three months ended April 30,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Acquiring New Customers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continuing to grow the number of customers that use our platform. Our operating results and growth prospects will depend, in part, on our ability to attract new customers. While we believe there is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Expansion of Zoom Across Existing Enterprise Customers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there is a large opportunity for growth with many of our existing customers. Many customers have increased the size of their subscriptions as they have expanded their use of our platform across their operations. Some of our larger customers start with a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Phone, HaaS, Zoom for Home, Rooms at each office location, Developer Platform solutions, Events, Contact Center, and Webinars. In order for us to address this opportunity to expand the use of our products with our existing customers, we will need to maintain the reliability of our platform and produce new features and functionality that are responsive to our customers’ requirements for enterprise-grade solutions.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quantify our expansion across existing Enterprise customers through our net dollar expansion rate. We define Enterprise customers as distinct business units who have been engaged by either our direct sales team, resellers, or strategic partners. Our net dollar expansion rate includes the increase in user adoption within our Enterprise customers, as our subscription revenue is primarily driven by the number of paid hosts within a customer and the purchase of additional products, and compares our subscription revenue from the same set of Enterprise customers across comparable periods. We calculate net dollar expansion rate as of a period end by starting with the annual recurring revenue (“ARR”) from all Enterprise customers as of 12 months prior (“Prior Period ARR”). We define ARR as the annualized revenue run rate of subscription agreements from all customers at a point in time. We calculate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We then calculate the ARR from these Enterprise customers as of the current period end (“Current Period ARR”), which includes any upsells, contraction, and attrition. We divide the Current Period ARR by the Prior Period ARR to arrive at the net dollar expansion rate. For the trailing 12-months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Enterprise customers. Our trailing 12-month net dollar expansion rate for Enterprise customers was 123% as of April 30, 2022 and greater than 130% as of April 30, 2021.</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Innovation and Expansion of Our Platform</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invest resources to enhance the capabilities of our platform. For example, we have recently introduced a number of product enhancements, including new features for Phone, Meetings, Webinars, and Events and launched Zoom Contact Center and Whiteboard. We addressed new work-from-home realities with the introduction of Zoom for Home, a solution designed for the home office that combines Zoom software enhancements with compatible hardware. We also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97205"/>
                <wp:effectExtent l="0" t="0" r="0" b="0"/>
                <wp:wrapNone/>
                <wp:docPr id="23" name="Frame23"/>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expanded our geographic footprint with Zoom Phone availability to more than 45 countries and territories as of April 30, 2022. Third-party developers are also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We will need to expend additional resources to continue introducing new products, features, and functionality, and supporting the efforts of third parties to enhance the value of our platform with their own applications.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 end-to-end encryption (“E2EE”) option is available to free and paid Zoom customers globally who host meetings with up to 200 participants. Zoom’s E2EE uses the same AES-256-GCM encryption that secures Zoom meetings by default, but with Zoom’s E2EE, the meeting host generates encryption keys and uses public key cryptography to distribute these keys to the other meeting participants.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we launched Zoom Contact Center, an omnichannel contact center solution that is optimized for video and integrated right into the Zoom client. Currently, Zoom Contact Center is available in the U.S. and Canada, with plans to introduce international availability later in 2022. In April 2022, we released Zoom Whiteboard, a persistent whiteboard tool for team collaboration in and outside of meetings, and Zoom IQ for Sales, a conversation intelligence software for Zoom Meetings, which provides sales teams with meaningful and actionable insights from their customer interactions to improve seller performance and enhance customer experiences.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International Expansion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addresses the communications needs of users worldwide, and we see international expansion as a major opportunity. Our revenue from the rest of world (APAC and EMEA) represented 32% and 34% of our total revenue for the three months ended April 30, 2022 and 2021, respectively. We plan to add local sales support in further select international markets over time. We use strategic partners and resellers to sell in certain international markets where we have limited or no direct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historically reviewed the following key business metrics to measure our performance, identify trends, formulate financial projections, and make strategic decisions.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Number of Enterprise Customers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ability to increase the number of Enterprise customers is an indicator of our potential future business opportunities, the growth of our business, and an indicator of our market penetration. Increasing awareness of our platform and capabilities, coupled with the mainstream adoption of our technology, has expanded the diversity of our customer base to include organizations of all sizes across all industries. Over time, we expect Enterprise customers to represent a larger share of our business. As of April 30, 2022 and 2021, we had approximately 198,900 and 160,300 Enterprise customers, respectively.</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Customers Contributing More Than $100,000 of Trailing 12 Months Revenue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focus on growing the number of customers that contribute more than $100,000 of trailing 12 months revenue as it is a measure of our ability to scale with our customers and attract larger organizations to Zoom. Revenue from these customers represented 24% and 19% of total revenue for the three months ended April 30, 2022 and 2021, respectively. As of April 30, 2022 and 2021, we had 2,916 and 1,999 customers, respectively, that contributed more than $100,000 of trailing 12 months revenue, demonstrating our rapid penetration of larger organizations, including enterprises. These customers are a subset of Enterprise customers.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GAAP, we believe that free cash flow (“FCF”) and adjusted free cash flow (“Adjusted FCF”), a non-GAAP financial measures, are useful in evaluating our liquidity.</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Free Cash Flow and Adjusted Free Cash Flow</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FCF as GAAP net cash provided by operating activities less purchases of property and equipment. We define Adjusted FCF as FCF plus litigation settlement payments, net. We add back litigation settlement payments, net because they are not part of our ongoing operating activities, and the consideration of measures that exclude such payments can assist in the comparison of cash generated from operations in different periods which may or may not include such payments and assist in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97205"/>
                <wp:effectExtent l="0" t="0" r="0" b="0"/>
                <wp:wrapNone/>
                <wp:docPr id="24" name="Frame24"/>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comparison with the results of other companies in the industry. We believe that FCF and Adjusted FCF are useful indicators of liquidity that provides information to management and investors about the amount of cash generated from our operations that, after investments in property and equipment, can be used for future growth. FCF and Adjusted FCF are presented for supplemental informational purposes only, have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these metrics, may calculate these metrics differently, or may use other financial measures to evaluate their liquidity, all of which could reduce the usefulness of these non-GAAP metrics as a comparative measure.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our cash flows for the periods presented and a reconciliation of FCF and Adjusted FCF to net cash provided by operating activities, the most directly comparable financial measure calculated in accordance with GAAP:</w:t>
      </w:r>
    </w:p>
    <w:tbl>
      <w:tblPr>
        <w:tblW w:w="6548" w:type="dxa"/>
        <w:jc w:val="left"/>
        <w:tblInd w:w="0" w:type="dxa"/>
        <w:tblCellMar>
          <w:top w:w="28" w:type="dxa"/>
          <w:left w:w="28" w:type="dxa"/>
          <w:bottom w:w="28" w:type="dxa"/>
          <w:right w:w="28" w:type="dxa"/>
        </w:tblCellMar>
      </w:tblPr>
      <w:tblGrid>
        <w:gridCol w:w="1297"/>
        <w:gridCol w:w="1142"/>
        <w:gridCol w:w="1145"/>
        <w:gridCol w:w="211"/>
        <w:gridCol w:w="901"/>
        <w:gridCol w:w="109"/>
        <w:gridCol w:w="109"/>
        <w:gridCol w:w="109"/>
        <w:gridCol w:w="109"/>
        <w:gridCol w:w="211"/>
        <w:gridCol w:w="1051"/>
        <w:gridCol w:w="154"/>
      </w:tblGrid>
      <w:tr>
        <w:trPr/>
        <w:tc>
          <w:tcPr>
            <w:tcW w:w="1297"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purchases of property and equipment</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(79,074)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(non-GAAP)</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Litigation settlement payments, net</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free cash flow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(1,219,978)</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(133,243)</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derive our revenue from subscription agreements with customers for access to our unified communications platform. Our customers generally do not have the ability to take possession of our software. We also provide services, which include professional services, consulting services, and online event hosting, which are generally considered distinct from the access to our unified communications platform.</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primarily consists of costs related to hosting our unified communications platform and providing general operating support services to our customers. These costs are related to our co-located data centers, third-party cloud hosting, integrated third-party PSTN services, personnel-related expenses, amortization of capitalized software development and acquired intangible assets, royalty payments, and allocated overhead. We expect our cost of revenue to increase in absolute dollars for the foreseeable future as we expand our data center capacity. We expect, however, that our cost of revenue as a percentage of revenue will remain relatively flat for the rest of the current fiscal year.</w:t>
      </w:r>
    </w:p>
    <w:p>
      <w:pPr>
        <w:pStyle w:val="TextBody"/>
        <w:spacing w:lineRule="auto" w:line="288" w:before="36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 We plan to increase our investment in research and development for the foreseeable future, primarily by increasing research and development headcount, as we focus on further developing our platform, enhancing its use cases, and strengthening security and privacy. As a result, we expect our research and development expenses to increase both in absolute dollars and as a percentage of revenue for the rest of the current fiscal year.</w:t>
      </w:r>
    </w:p>
    <w:p>
      <w:pPr>
        <w:pStyle w:val="TextBody"/>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credit card processing fees related to sales and amortization of deferred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97205"/>
                <wp:effectExtent l="0" t="0" r="0" b="0"/>
                <wp:wrapNone/>
                <wp:docPr id="25" name="Frame25"/>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acquisition costs. We plan to increase our investment in sales and marketing over the foreseeable future, primarily by increasing the headcount of our direct sales force and marketing investments in demand generation. As a result, we expect our sales and marketing expenses to increase both in absolute dollars and as a percentage of revenue for the rest of the current fiscal year.</w:t>
      </w:r>
    </w:p>
    <w:p>
      <w:pPr>
        <w:pStyle w:val="TextBody"/>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primarily consist of personnel-related expenses associated with our finance and legal organizations; professional fees for external legal, accounting, and other consulting services; expected credit losses; insurance; indirect taxes; litigation settlements, and allocated overhead. We expect to increase the size of our general and administrative function to support the growth and complexity of our business. As a result, we expect our general and administrative expenses to increase both in absolute dollars and as a percentage of revenue for the rest of the current fiscal year.</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Losses on Strategic Investments, Net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Losses on strategic investments, net consist primarily of remeasurement gains or losses on our equity investments.</w:t>
      </w:r>
    </w:p>
    <w:p>
      <w:pPr>
        <w:pStyle w:val="TextBody"/>
        <w:spacing w:lineRule="auto" w:line="288" w:before="240" w:after="283"/>
        <w:ind w:left="0" w:right="0" w:firstLine="540"/>
        <w:jc w:val="both"/>
        <w:rPr/>
      </w:pPr>
      <w:r>
        <w:rPr>
          <w:rFonts w:ascii="Times New Roman;sans-serif" w:hAnsi="Times New Roman;sans-serif"/>
          <w:b/>
          <w:i/>
          <w:color w:val="000000"/>
          <w:sz w:val="20"/>
        </w:rPr>
        <w:t>Other (Expense) Income,</w:t>
      </w:r>
      <w:r>
        <w:rPr>
          <w:color w:val="000000"/>
        </w:rPr>
        <w:t xml:space="preserve"> </w:t>
      </w:r>
      <w:r>
        <w:rPr>
          <w:rFonts w:ascii="Times New Roman;sans-serif" w:hAnsi="Times New Roman;sans-serif"/>
          <w:b/>
          <w:i/>
          <w:color w:val="000000"/>
          <w:sz w:val="20"/>
        </w:rPr>
        <w:t>Net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income, net consists primarily of interest income and net accretion on our marketable securities and effect of changes in foreign currency exchange rates.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consists primarily of income taxes related to federal, state, and foreign jurisdictions where we conduct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97205"/>
                <wp:effectExtent l="0" t="0" r="0" b="0"/>
                <wp:wrapNone/>
                <wp:docPr id="26" name="Frame26"/>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selected condensed consolidated statements of operations data and such data as a percentage of revenue for each of the periods indicated:</w:t>
      </w:r>
    </w:p>
    <w:tbl>
      <w:tblPr>
        <w:tblW w:w="8872" w:type="dxa"/>
        <w:jc w:val="left"/>
        <w:tblInd w:w="0" w:type="dxa"/>
        <w:tblCellMar>
          <w:top w:w="28" w:type="dxa"/>
          <w:left w:w="28" w:type="dxa"/>
          <w:bottom w:w="28" w:type="dxa"/>
          <w:right w:w="28" w:type="dxa"/>
        </w:tblCellMar>
      </w:tblPr>
      <w:tblGrid>
        <w:gridCol w:w="1750"/>
        <w:gridCol w:w="1544"/>
        <w:gridCol w:w="1550"/>
        <w:gridCol w:w="109"/>
        <w:gridCol w:w="109"/>
        <w:gridCol w:w="144"/>
        <w:gridCol w:w="144"/>
        <w:gridCol w:w="144"/>
        <w:gridCol w:w="144"/>
        <w:gridCol w:w="279"/>
        <w:gridCol w:w="1293"/>
        <w:gridCol w:w="144"/>
        <w:gridCol w:w="109"/>
        <w:gridCol w:w="109"/>
        <w:gridCol w:w="109"/>
        <w:gridCol w:w="211"/>
        <w:gridCol w:w="826"/>
        <w:gridCol w:w="154"/>
      </w:tblGrid>
      <w:tr>
        <w:trPr/>
        <w:tc>
          <w:tcPr>
            <w:tcW w:w="1750" w:type="dxa"/>
            <w:tcBorders/>
            <w:shd w:fill="auto" w:val="clear"/>
            <w:vAlign w:val="center"/>
          </w:tcPr>
          <w:p>
            <w:pPr>
              <w:pStyle w:val="TableContents"/>
              <w:spacing w:before="0" w:after="283"/>
              <w:rPr>
                <w:sz w:val="4"/>
                <w:szCs w:val="4"/>
              </w:rPr>
            </w:pPr>
            <w:r>
              <w:rPr>
                <w:sz w:val="4"/>
                <w:szCs w:val="4"/>
              </w:rPr>
            </w:r>
          </w:p>
        </w:tc>
        <w:tc>
          <w:tcPr>
            <w:tcW w:w="1544"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518" w:type="dxa"/>
            <w:gridSpan w:val="6"/>
            <w:tcBorders/>
            <w:shd w:fill="auto" w:val="clear"/>
          </w:tcPr>
          <w:p>
            <w:pPr>
              <w:pStyle w:val="TableContents"/>
              <w:spacing w:before="0" w:after="283"/>
              <w:rPr>
                <w:sz w:val="4"/>
                <w:szCs w:val="4"/>
              </w:rPr>
            </w:pPr>
            <w:r>
              <w:rPr>
                <w:sz w:val="4"/>
                <w:szCs w:val="4"/>
              </w:rPr>
            </w:r>
          </w:p>
        </w:tc>
      </w:tr>
      <w:tr>
        <w:trPr/>
        <w:tc>
          <w:tcPr>
            <w:tcW w:w="4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3666"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1,073,800 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956,237 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Cost of revenue </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261,821 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811,979 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Research and development </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144,291 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Sales and marketing</w:t>
            </w:r>
            <w:r>
              <w:rPr>
                <w:color w:val="000000"/>
              </w:rPr>
              <w:t xml:space="preserve"> </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362,783 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General and administrative</w:t>
            </w:r>
            <w:r>
              <w:rPr>
                <w:color w:val="000000"/>
              </w:rPr>
              <w:t xml:space="preserve"> </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117,840 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624,914 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187,065 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on strategic investments,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(36,404)</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(6,989)</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143,672 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30,014 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113,658 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stock-based compensation expense as follows: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31,150 </w:t>
            </w:r>
          </w:p>
        </w:tc>
        <w:tc>
          <w:tcPr>
            <w:tcW w:w="14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14,066 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55,751 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93,795 </w:t>
            </w:r>
          </w:p>
        </w:tc>
        <w:tc>
          <w:tcPr>
            <w:tcW w:w="14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51,812 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28,667 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209,363 </w:t>
            </w:r>
          </w:p>
        </w:tc>
        <w:tc>
          <w:tcPr>
            <w:tcW w:w="14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98,969 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jc w:val="both"/>
        <w:rPr/>
      </w:pPr>
      <w:r>
        <w:rPr/>
      </w:r>
    </w:p>
    <w:tbl>
      <w:tblPr>
        <w:tblW w:w="7098" w:type="dxa"/>
        <w:jc w:val="left"/>
        <w:tblInd w:w="0" w:type="dxa"/>
        <w:tblCellMar>
          <w:top w:w="28" w:type="dxa"/>
          <w:left w:w="28" w:type="dxa"/>
          <w:bottom w:w="28" w:type="dxa"/>
          <w:right w:w="28" w:type="dxa"/>
        </w:tblCellMar>
      </w:tblPr>
      <w:tblGrid>
        <w:gridCol w:w="1258"/>
        <w:gridCol w:w="1109"/>
        <w:gridCol w:w="1112"/>
        <w:gridCol w:w="109"/>
        <w:gridCol w:w="109"/>
        <w:gridCol w:w="270"/>
        <w:gridCol w:w="270"/>
        <w:gridCol w:w="270"/>
        <w:gridCol w:w="270"/>
        <w:gridCol w:w="270"/>
        <w:gridCol w:w="270"/>
        <w:gridCol w:w="672"/>
        <w:gridCol w:w="109"/>
        <w:gridCol w:w="109"/>
        <w:gridCol w:w="109"/>
        <w:gridCol w:w="233"/>
        <w:gridCol w:w="233"/>
        <w:gridCol w:w="316"/>
      </w:tblGrid>
      <w:tr>
        <w:trPr/>
        <w:tc>
          <w:tcPr>
            <w:tcW w:w="1258"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109" w:type="dxa"/>
            <w:gridSpan w:val="6"/>
            <w:tcBorders/>
            <w:shd w:fill="auto" w:val="clear"/>
          </w:tcPr>
          <w:p>
            <w:pPr>
              <w:pStyle w:val="TableContents"/>
              <w:spacing w:before="0" w:after="283"/>
              <w:rPr>
                <w:sz w:val="4"/>
                <w:szCs w:val="4"/>
              </w:rPr>
            </w:pPr>
            <w:r>
              <w:rPr>
                <w:sz w:val="4"/>
                <w:szCs w:val="4"/>
              </w:rPr>
            </w:r>
          </w:p>
        </w:tc>
      </w:tr>
      <w:tr>
        <w:trPr/>
        <w:tc>
          <w:tcPr>
            <w:tcW w:w="3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3131"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a percentage of revenue)</w:t>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6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6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on strategic investments,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6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97205"/>
                <wp:effectExtent l="0" t="0" r="0" b="0"/>
                <wp:wrapNone/>
                <wp:docPr id="27" name="Frame27"/>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April 30, 2022 and 2021</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Revenue</w:t>
      </w:r>
    </w:p>
    <w:tbl>
      <w:tblPr>
        <w:tblW w:w="4853" w:type="dxa"/>
        <w:jc w:val="left"/>
        <w:tblInd w:w="0" w:type="dxa"/>
        <w:tblCellMar>
          <w:top w:w="28" w:type="dxa"/>
          <w:left w:w="28" w:type="dxa"/>
          <w:bottom w:w="28" w:type="dxa"/>
          <w:right w:w="28" w:type="dxa"/>
        </w:tblCellMar>
      </w:tblPr>
      <w:tblGrid>
        <w:gridCol w:w="304"/>
        <w:gridCol w:w="268"/>
        <w:gridCol w:w="269"/>
        <w:gridCol w:w="211"/>
        <w:gridCol w:w="976"/>
        <w:gridCol w:w="109"/>
        <w:gridCol w:w="109"/>
        <w:gridCol w:w="109"/>
        <w:gridCol w:w="109"/>
        <w:gridCol w:w="211"/>
        <w:gridCol w:w="826"/>
        <w:gridCol w:w="109"/>
        <w:gridCol w:w="109"/>
        <w:gridCol w:w="109"/>
        <w:gridCol w:w="109"/>
        <w:gridCol w:w="186"/>
        <w:gridCol w:w="186"/>
        <w:gridCol w:w="544"/>
      </w:tblGrid>
      <w:tr>
        <w:trPr/>
        <w:tc>
          <w:tcPr>
            <w:tcW w:w="30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4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1,073,800 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956,237 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44"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540"/>
        <w:jc w:val="both"/>
        <w:rPr/>
      </w:pPr>
      <w:r>
        <w:rPr>
          <w:rFonts w:ascii="Times New Roman;sans-serif" w:hAnsi="Times New Roman;sans-serif"/>
          <w:b w:val="false"/>
          <w:color w:val="231F20"/>
          <w:sz w:val="20"/>
        </w:rPr>
        <w:t>Revenue for the three months ended April 30, 2022 increased by $117.6 million, or 12%, compared to the three months ended April 30, 2021. The</w:t>
      </w:r>
      <w:r>
        <w:rPr>
          <w:color w:val="000000"/>
        </w:rPr>
        <w:t xml:space="preserve"> </w:t>
      </w:r>
      <w:r>
        <w:rPr>
          <w:rFonts w:ascii="Times New Roman;sans-serif" w:hAnsi="Times New Roman;sans-serif"/>
          <w:b w:val="false"/>
          <w:color w:val="000000"/>
          <w:sz w:val="20"/>
        </w:rPr>
        <w:t>increase in revenue was predominantly due to subscription services provided to new customers.</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Cost of Revenue</w:t>
      </w:r>
    </w:p>
    <w:tbl>
      <w:tblPr>
        <w:tblW w:w="5580" w:type="dxa"/>
        <w:jc w:val="left"/>
        <w:tblInd w:w="0" w:type="dxa"/>
        <w:tblCellMar>
          <w:top w:w="28" w:type="dxa"/>
          <w:left w:w="28" w:type="dxa"/>
          <w:bottom w:w="28" w:type="dxa"/>
          <w:right w:w="28" w:type="dxa"/>
        </w:tblCellMar>
      </w:tblPr>
      <w:tblGrid>
        <w:gridCol w:w="504"/>
        <w:gridCol w:w="444"/>
        <w:gridCol w:w="446"/>
        <w:gridCol w:w="211"/>
        <w:gridCol w:w="826"/>
        <w:gridCol w:w="271"/>
        <w:gridCol w:w="109"/>
        <w:gridCol w:w="109"/>
        <w:gridCol w:w="109"/>
        <w:gridCol w:w="211"/>
        <w:gridCol w:w="826"/>
        <w:gridCol w:w="271"/>
        <w:gridCol w:w="109"/>
        <w:gridCol w:w="109"/>
        <w:gridCol w:w="109"/>
        <w:gridCol w:w="186"/>
        <w:gridCol w:w="186"/>
        <w:gridCol w:w="544"/>
      </w:tblGrid>
      <w:tr>
        <w:trPr/>
        <w:tc>
          <w:tcPr>
            <w:tcW w:w="50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261,821 </w:t>
            </w:r>
          </w:p>
        </w:tc>
        <w:tc>
          <w:tcPr>
            <w:tcW w:w="2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264,994 </w:t>
            </w:r>
          </w:p>
        </w:tc>
        <w:tc>
          <w:tcPr>
            <w:tcW w:w="2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44"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811,979 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691,243 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7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jc w:val="both"/>
        <w:rPr/>
      </w:pPr>
      <w:r>
        <w:rPr>
          <w:rFonts w:ascii="Times New Roman;sans-serif" w:hAnsi="Times New Roman;sans-serif"/>
          <w:b w:val="false"/>
          <w:color w:val="231F20"/>
          <w:sz w:val="20"/>
        </w:rPr>
        <w:t>Cost of revenue for the three months ended April 30, 2022 decreased by $3.2 million, or 1%, compared to the three months ended April 30, 2021. The decrease</w:t>
      </w:r>
      <w:r>
        <w:rPr>
          <w:color w:val="000000"/>
        </w:rPr>
        <w:t xml:space="preserve"> </w:t>
      </w:r>
      <w:r>
        <w:rPr>
          <w:rFonts w:ascii="Times New Roman;sans-serif" w:hAnsi="Times New Roman;sans-serif"/>
          <w:b w:val="false"/>
          <w:color w:val="000000"/>
          <w:sz w:val="20"/>
        </w:rPr>
        <w:t xml:space="preserve">was primarily due to a decrease of </w:t>
      </w:r>
      <w:r>
        <w:rPr>
          <w:rFonts w:ascii="Times New Roman;sans-serif" w:hAnsi="Times New Roman;sans-serif"/>
          <w:b w:val="false"/>
          <w:color w:val="231F20"/>
          <w:sz w:val="20"/>
        </w:rPr>
        <w:t>$44.0 million related to cloud hosting expenses as we expanded our internal data center capacity to replace third-party hosting services, as well as lower rates from third-party hosting providers. The decrease was partially offset by an increase of $29.9 million in personnel-related expenses, which includes an increase of $17.1 million</w:t>
      </w:r>
      <w:r>
        <w:rPr>
          <w:color w:val="000000"/>
        </w:rPr>
        <w:t xml:space="preserve"> </w:t>
      </w:r>
      <w:r>
        <w:rPr>
          <w:rFonts w:ascii="Times New Roman;sans-serif" w:hAnsi="Times New Roman;sans-serif"/>
          <w:b w:val="false"/>
          <w:color w:val="000000"/>
          <w:sz w:val="20"/>
        </w:rPr>
        <w:t>in stock-based compensation expense,</w:t>
      </w:r>
      <w:r>
        <w:rPr>
          <w:color w:val="231F20"/>
        </w:rPr>
        <w:t xml:space="preserve"> </w:t>
      </w:r>
      <w:r>
        <w:rPr>
          <w:rFonts w:ascii="Times New Roman;sans-serif" w:hAnsi="Times New Roman;sans-serif"/>
          <w:b w:val="false"/>
          <w:color w:val="231F20"/>
          <w:sz w:val="20"/>
        </w:rPr>
        <w:t xml:space="preserve">mainly driven by additional headcount and expanded equity programs; and an increase of $9.9 million in costs related to subscription to software-based services. </w:t>
      </w:r>
    </w:p>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Gross margin increased to 76% for the three months ended </w:t>
      </w:r>
      <w:r>
        <w:rPr>
          <w:rFonts w:ascii="Times New Roman;sans-serif" w:hAnsi="Times New Roman;sans-serif"/>
          <w:b w:val="false"/>
          <w:color w:val="231F20"/>
          <w:sz w:val="20"/>
        </w:rPr>
        <w:t>April 30, 2022</w:t>
      </w:r>
      <w:r>
        <w:rPr>
          <w:color w:val="000000"/>
        </w:rPr>
        <w:t xml:space="preserve"> </w:t>
      </w:r>
      <w:r>
        <w:rPr>
          <w:rFonts w:ascii="Times New Roman;sans-serif" w:hAnsi="Times New Roman;sans-serif"/>
          <w:b w:val="false"/>
          <w:color w:val="000000"/>
          <w:sz w:val="20"/>
        </w:rPr>
        <w:t xml:space="preserve">from 72% for the three months ended </w:t>
      </w:r>
      <w:r>
        <w:rPr>
          <w:rFonts w:ascii="Times New Roman;sans-serif" w:hAnsi="Times New Roman;sans-serif"/>
          <w:b w:val="false"/>
          <w:color w:val="231F20"/>
          <w:sz w:val="20"/>
        </w:rPr>
        <w:t>April 30, 2021</w:t>
      </w:r>
      <w:r>
        <w:rPr>
          <w:rFonts w:ascii="Times New Roman;sans-serif" w:hAnsi="Times New Roman;sans-serif"/>
          <w:b w:val="false"/>
          <w:color w:val="000000"/>
          <w:sz w:val="20"/>
        </w:rPr>
        <w:t>. The increase in gross margin was mainly due to increased efficiencies as we expanded our internal data center capacity as well as lower rates from third-party cloud hosting providers.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120" w:after="283"/>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tbl>
      <w:tblPr>
        <w:tblW w:w="6160" w:type="dxa"/>
        <w:jc w:val="left"/>
        <w:tblInd w:w="0" w:type="dxa"/>
        <w:tblCellMar>
          <w:top w:w="28" w:type="dxa"/>
          <w:left w:w="28" w:type="dxa"/>
          <w:bottom w:w="28" w:type="dxa"/>
          <w:right w:w="28" w:type="dxa"/>
        </w:tblCellMar>
      </w:tblPr>
      <w:tblGrid>
        <w:gridCol w:w="837"/>
        <w:gridCol w:w="734"/>
        <w:gridCol w:w="738"/>
        <w:gridCol w:w="211"/>
        <w:gridCol w:w="826"/>
        <w:gridCol w:w="109"/>
        <w:gridCol w:w="109"/>
        <w:gridCol w:w="109"/>
        <w:gridCol w:w="109"/>
        <w:gridCol w:w="211"/>
        <w:gridCol w:w="721"/>
        <w:gridCol w:w="109"/>
        <w:gridCol w:w="109"/>
        <w:gridCol w:w="109"/>
        <w:gridCol w:w="109"/>
        <w:gridCol w:w="233"/>
        <w:gridCol w:w="233"/>
        <w:gridCol w:w="544"/>
      </w:tblGrid>
      <w:tr>
        <w:trPr/>
        <w:tc>
          <w:tcPr>
            <w:tcW w:w="837"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230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144,291 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65,175 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544"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540"/>
        <w:jc w:val="both"/>
        <w:rPr/>
      </w:pPr>
      <w:r>
        <w:rPr>
          <w:rFonts w:ascii="Times New Roman;sans-serif" w:hAnsi="Times New Roman;sans-serif"/>
          <w:b w:val="false"/>
          <w:color w:val="231F20"/>
          <w:sz w:val="20"/>
        </w:rPr>
        <w:t xml:space="preserve">Research and development expense for the three months ended April 30, 2022 increased by $79.1 million, or 121%, compared to the three months ended April 30, 2021. </w:t>
      </w:r>
      <w:r>
        <w:rPr>
          <w:rFonts w:ascii="Times New Roman;sans-serif" w:hAnsi="Times New Roman;sans-serif"/>
          <w:b w:val="false"/>
          <w:color w:val="000000"/>
          <w:sz w:val="20"/>
        </w:rPr>
        <w:t xml:space="preserve">The increase was primarily due to higher personnel-related expenses of </w:t>
      </w:r>
      <w:r>
        <w:rPr>
          <w:rFonts w:ascii="Times New Roman;sans-serif" w:hAnsi="Times New Roman;sans-serif"/>
          <w:b w:val="false"/>
          <w:color w:val="231F20"/>
          <w:sz w:val="20"/>
        </w:rPr>
        <w:t xml:space="preserve">$72.1 million, which includes </w:t>
      </w:r>
      <w:r>
        <w:rPr>
          <w:rFonts w:ascii="Times New Roman;sans-serif" w:hAnsi="Times New Roman;sans-serif"/>
          <w:b w:val="false"/>
          <w:color w:val="000000"/>
          <w:sz w:val="20"/>
        </w:rPr>
        <w:t xml:space="preserve">a </w:t>
      </w:r>
      <w:r>
        <w:rPr>
          <w:rFonts w:ascii="Times New Roman;sans-serif" w:hAnsi="Times New Roman;sans-serif"/>
          <w:b w:val="false"/>
          <w:color w:val="231F20"/>
          <w:sz w:val="20"/>
        </w:rPr>
        <w:t>$34.9 million</w:t>
      </w:r>
      <w:r>
        <w:rPr>
          <w:color w:val="000000"/>
        </w:rPr>
        <w:t xml:space="preserve"> </w:t>
      </w:r>
      <w:r>
        <w:rPr>
          <w:rFonts w:ascii="Times New Roman;sans-serif" w:hAnsi="Times New Roman;sans-serif"/>
          <w:b w:val="false"/>
          <w:color w:val="000000"/>
          <w:sz w:val="20"/>
        </w:rPr>
        <w:t xml:space="preserve">increase in stock-based compensation expense, mainly driven by additional headcount and </w:t>
      </w:r>
      <w:r>
        <w:rPr>
          <w:rFonts w:ascii="Times New Roman;sans-serif" w:hAnsi="Times New Roman;sans-serif"/>
          <w:b w:val="false"/>
          <w:color w:val="231F20"/>
          <w:sz w:val="20"/>
        </w:rPr>
        <w:t>expanded equity programs</w:t>
      </w:r>
      <w:r>
        <w:rPr>
          <w:rFonts w:ascii="Times New Roman;sans-serif" w:hAnsi="Times New Roman;sans-serif"/>
          <w:b w:val="false"/>
          <w:color w:val="000000"/>
          <w:sz w:val="20"/>
        </w:rPr>
        <w:t>.</w:t>
      </w:r>
    </w:p>
    <w:p>
      <w:pPr>
        <w:pStyle w:val="TextBody"/>
        <w:spacing w:lineRule="auto" w:line="288" w:before="240" w:after="283"/>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tbl>
      <w:tblPr>
        <w:tblW w:w="5616" w:type="dxa"/>
        <w:jc w:val="left"/>
        <w:tblInd w:w="0" w:type="dxa"/>
        <w:tblCellMar>
          <w:top w:w="28" w:type="dxa"/>
          <w:left w:w="28" w:type="dxa"/>
          <w:bottom w:w="28" w:type="dxa"/>
          <w:right w:w="28" w:type="dxa"/>
        </w:tblCellMar>
      </w:tblPr>
      <w:tblGrid>
        <w:gridCol w:w="634"/>
        <w:gridCol w:w="558"/>
        <w:gridCol w:w="562"/>
        <w:gridCol w:w="211"/>
        <w:gridCol w:w="826"/>
        <w:gridCol w:w="109"/>
        <w:gridCol w:w="109"/>
        <w:gridCol w:w="109"/>
        <w:gridCol w:w="109"/>
        <w:gridCol w:w="211"/>
        <w:gridCol w:w="826"/>
        <w:gridCol w:w="109"/>
        <w:gridCol w:w="109"/>
        <w:gridCol w:w="109"/>
        <w:gridCol w:w="109"/>
        <w:gridCol w:w="186"/>
        <w:gridCol w:w="186"/>
        <w:gridCol w:w="544"/>
      </w:tblGrid>
      <w:tr>
        <w:trPr/>
        <w:tc>
          <w:tcPr>
            <w:tcW w:w="634"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362,783 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245,667 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544"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540"/>
        <w:jc w:val="both"/>
        <w:rPr/>
      </w:pPr>
      <w:r>
        <w:rPr>
          <w:rFonts w:ascii="Times New Roman;sans-serif" w:hAnsi="Times New Roman;sans-serif"/>
          <w:b w:val="false"/>
          <w:color w:val="231F20"/>
          <w:sz w:val="20"/>
        </w:rPr>
        <w:t>Sales and marketing expense for the three months ended April 30, 2022 increased by $117.1 million, or 48%, compared to the three months ended April 30, 2021. The increase in sales and marketing expense was primarily due to higher personnel-related expenses of $83.2 million, mainly driven by additional headcount in our sales force to support global expansion, which includes a $42.0 million</w:t>
      </w:r>
      <w:r>
        <w:rPr>
          <w:color w:val="000000"/>
        </w:rPr>
        <w:t xml:space="preserve"> </w:t>
      </w:r>
      <w:r>
        <w:rPr>
          <w:rFonts w:ascii="Times New Roman;sans-serif" w:hAnsi="Times New Roman;sans-serif"/>
          <w:b w:val="false"/>
          <w:color w:val="000000"/>
          <w:sz w:val="20"/>
        </w:rPr>
        <w:t xml:space="preserve">increase in stock-based compensation expense and </w:t>
      </w:r>
      <w:r>
        <w:rPr>
          <w:rFonts w:ascii="Times New Roman;sans-serif" w:hAnsi="Times New Roman;sans-serif"/>
          <w:b w:val="false"/>
          <w:color w:val="231F20"/>
          <w:sz w:val="20"/>
        </w:rPr>
        <w:t xml:space="preserve">a $19.0 million increase in amortization of deferred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97205"/>
                <wp:effectExtent l="0" t="0" r="0" b="0"/>
                <wp:wrapNone/>
                <wp:docPr id="28" name="Frame28"/>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pPr>
      <w:r>
        <w:rPr>
          <w:rFonts w:ascii="Times New Roman;sans-serif" w:hAnsi="Times New Roman;sans-serif"/>
          <w:b w:val="false"/>
          <w:color w:val="231F20"/>
          <w:sz w:val="20"/>
        </w:rPr>
        <w:t xml:space="preserve">contract acquisition costs. </w:t>
      </w:r>
      <w:r>
        <w:rPr>
          <w:rFonts w:ascii="Times New Roman;sans-serif" w:hAnsi="Times New Roman;sans-serif"/>
          <w:b w:val="false"/>
          <w:color w:val="000000"/>
          <w:sz w:val="20"/>
        </w:rPr>
        <w:t>The remaining increase</w:t>
      </w:r>
      <w:r>
        <w:rPr>
          <w:color w:val="231F20"/>
        </w:rPr>
        <w:t xml:space="preserve"> </w:t>
      </w:r>
      <w:r>
        <w:rPr>
          <w:rFonts w:ascii="Times New Roman;sans-serif" w:hAnsi="Times New Roman;sans-serif"/>
          <w:b w:val="false"/>
          <w:color w:val="000000"/>
          <w:sz w:val="20"/>
        </w:rPr>
        <w:t xml:space="preserve">was primarily due to </w:t>
      </w:r>
      <w:r>
        <w:rPr>
          <w:rFonts w:ascii="Times New Roman;sans-serif" w:hAnsi="Times New Roman;sans-serif"/>
          <w:b w:val="false"/>
          <w:color w:val="231F20"/>
          <w:sz w:val="20"/>
        </w:rPr>
        <w:t>an increase of $29.8 million in marketing and sales event-related costs, mainly due to an increase in digital and social media programs.</w:t>
      </w:r>
    </w:p>
    <w:p>
      <w:pPr>
        <w:pStyle w:val="TextBody"/>
        <w:spacing w:lineRule="auto" w:line="288" w:before="240" w:after="283"/>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tbl>
      <w:tblPr>
        <w:tblW w:w="6235" w:type="dxa"/>
        <w:jc w:val="left"/>
        <w:tblInd w:w="0" w:type="dxa"/>
        <w:tblCellMar>
          <w:top w:w="28" w:type="dxa"/>
          <w:left w:w="28" w:type="dxa"/>
          <w:bottom w:w="28" w:type="dxa"/>
          <w:right w:w="28" w:type="dxa"/>
        </w:tblCellMar>
      </w:tblPr>
      <w:tblGrid>
        <w:gridCol w:w="837"/>
        <w:gridCol w:w="735"/>
        <w:gridCol w:w="737"/>
        <w:gridCol w:w="211"/>
        <w:gridCol w:w="826"/>
        <w:gridCol w:w="109"/>
        <w:gridCol w:w="109"/>
        <w:gridCol w:w="109"/>
        <w:gridCol w:w="109"/>
        <w:gridCol w:w="211"/>
        <w:gridCol w:w="826"/>
        <w:gridCol w:w="109"/>
        <w:gridCol w:w="109"/>
        <w:gridCol w:w="109"/>
        <w:gridCol w:w="109"/>
        <w:gridCol w:w="218"/>
        <w:gridCol w:w="218"/>
        <w:gridCol w:w="544"/>
      </w:tblGrid>
      <w:tr>
        <w:trPr/>
        <w:tc>
          <w:tcPr>
            <w:tcW w:w="83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117,840 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154,089 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544"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540"/>
        <w:jc w:val="both"/>
        <w:rPr/>
      </w:pPr>
      <w:r>
        <w:rPr>
          <w:rFonts w:ascii="Times New Roman;sans-serif" w:hAnsi="Times New Roman;sans-serif"/>
          <w:b w:val="false"/>
          <w:color w:val="231F20"/>
          <w:sz w:val="20"/>
        </w:rPr>
        <w:t xml:space="preserve">General and administrative expense for the three months ended April 30, 2022 decreased by $36.2 million, or 24%, compared to the three months ended April 30, 2021. The decrease in general and administrative expense was primarily </w:t>
      </w:r>
      <w:r>
        <w:rPr>
          <w:rFonts w:ascii="Times New Roman;sans-serif" w:hAnsi="Times New Roman;sans-serif"/>
          <w:b w:val="false"/>
          <w:color w:val="000000"/>
          <w:sz w:val="20"/>
        </w:rPr>
        <w:t xml:space="preserve">due to a decrease of </w:t>
      </w:r>
      <w:r>
        <w:rPr>
          <w:rFonts w:ascii="Times New Roman;sans-serif" w:hAnsi="Times New Roman;sans-serif"/>
          <w:b w:val="false"/>
          <w:color w:val="231F20"/>
          <w:sz w:val="20"/>
        </w:rPr>
        <w:t xml:space="preserve">$71.1 million in prior year </w:t>
      </w:r>
      <w:r>
        <w:rPr>
          <w:rFonts w:ascii="Times New Roman;sans-serif" w:hAnsi="Times New Roman;sans-serif"/>
          <w:b w:val="false"/>
          <w:color w:val="000000"/>
          <w:sz w:val="20"/>
        </w:rPr>
        <w:t xml:space="preserve">litigation settlement expense, net of amounts estimated to be covered by insurance; partially offset by an increase of </w:t>
      </w:r>
      <w:r>
        <w:rPr>
          <w:rFonts w:ascii="Times New Roman;sans-serif" w:hAnsi="Times New Roman;sans-serif"/>
          <w:b w:val="false"/>
          <w:color w:val="231F20"/>
          <w:sz w:val="20"/>
        </w:rPr>
        <w:t>$29.8 million</w:t>
      </w:r>
      <w:r>
        <w:rPr>
          <w:color w:val="000000"/>
        </w:rPr>
        <w:t xml:space="preserve"> </w:t>
      </w:r>
      <w:r>
        <w:rPr>
          <w:rFonts w:ascii="Times New Roman;sans-serif" w:hAnsi="Times New Roman;sans-serif"/>
          <w:b w:val="false"/>
          <w:color w:val="000000"/>
          <w:sz w:val="20"/>
        </w:rPr>
        <w:t xml:space="preserve">in personnel-related expenses, </w:t>
      </w:r>
      <w:r>
        <w:rPr>
          <w:rFonts w:ascii="Times New Roman;sans-serif" w:hAnsi="Times New Roman;sans-serif"/>
          <w:b w:val="false"/>
          <w:color w:val="231F20"/>
          <w:sz w:val="20"/>
        </w:rPr>
        <w:t>which includes a $16.4 million</w:t>
      </w:r>
      <w:r>
        <w:rPr>
          <w:color w:val="000000"/>
        </w:rPr>
        <w:t xml:space="preserve"> </w:t>
      </w:r>
      <w:r>
        <w:rPr>
          <w:rFonts w:ascii="Times New Roman;sans-serif" w:hAnsi="Times New Roman;sans-serif"/>
          <w:b w:val="false"/>
          <w:color w:val="000000"/>
          <w:sz w:val="20"/>
        </w:rPr>
        <w:t xml:space="preserve">increase in stock-based compensation expense, mainly driven by additional headcount </w:t>
      </w:r>
      <w:r>
        <w:rPr>
          <w:rFonts w:ascii="Times New Roman;sans-serif" w:hAnsi="Times New Roman;sans-serif"/>
          <w:b w:val="false"/>
          <w:color w:val="231F20"/>
          <w:sz w:val="20"/>
        </w:rPr>
        <w:t>and expanded equity programs</w:t>
      </w:r>
      <w:r>
        <w:rPr>
          <w:rFonts w:ascii="Times New Roman;sans-serif" w:hAnsi="Times New Roman;sans-serif"/>
          <w:b w:val="false"/>
          <w:color w:val="000000"/>
          <w:sz w:val="20"/>
        </w:rPr>
        <w:t>.</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Losses on Strategic Investments, Net</w:t>
      </w:r>
    </w:p>
    <w:tbl>
      <w:tblPr>
        <w:tblW w:w="6594" w:type="dxa"/>
        <w:jc w:val="left"/>
        <w:tblInd w:w="0" w:type="dxa"/>
        <w:tblCellMar>
          <w:top w:w="28" w:type="dxa"/>
          <w:left w:w="28" w:type="dxa"/>
          <w:bottom w:w="28" w:type="dxa"/>
          <w:right w:w="28" w:type="dxa"/>
        </w:tblCellMar>
      </w:tblPr>
      <w:tblGrid>
        <w:gridCol w:w="1091"/>
        <w:gridCol w:w="959"/>
        <w:gridCol w:w="964"/>
        <w:gridCol w:w="211"/>
        <w:gridCol w:w="796"/>
        <w:gridCol w:w="109"/>
        <w:gridCol w:w="109"/>
        <w:gridCol w:w="109"/>
        <w:gridCol w:w="109"/>
        <w:gridCol w:w="211"/>
        <w:gridCol w:w="406"/>
        <w:gridCol w:w="109"/>
        <w:gridCol w:w="109"/>
        <w:gridCol w:w="109"/>
        <w:gridCol w:w="109"/>
        <w:gridCol w:w="269"/>
        <w:gridCol w:w="271"/>
        <w:gridCol w:w="544"/>
      </w:tblGrid>
      <w:tr>
        <w:trPr/>
        <w:tc>
          <w:tcPr>
            <w:tcW w:w="1091"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3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301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on strategic investments, net</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(36,404)</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44"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540"/>
        <w:jc w:val="both"/>
        <w:rPr>
          <w:rFonts w:ascii="Times New Roman;sans-serif" w:hAnsi="Times New Roman;sans-serif"/>
          <w:b w:val="false"/>
          <w:color w:val="231F20"/>
          <w:sz w:val="20"/>
        </w:rPr>
      </w:pPr>
      <w:r>
        <w:rPr>
          <w:rFonts w:ascii="Times New Roman;sans-serif" w:hAnsi="Times New Roman;sans-serif"/>
          <w:b w:val="false"/>
          <w:color w:val="231F20"/>
          <w:sz w:val="20"/>
        </w:rPr>
        <w:t>Losses on strategic investments, net recognized during the three months ended April 30, 2022 was driven by $35.8 million unrealized losses recognized on our publicly traded equity securities. We did not recognize losses on strategic investments, net during the three months ended April 30, 2021.</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Other (Expense) Income, Net</w:t>
      </w:r>
    </w:p>
    <w:tbl>
      <w:tblPr>
        <w:tblW w:w="6070" w:type="dxa"/>
        <w:jc w:val="left"/>
        <w:tblInd w:w="0" w:type="dxa"/>
        <w:tblCellMar>
          <w:top w:w="28" w:type="dxa"/>
          <w:left w:w="28" w:type="dxa"/>
          <w:bottom w:w="28" w:type="dxa"/>
          <w:right w:w="28" w:type="dxa"/>
        </w:tblCellMar>
      </w:tblPr>
      <w:tblGrid>
        <w:gridCol w:w="863"/>
        <w:gridCol w:w="760"/>
        <w:gridCol w:w="762"/>
        <w:gridCol w:w="211"/>
        <w:gridCol w:w="691"/>
        <w:gridCol w:w="109"/>
        <w:gridCol w:w="109"/>
        <w:gridCol w:w="109"/>
        <w:gridCol w:w="109"/>
        <w:gridCol w:w="211"/>
        <w:gridCol w:w="616"/>
        <w:gridCol w:w="109"/>
        <w:gridCol w:w="109"/>
        <w:gridCol w:w="109"/>
        <w:gridCol w:w="109"/>
        <w:gridCol w:w="269"/>
        <w:gridCol w:w="271"/>
        <w:gridCol w:w="544"/>
      </w:tblGrid>
      <w:tr>
        <w:trPr/>
        <w:tc>
          <w:tcPr>
            <w:tcW w:w="863"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238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(6,989)</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544"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540"/>
        <w:jc w:val="both"/>
        <w:rPr>
          <w:rFonts w:ascii="Times New Roman;sans-serif" w:hAnsi="Times New Roman;sans-serif"/>
          <w:b w:val="false"/>
          <w:color w:val="231F20"/>
          <w:sz w:val="20"/>
        </w:rPr>
      </w:pPr>
      <w:r>
        <w:rPr>
          <w:rFonts w:ascii="Times New Roman;sans-serif" w:hAnsi="Times New Roman;sans-serif"/>
          <w:b w:val="false"/>
          <w:color w:val="231F20"/>
          <w:sz w:val="20"/>
        </w:rPr>
        <w:t>Other (expense) income, net for the three months ended April 30, 2022 decreased by $9.6 million, or 367%, compared to the three months ended April 30, 2021. The decrease was primarily attributable to a loss of $10.1 million related to changes in foreign currency exchange rates.</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Provision for Income Taxes</w:t>
      </w:r>
    </w:p>
    <w:tbl>
      <w:tblPr>
        <w:tblW w:w="6071" w:type="dxa"/>
        <w:jc w:val="left"/>
        <w:tblInd w:w="0" w:type="dxa"/>
        <w:tblCellMar>
          <w:top w:w="28" w:type="dxa"/>
          <w:left w:w="28" w:type="dxa"/>
          <w:bottom w:w="28" w:type="dxa"/>
          <w:right w:w="28" w:type="dxa"/>
        </w:tblCellMar>
      </w:tblPr>
      <w:tblGrid>
        <w:gridCol w:w="825"/>
        <w:gridCol w:w="726"/>
        <w:gridCol w:w="729"/>
        <w:gridCol w:w="211"/>
        <w:gridCol w:w="721"/>
        <w:gridCol w:w="109"/>
        <w:gridCol w:w="109"/>
        <w:gridCol w:w="109"/>
        <w:gridCol w:w="109"/>
        <w:gridCol w:w="211"/>
        <w:gridCol w:w="616"/>
        <w:gridCol w:w="109"/>
        <w:gridCol w:w="109"/>
        <w:gridCol w:w="109"/>
        <w:gridCol w:w="109"/>
        <w:gridCol w:w="308"/>
        <w:gridCol w:w="308"/>
        <w:gridCol w:w="544"/>
      </w:tblGrid>
      <w:tr>
        <w:trPr/>
        <w:tc>
          <w:tcPr>
            <w:tcW w:w="825"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228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2,044 </w:t>
            </w:r>
          </w:p>
        </w:tc>
        <w:tc>
          <w:tcPr>
            <w:tcW w:w="544"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54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Provision for income taxes for the three months ended April 30, 2022 increased by $28.6 million, or 2,044%, compared to the three months ended April 30, 2021. The change was primarily due to the removal of the U.S. valuation allowance during fiscal year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30, 2022, our principal sources of liquidity were cash, cash equivalents, and marketable securities of $5.7 billion, which were held for working capital purposes and for investment in growth opportunities. Our marketable securities generally consist of high-grade commercial paper, corporate bonds, agency bonds, corporate and other debt securities, U.S. government agency securities, and treasury bills.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financed our operations primarily through income from operations and sales of equity securities. Cash from operations could also be affected by various risks and uncertainties, including, but not limited to, the effects of the COVID-19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97205"/>
                <wp:effectExtent l="0" t="0" r="0" b="0"/>
                <wp:wrapNone/>
                <wp:docPr id="29" name="Frame29"/>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pandemic, including timing of cash collections from our customers and other risks detailed in the section titled “Risk Factors.” However, based on our current business plan and revenue prospects, we believe our existing cash, cash equivalents, and marketable securities, together with net cash provided by operations, will be sufficient to meet our needs for at least the next 12 months and allow us to capitalize on growth opportunities. We believe we will meet longer-term expected future cash requirements and obligations through a combination of cash flows from operating activities and available cash balances.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as well as data center infrastructure. We may, in the future, enter into arrangements to acquire or invest in complementary businesses, services, and technologies, including intellectual property rights. We may choose or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material cash requirements from known contractual and other obligations from those disclosed in our Management’s Discussion and Analysis of Financial Condition and Results of Operations, included in our Annual Report on Form 10-K for the year ended January 31, 2022, filed with the SEC on March 7,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w:t>
      </w:r>
    </w:p>
    <w:tbl>
      <w:tblPr>
        <w:tblW w:w="6429" w:type="dxa"/>
        <w:jc w:val="left"/>
        <w:tblInd w:w="0" w:type="dxa"/>
        <w:tblCellMar>
          <w:top w:w="28" w:type="dxa"/>
          <w:left w:w="28" w:type="dxa"/>
          <w:bottom w:w="28" w:type="dxa"/>
          <w:right w:w="28" w:type="dxa"/>
        </w:tblCellMar>
      </w:tblPr>
      <w:tblGrid>
        <w:gridCol w:w="1254"/>
        <w:gridCol w:w="1104"/>
        <w:gridCol w:w="1107"/>
        <w:gridCol w:w="211"/>
        <w:gridCol w:w="901"/>
        <w:gridCol w:w="109"/>
        <w:gridCol w:w="109"/>
        <w:gridCol w:w="109"/>
        <w:gridCol w:w="109"/>
        <w:gridCol w:w="211"/>
        <w:gridCol w:w="1051"/>
        <w:gridCol w:w="154"/>
      </w:tblGrid>
      <w:tr>
        <w:trPr/>
        <w:tc>
          <w:tcPr>
            <w:tcW w:w="1254"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(1,219,978)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largest source of operating cash is cash collections from our customers for subscriptions to our platform. Our primary uses of cash from operating activities are for employee-related expenditures, costs related to hosting our platform, and marketing expenses. Net cash provided by operating activities is impacted by our net income adjusted for certain non-cash items, such as stock-based compensation expense, depreciation and amortization expenses, as well as the effect of changes in operating assets and liabilities.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$526.2 million for the three months ended April 30, 2022, compared to $533.3 million for the three months ended April 30, 2021. The decrease in operating cash flow was due to a decrease in net income of $113.9 million and the negative impact from changes in operating assets and liabilities of $84.4 million, offset by an increase in non-cash adjustments of $191.1 million, which is primarily a result of higher stock-based compensation expense, higher losses on strategic investments, net, and higher deferred contract acquisition cost amortization due to an increase in capitalized commissions as we continue to grow and expand our customer base.</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lineRule="auto" w:line="288" w:before="120" w:after="283"/>
        <w:ind w:left="0" w:right="0" w:firstLine="540"/>
        <w:jc w:val="both"/>
        <w:rPr/>
      </w:pPr>
      <w:r>
        <w:rPr>
          <w:rFonts w:ascii="Times New Roman;sans-serif" w:hAnsi="Times New Roman;sans-serif"/>
          <w:b w:val="false"/>
          <w:color w:val="000000"/>
          <w:sz w:val="20"/>
        </w:rPr>
        <w:t>Net cash used in investing activities of $42.3 million</w:t>
      </w:r>
      <w:r>
        <w:rPr>
          <w:color w:val="231F20"/>
        </w:rPr>
        <w:t xml:space="preserve"> </w:t>
      </w:r>
      <w:r>
        <w:rPr>
          <w:rFonts w:ascii="Times New Roman;sans-serif" w:hAnsi="Times New Roman;sans-serif"/>
          <w:b w:val="false"/>
          <w:color w:val="000000"/>
          <w:sz w:val="20"/>
        </w:rPr>
        <w:t>for the three months ended April 30, 2022 was due to purchases of property and equipment of $25.0 million, purchases of strategic investments of $11.8 million, purchases of intangible assets of $3.2 million, and net purchases of marketable securities of $2.3 million.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of $1,220.0 million for the three months ended April 30, 2021 was primarily due to net purchases of marketable securities of $1,134.4 million, purchases of property and equipment of $79.1 million, and purchases of strategic investments of $6.5 million.</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97205"/>
                <wp:effectExtent l="0" t="0" r="0" b="0"/>
                <wp:wrapNone/>
                <wp:docPr id="30" name="Frame30"/>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Net cash used in financing activities of $133.2 million for the three months ended April 30, 2022 was due to cash paid for repurchases of common stock of </w:t>
      </w:r>
      <w:r>
        <w:rPr>
          <w:rFonts w:ascii="Times New Roman;sans-serif" w:hAnsi="Times New Roman;sans-serif"/>
          <w:b w:val="false"/>
          <w:color w:val="231F20"/>
          <w:sz w:val="20"/>
        </w:rPr>
        <w:t>$132.4 million</w:t>
      </w:r>
      <w:r>
        <w:rPr>
          <w:rFonts w:ascii="Times New Roman;sans-serif" w:hAnsi="Times New Roman;sans-serif"/>
          <w:b w:val="false"/>
          <w:color w:val="000000"/>
          <w:sz w:val="20"/>
        </w:rPr>
        <w:t>, proceeds from employee equity transactions remitted to employees and tax authorities, net,</w:t>
      </w:r>
      <w:r>
        <w:rPr>
          <w:color w:val="231F20"/>
        </w:rPr>
        <w:t xml:space="preserve"> </w:t>
      </w:r>
      <w:r>
        <w:rPr>
          <w:rFonts w:ascii="Times New Roman;sans-serif" w:hAnsi="Times New Roman;sans-serif"/>
          <w:b w:val="false"/>
          <w:color w:val="000000"/>
          <w:sz w:val="20"/>
        </w:rPr>
        <w:t xml:space="preserve">of </w:t>
      </w:r>
      <w:r>
        <w:rPr>
          <w:rFonts w:ascii="Times New Roman;sans-serif" w:hAnsi="Times New Roman;sans-serif"/>
          <w:b w:val="false"/>
          <w:color w:val="231F20"/>
          <w:sz w:val="20"/>
        </w:rPr>
        <w:t>$4.1 million,</w:t>
      </w:r>
      <w:r>
        <w:rPr>
          <w:color w:val="000000"/>
        </w:rPr>
        <w:t xml:space="preserve"> </w:t>
      </w:r>
      <w:r>
        <w:rPr>
          <w:rFonts w:ascii="Times New Roman;sans-serif" w:hAnsi="Times New Roman;sans-serif"/>
          <w:b w:val="false"/>
          <w:color w:val="000000"/>
          <w:sz w:val="20"/>
        </w:rPr>
        <w:t>offset by proceeds from the exercise of stock options of $3.3 million.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of $6.3 million for the three months ended April 30, 2021 was primarily due to proceeds from employee equity transactions to be remitted to employees and tax authorities, net, of $10.0 million, partially offset by proceeds from the exercise of stock options of $3.4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Critical accounting estimates are those accounting estimates that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estimates as compared to the critical accounting estimates described in our Management’s Discussion and Analysis of Financial Condition and Results of Operations, included in our Annual Report on Form 10-K for the year ended January 31, 2022, filed with the SEC on March 7,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440"/>
        <w:jc w:val="both"/>
        <w:rPr>
          <w:rFonts w:ascii="Times New Roman;sans-serif" w:hAnsi="Times New Roman;sans-serif"/>
          <w:b/>
          <w:color w:val="000000"/>
          <w:sz w:val="20"/>
        </w:rPr>
      </w:pPr>
      <w:r>
        <w:rPr>
          <w:rFonts w:ascii="Times New Roman;sans-serif" w:hAnsi="Times New Roman;sans-serif"/>
          <w:b/>
          <w:color w:val="000000"/>
          <w:sz w:val="20"/>
        </w:rPr>
        <w:t>Item 3.    QUALITATIVE AND QUANTITATIVE DISCLOSURES ABOUT MARKET RISK</w:t>
      </w:r>
    </w:p>
    <w:p>
      <w:pPr>
        <w:pStyle w:val="TextBody"/>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Foreign Currency and Exchange Risk</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vast majority of our cash generated from revenue is denominated in U.S. dollars, with a small amount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condensed consolidated financial statements for the three months ended April 30, 2022 and 2021. As the impact of foreign currency exchange rates has not been material to our historical operating results, we have not entered into derivative or hedging transactions, but we may do so in the future if our exposure to foreign currency becomes more significant.</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had cash and cash equivalents of $1,407.3 million and marketable securities of $4,319.0 million as of April 30, 2022. Cash and cash equivalents consist of bank deposits, money market funds, and high-grade commercial paper, and agency bonds. Our marketable securities generally consist of high-grade commercial paper, agency bonds, corporate and other debt securities, U.S. government agency securities, and treasury bills.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condensed consolidated financial statements for the three months ended April 30, 2022 and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44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97205"/>
                <wp:effectExtent l="0" t="0" r="0" b="0"/>
                <wp:wrapNone/>
                <wp:docPr id="31" name="Frame31"/>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pPr>
      <w:r>
        <w:rPr>
          <w:rFonts w:ascii="Times New Roman;sans-serif" w:hAnsi="Times New Roman;sans-serif"/>
          <w:b w:val="false"/>
          <w:color w:val="000000"/>
          <w:sz w:val="20"/>
        </w:rPr>
        <w:t xml:space="preserve">executive officer and principal financial officer have concluded that as of </w:t>
      </w:r>
      <w:r>
        <w:rPr>
          <w:rFonts w:ascii="Times New Roman;sans-serif" w:hAnsi="Times New Roman;sans-serif"/>
          <w:b w:val="false"/>
          <w:color w:val="231F20"/>
          <w:sz w:val="20"/>
        </w:rPr>
        <w:t>April 30, 2022</w:t>
      </w:r>
      <w:r>
        <w:rPr>
          <w:rFonts w:ascii="Times New Roman;sans-serif" w:hAnsi="Times New Roman;sans-serif"/>
          <w:b w:val="false"/>
          <w:color w:val="000000"/>
          <w:sz w:val="20"/>
        </w:rPr>
        <w:t>, our disclosure controls and procedures were effective at a reasonable assurance level.</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There has been no change in our internal control over financial reporting (as defined in Rules 13a-15(d) and 15d-15(d) under the Exchange Act) that occurred during the quarter ended </w:t>
      </w:r>
      <w:r>
        <w:rPr>
          <w:rFonts w:ascii="Times New Roman;sans-serif" w:hAnsi="Times New Roman;sans-serif"/>
          <w:b w:val="false"/>
          <w:color w:val="231F20"/>
          <w:sz w:val="20"/>
        </w:rPr>
        <w:t xml:space="preserve">April 30, 2022 </w:t>
      </w:r>
      <w:r>
        <w:rPr>
          <w:rFonts w:ascii="Times New Roman;sans-serif" w:hAnsi="Times New Roman;sans-serif"/>
          <w:b w:val="false"/>
          <w:color w:val="000000"/>
          <w:sz w:val="20"/>
        </w:rPr>
        <w:t>that has materially affected, or is reasonably likely to materially affect, our internal control over financial reporting.</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Inherent Limitations on Effectiveness of Disclosure Controls and Procedures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97205"/>
                <wp:effectExtent l="0" t="0" r="0" b="0"/>
                <wp:wrapNone/>
                <wp:docPr id="32" name="Frame32"/>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62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this item may be found in Note 6 - “Commitments and Contingencies” in the accompanying notes to the condensed consolidated financial statements included in Part I, Item 1, “Financial Statements” of this Quarterly Report on Form 10-Q, under “Legal Proceedings,” which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62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securities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Our Industry</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business depends on our ability to attract new customers, retain and upsell additional products and new product categories to existing customers, and upgrade free users to our paid offerings. Any decline in new customers, renewals, or upgrades would harm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depends upon our ability to attract new customers, and maintain and expand our relationships with our existing customers, including upselling additional products and new product categories to our existing customers and upgrading hosts to a paid Zoom Meeting plan. A host is any user of our unified communications platform who initiates a Zoom Meeting and invites one or more participants to join that meeting. We refer to hosts who subscribe to a paid Zoom Meeting plan as “paid hosts.”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subscription based, and customers are not obligated to, and may choose not to,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including any new customers or hosts that have subscribed to our services during the COVID-19 pandemic that may subsequently reduce or discontinue their use after the impact of the pandemic has tapered, or the perception that competitive products provide better, more secure, or less expensive options. In addition, some customers downgrade their Zoom Meeting plan or do not renew their subscriptions. Furthermore, as a result of the increased usage of our platform during the COVID-19 pandemic, our customer base has shifted largely from businesses and enterprises to a mix of businesses, enterprises, and consumers. This shift in mix could result in higher non-renewal rates than we have experienced in the past. We must continually add new customers and hosts to grow our business beyond our current user base and to replace customers and hosts who choose not to continue to use our platform. Finally, any decrease in user satisfaction with our products or support would harm our brand, word-of-mouth referrals, and ability to grow.</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encourage hosts that subscribe to our free Zoom Meeting plan to upgrade to a paid Zoom Meeting plan. However, a majority of these hosts, including those that initially subscribed to our free plan during the COVID-19 pandemic as a result of shelter-in-place and work-from-home mandates, may never upgrade to a paid Zoom Meeting plan. If we fail to upsell our customers or upgrade hosts of our free Zoom Meeting plan to paid subscriptions or expand the number of paid hosts within organizations, our business would be harmed.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user growth rate may slow or decline in the future as our market penetration rates increase. If we are not able to continue to expand our user base, our revenue may grow more slowly than expected or decline. While we continue to add paid users to our customer base, we expect our user growth rate to continue to slow or decline as the impact of the COVID-19 pandemic continues to taper, particularly as users return to work or school or are otherwise no longer subject to limitations on in-person meetings.</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97205"/>
                <wp:effectExtent l="0" t="0" r="0" b="0"/>
                <wp:wrapNone/>
                <wp:docPr id="33" name="Frame33"/>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revenue growth rate has begun to decline and we expect our revenue growth rate to generally decline in future periods.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significant revenue growth in prior periods. You should not rely on the revenue growth of any prior quarterly or annual period as an indication of our future performance. Our revenue growth rate has begun to decline and we expect our revenue growth rate to generally decline in future periods. Many factors may contribute to declines in our growth rate, including higher market penetration, increased competition, slowing demand for our platform, especially as the impact of the COVID-19 pandemic tapers, particularly as users return to work or school or are otherwise no longer subject to limitations on in-person meetings, a failure by us to continue capitalizing on growth opportunities, and the maturation of our business, among others. Declines in our growth rate could adversely affect investors’ perceptions of our business and the trading price of our Class A common stock could be adversely affected.</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Interruptions, delays, or outages in service from our co-located data centers and a variety of other factors, including increased usage stemming from the COVID-19 pandemic, would impair the delivery of our services, require us to issue credits or pay penalties, and harm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serve our users from various co-located data centers located throughout the world. We also utilize Amazon Web Services and Oracle Cloud for the hosting of certain critical aspects of our business, as well as Microsoft Azure for limited customer-specified managed services. As part of our distributed meeting architecture, we establish private links between data centers that automatically transfer data between various data centers.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ransomware or cyber extortion, fraud, general internet availability issues, spikes in usage,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or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pStyle w:val="TextBody"/>
        <w:spacing w:lineRule="auto" w:line="288" w:before="120" w:after="283"/>
        <w:ind w:left="0" w:right="0" w:firstLine="540"/>
        <w:jc w:val="both"/>
        <w:rPr/>
      </w:pPr>
      <w:r>
        <w:rPr>
          <w:rFonts w:ascii="Times New Roman;sans-serif" w:hAnsi="Times New Roman;sans-serif"/>
          <w:b w:val="false"/>
          <w:color w:val="000000"/>
          <w:sz w:val="20"/>
        </w:rPr>
        <w:t>Additionally, if our data centers are unable to keep up with our increasing needs for capacity, including increased usage stemming from the COVID-19 pandemic, customers may experience delays or interruptions in service as we seek to obtain additional capacity, which could result in the loss of customers who use our unified communications platform because of its reliability and performance. We plan to continue our practice of opening new data centers to meet increased demand, but we may be unable to bring additional data centers online in a timely manner, including as a result of current shortages for certain parts, such as servers.</w:t>
      </w:r>
      <w:r>
        <w:rPr>
          <w:color w:val="000000"/>
        </w:rPr>
        <w:t xml:space="preserve"> </w:t>
      </w:r>
      <w:r>
        <w:rPr>
          <w:rFonts w:ascii="Times New Roman;sans-serif" w:hAnsi="Times New Roman;sans-serif"/>
          <w:b w:val="false"/>
          <w:color w:val="000000"/>
          <w:sz w:val="20"/>
        </w:rPr>
        <w:t>In addition, to meet short-term capacity needs, we may need to rely increasingly on public cloud providers, including Amazon Web Services and Oracle Cloud, which may result in higher variable costs, harming our business, financial condition, and operating results.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disease, such as the COVID-19 pandemic; and similar events,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operate in competitive markets, and we must continue to compete effectively.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communication and collaboration technologies platforms is competitive and rapidly changing. Certain features of our current platform compete in the communication and collaboration technologies market with products offered by:</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legacy web-based meeting providers, including Cisco Webex and GoTo;</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bundled productivity solutions providers with video functionality, including Microsoft Teams and Google G Suite and Meet products;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97205"/>
                <wp:effectExtent l="0" t="0" r="0" b="0"/>
                <wp:wrapNone/>
                <wp:docPr id="34" name="Frame34"/>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UCaaS and legacy PBX providers, including Avaya, RingCentral, and 8x8;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consumer-facing platforms that can support small- or medium-sized businesses, including Amazon, Apple, and Facebook.</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large established companies may also make investments in video communications tools. In addition, as we introduce new products and services, and with the introduction of new technologies and market entrants, we expect competition to intensify in the future. For example, we recently introduced Zoom Contact Center, an omnichannel contact center solution that is optimized for video, which, as we build out our offering, may result in increased competition against companies that offer similar services, such as Five9, Inc., Genesys and NICE inContact, and new competitors that may enter that market in the future. Also, in connection with the travel restrictions and stay-in-place policies resulting from the COVID-19 pandemic, we saw a significant increase in usage and subscriptions from smaller customers, many of whom are consumers or small and medium 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 We, on occasion, offer customers a free period of time at the beginning of the subscription term that can result in deferred billings or long-term accounts receivable and increase the risk of loss on uncollected accounts receivable.</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quarterly results have fluctuated and may in the future fluctuate significantly and may not fully reflect the underlying performance of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results of operations have fluctuated and may in the future fluctuate significantly,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For example, beginning in the fiscal quarter ended April 30, 2020, we faced unprecedented usage of our unified communications platform largely due to the COVID-19 pandemic, a significant portion of which is attributable to free Basic accounts, which do not generate any revenue. To meet this increased demand, we have incurred and expect to continue to incur significant costs associated with upgrading our infrastructure and expanding our capacity, including higher variable costs to the extent we have had to rely on public cloud providers rather than our own data centers. Fluctuation in quarterly results may negatively impact the value of our securities. Factors that may cause fluctuations in our quarterly results of operations include, without limitation, those listed below:</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retain and upgrade customers to higher-priced tiers of Zoom Meeting plans;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attract new hosts and upgrade hosts that subscribe to our free Zoom Meeting plan to one of our paid Zoom Meeting plans;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hire and retain employees, in particular those responsible for the selling or marketing of our platform;</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hire, develop, and retain talented sales personnel who are able to achieve desired productivity levels in a reasonable period of time and provide sales leadership in areas in which we are expanding our sales and marketing efforts;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way we organize and compensate our sales teams;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of expenses and recognition of revenue;</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97205"/>
                <wp:effectExtent l="0" t="0" r="0" b="0"/>
                <wp:wrapNone/>
                <wp:docPr id="35" name="Frame35"/>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increase sales to large organizations;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length of our sales cycles, especially with respect to sales to large enterprises and highly regulated industries, including financial services and U.S. federal and state and foreign governmental agencies;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timing and effectiveness of new sales and marketing initiatives;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our pricing policies or those of our competitors;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hire and retain experienced research and development personnel to design new products, features, and functionality that meet our privacy and security standards;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and success of new products, features, and functionality by us or our competitors;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interruptions or delays in our service; network outages; or actual, alleged, or perceived privacy violations or issues or security vulnerabilities, incidents, or breaches;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lawsuits; regulatory actions or investigations; legislator scrutiny; or negative publicity arising from actual, alleged, or perceived privacy violations or issues or security vulnerabilities, incidents, or breaches;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competitive dynamics of our industry, including consolidation among competitors;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laws and regulations that impact our business;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any large indemnification payments to our users or other third parties;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of expenses related to any future acquisitions;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economic and market conditions.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has grown and their usage of communications capacity has increased, we have been required to make additional investments in network capacity to maintain adequate data transmission speeds, the availability of which may be limited, or the cost of which may be on terms unacceptable to us. If adequate capacity does not continue to be available to us as our user base grows in the future,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97205"/>
                <wp:effectExtent l="0" t="0" r="0" b="0"/>
                <wp:wrapNone/>
                <wp:docPr id="36" name="Frame36"/>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 and maintain internet offerings. The new rules went into effect on June 11, 2018. Numerous parties filed judicial 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February 6, 2020, the court denied requests for rehearing of the original decision, and the deadline for petitions requesting the Supreme Court to review the decision has passed without the filing of any such petitions. On February 19, 2020, the FCC released a public notice asking for comment on the three issues the court required it to reexamine. On October 27, 2020, the FCC adopted an order concluding that the three issues remanded by the court did not provide a basis to alter its conclusions in the 2018 order. Petitions for reconsideration of this decision are pending. Democratic control of the Executive Branch, Congress, and the FCC following the 2020 elections increases the likelihood of legislative or FCC action to reverse the 2018 decision or adopt new network neutrality rules. In addition, a number of states have adopted or are adopting or considering legislation or executive actions that would regulate the conduct of broadband providers. A federal court judge denied a request for a preliminary injunction against California’s state-specific network neutrality law, and as a result, California began enforcing that law on March 25, 2021. On March 10, 2021, trade associations representing internet service providers appealed the district court’s ruling denying the preliminary injunction, and the appeal was denied on January 28, 2022. The trade associations have sought rehearing with the full court of appeal, and on April 20, 2022 it declined to rehear the case. The appellants will not appeal to the U.S. Supreme Court. A number of other states have adopted or are adopting or considering legislation or executive actions that would regulate the conduct of broadband providers. For instance, a temporary injunction preventing implementation of a similar law in Vermont expired on April 20, 2022, but the challenge to that law remains pending. We cannot predict whether the FCC order or other state initiatives will be enforced, modified, overturned, or vacated by legal action of the court, federal legislation, or the FCC. Under the FCC’s new rules, broadband internet access providers may be able to charge web-based services such as ours for priority access or favor services offered by our competitors or by the internet access providers themselves, which could result in increased costs and a loss of existing customers and hosts, impair our ability to attract new customers and hosts, and harm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there are changes to the regulatory structures in the United States or elsewhere that reduce investment in infrastructure by internet service providers, including a return of the network neutrality regulations that were repealed, any impacts of reduced investment that reduce network capacity or speed could have a negative effect on our business, operating results, and financial condition.</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As we increase sales to large organizations, our sales cycles could lengthen, and we could experience greater deployment challenges.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begun investing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generate revenue from sales of subscriptions to our platform, and any decline in demand for our platform or for communications and collaboration technologies in general would harm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or if any new customers or hosts that have subscribed to our services during the COVID-19 pandemic subsequently reduce or discontinue their use after the impact of the pandemic has tapered, demand for our platform could be negatively affected.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awareness of the communications and collaboration technologies category;</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availability of products and services that compete with ours;</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97205"/>
                <wp:effectExtent l="0" t="0" r="0" b="0"/>
                <wp:wrapNone/>
                <wp:docPr id="37" name="Frame37"/>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new modes of communications and collaboration that may be developed in the future;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ease of adoption and use;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features and platform experience;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reliability of our platform, including frequency of outages;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performance;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brand;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user support;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pricing.</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expect to continue to increase our expenses in the future, which could decrease our profitability or prevent us from maintaining profitability.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in the past and could incur net losses in the future. We intend to continue to expend significant funds to expand our direct sales force and marketing efforts to attract new customers and hosts and to develop and enhance our products and for general corporate purposes, including operations, hiring additional personnel, including through acquisitions of other businesses, upgrading our infrastructure, and addressing security and privacy issues, including those stemming from the unprecedented numbers of first-time users during the COVID-19 pandemic who may not have full IT support or established protocols like our larger customers,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which may result in decreased profitability. We may incur significant losses in the future for a number of reasons, including as a result of the other risks described herein, and unforeseen expenses, difficulties, complications, delays, and other unknown events. For example, we have faced unprecedented usage during the COVID-19 pandemic and, to meet this increased demand, have incurred and expect to continue to incur significant costs associated with upgrading our infrastructure and expanding our capacity, including higher variable costs to the extent we have to rely on public cloud providers rather than our own data centers. While free users continue to be a meaningful portion of the user base, we have directed marketing programs focused on converting free users to paid subscriptions. Some of these new hosts using our platform on a free Basic account have upgraded to a paid Zoom Meeting plan but the remainder have not and may never do so. If we are unable to increase or sustain our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increase or maintain profitability in future periods. If we fail to grow our revenue sufficiently to keep pace with our investments and other expenses, our business would be harmed.</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97205"/>
                <wp:effectExtent l="0" t="0" r="0" b="0"/>
                <wp:wrapNone/>
                <wp:docPr id="38" name="Frame38"/>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requirements imposed by app stores such as those operated by Apple and Google, who may change their technical requirements or policies in a manner that adversely impacts the way in which we or our partners collect, use and share data from users. For example, Apple recently began requiring mobile applications using its iOS mobile operating system to obtain a user’s permission to track them or access their device’s advertising identifier for certain purposes. The long-term impact of these and any other privacy and regulatory changes remains uncertain. If we do not comply with applicable requirements imposed by app stores, we could lose access to the app store and users, and our business would be harmed.</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not be able to respond to rapid technological changes, extend our platform, or develop new features.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enhance privacy and security, and create organic user demand for our platform. There is no assurance that new additions or other future enhancements to our platform or new product experiences, features, or capabilities will be compelling to our users or gain market acceptance, or that they will perform as expected. If our research and development investments do not accurately anticipate user demand or if we fail to develop our platform in a manner that satisfies user preferences and requirements in a timely and cost-effective manner, we may fail to retain our existing users or increase demand for our platform.</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failure to effectively develop and expand our marketing and sales capabilities could harm our ability to increase our customer base and achieve broader market acceptance of our platform.</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 If we are unable to hire a sufficient number of qualified sales personnel in the near term, our future revenue growth and business could be adversely impacted.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In addition, the cost to acquire customers and hosts is high due to these marketing and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97205"/>
                <wp:effectExtent l="0" t="0" r="0" b="0"/>
                <wp:wrapNone/>
                <wp:docPr id="39" name="Frame39"/>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efforts. Our business will be harmed if our efforts do not generate a correspondingly significant increase in revenue. We will not achieve anticipated revenue growth from expanding our sales force if we are unable to hire, develop, and retain talented sales personnel, our new sales personnel are unable to achieve desired productivity levels in a reasonable period of time, or if our sales and marketing programs are not effective.</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involve the storage and transmission of customer and user information. Security incidents have occurred in the past and may occur in the future, resulting in unauthorized access to, loss or unauthorized disclosure of, or inadvertent disclosure of, this information, interruptions, delays, or outages in our operations and services, regulatory investigations or enforcement actions, litigation, indemnity obligations, and other possible liabilities, as well as negative publicity, which could damage our reputation, impair our sales, and harm our business.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Cyberattacks and other malicious internet-based activity continue to increase, and cloud-based platform providers of products and services have been and are expected to continue to be targeted. In addition to traditional computer “hackers,” we face security risks from sophisticated nation-state and nation-state supported actors, and advanced persistent threat intrusions.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cyberattacks, that could materially disrupt our systems and operations, supply chain, and ability to provide our services. We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supply-chain attacks, software bugs, server malfunctions, software or hardware failures, loss of data or other information technology assets, adware, telecommunications failures, earthquakes, fires, floods, and other similar threats. Ransomware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our security measures are compromised, our reputation could be damaged; our data, information or intellectual property, or that of our customers, may be destroyed, stolen, or otherwise compromised; our business may be harmed; and we could incur significant liability. We have not always been able in the past and may be unable in the future to anticipate or prevent threats or techniques used to detect or exploit vulnerabilities in our services or software or third-party software, or obtain unauthorized access to or compromise our systems, because such threats and techniques change frequently and are generally not detected until after an incident has occurred. 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unified communications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during the COVID-19 pandemic.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in March 2020, a security researcher reported certain vulnerabilities related to our macOS version that could have allowed an unauthorized person to gain root access to a user’s system.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 nature of our business and operations, our products and services will inevitably contain vulnerabilities or critical security defects that have not been identified or remediated and cannot be disclosed without compromising security. We have identified vulnerabilities in our products and services in the past, and we expect that we will continue to identify vulnerabilities in the future. We cannot be certain that we will be able to address any vulnerabilities in our software products and services that we may become aware of in the future, or there may be delays in developing patches that can be effectively deployed to address vulnerabilities. We expect security issues to arise in the future as our products and services are more widely adopted, and as we continue to expand the features and functionality of existing products and introduce new products.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97205"/>
                <wp:effectExtent l="0" t="0" r="0" b="0"/>
                <wp:wrapNone/>
                <wp:docPr id="40" name="Frame40"/>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continue to make prioritization decisions to determine which vulnerabilities or security defects to fix and the timing of these fixes, which could result in an exploit that compromises security. Further, in many cases, customers are responsible for installing our software updates, and until they do so, their service remains subject to the vulnerabilities addressed in the software update. Vulnerabilities and critical security defects, errors in remediating vulnerabilities or security defects, failure of third-party providers to remediate vulnerabilities or security defects, or customers not deploying security releases or deciding not to install software updates could result in claims of liability against us, damage our reputation, or otherwise harm our business.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Security incidents and vulnerabilities, and concerns regarding privacy, data protection, and information security may also cause some of our customers and hosts to stop using our solutions and fail to upgrade or renew their subscriptions. Further, as we rely on third-party and public-cloud infrastructure, we depend in part on third-party security measures to protect against unauthorized access, cyberattacks, and the mishandling of data and information. Failures to meet customers’ and hosts’ expectations with respect to security and confidentiality of their data and information could damage our reputation and affect our ability to retain customers and hosts, attract new customers and hosts, and grow our business. 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host,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governments have enacted laws requiring companies to provide notice of data security incidents involving certain types of personal data. Such laws are inconsistent, and compliance in the event of a widespread data breach is costly. In addition, some of our customers require us to notify them of data security breaches. Security compromises experienced by our competitors, our customers, or us may lead to public disclosures, which may lead to widespread negative publicity. In addition, while more than half of our employees are based in the United States, like many similarly situated technology companies, we have a sizable number of research and development personnel in China, which has exposed and could continue to expose us to governmental and regulatory as well as market and media scrutiny regarding the actual or perceived integrity of our platform or data security and privacy features.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Any security compromise in our industry, whether actual or perceived, could harm our reputation, erode confidence in the effectiveness of our security measures; negatively affect our ability to attract new customers and hosts; cause existing customers to elect not to renew their subscriptions; or subject us to third-party lawsuits, regulatory investigations, proceedings, and fines, or other action or liability, which could harm our business and reputation. Increased usage of our services, novel uses of our services, and additional awareness of Zoom and our brand could lead to greater public scrutiny of, press related to, or a negative perception of our information security and potential vulnerabilities associated with, our platform. For example, in connection with the COVID-19 pandemic, we opened our platform to unprecedented numbers of first-time users, leading to challenges for users who did not have full IT support or established protocols for security and privacy like our larger customers. As a result, we have experienced negative publicity related to 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business depends on a strong brand, and if we are not able to maintain and enhance our brand, our ability to expand our base of users will be impaired and our business will be harmed.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maintaining and enhancing the Zoom brand is critical to expanding our base of customers, hosts, and users and, in particular, conveying to users and the public that the Zoom brand consists of a broad communications platform, rather than just one distinct product. For example, if users view the Zoom brand primarily as a video conferencing point solution or utility rather than as a platform that connects people through video, voice, chat and content sharing, or have a negative perception of our privacy and security, then our market position may be detrimentally impacted. We anticipate that, as our market becomes increasingly competitive, maintaining and enhancing our brand may become increasingly difficult and expensive. Any unfavorable publicity or perception of our platform, including any delays or interruptions in service due to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97205"/>
                <wp:effectExtent l="0" t="0" r="0" b="0"/>
                <wp:wrapNone/>
                <wp:docPr id="41" name="Frame41"/>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capacity constraints stemming from increased usage due to the COVID-19 pandemic, or of our privacy or security features, or of the providers of communication and collaboration technologies generally, could adversely affect our reputation and our ability to attract and retain hosts.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not successfully manage our growth or plan for future growth.</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Since our founding in 2011, we have experienced rapid growth. For example, our headcount has grown from 5,059 full-time employees as of April 30, 2021, to 7,155 full-time employees as of April 30, 2022, with employees located both in the United States and internationally.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integrating, developing, and motivating a rapidly growing employee base in various countries around the world. For example, a significant number of our employees were hired in the last two years and have never been to one of our office locations. Certain members of our management have not previously worked together for an extended period of time, and some do not have prior experience managing a public company, which may affect how they manage our growth. Managing our growth will also require significant expenditures and allocation of valuable management resources.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business may be significantly affected by a change in the economy, including any resulting effect on consumer or business spending.</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may be affected by changes in the economy generally, including as a result of the COVID-19 pandemic, any resulting effect on spending by our customers, and inflation. Some customers may view a subscription to our platform as a discretionary purchase, and our customers may reduce their discretionary spending on our platform during an economic downturn. Given current economic conditions, including inflation, we could experience a reduction in demand and loss of customers, especially if the effects of the current economic environment have a prolonged impact on various industries that our unified communications platform addresses. We would lose customers as a result of customers ceasing to do business, and we could experience a material increase in longer payment cycles and greater difficulty in collecting accounts receivable from certain customers. While we have seen increased usage stemming from the COVID-19 pandemic, a significant portion of the increase in usage of our platform is attributable to free Basic accounts, which do not generate any revenue. Moreover, while we continue to add paid users to our customer base, we expect our user growth rate to continue to slow or decline as the impact of the COVID-19 pandemic continues to taper, particularly in light of a potential economic downturn.</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ability to sell subscriptions to our platform could be harmed by real or perceived material defects or errors in our platform.</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cause a reduction in revenue or delay in market acceptance of our platform;</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require us to issue refunds to our customers or expose us to claims for damages;</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97205"/>
                <wp:effectExtent l="0" t="0" r="0" b="0"/>
                <wp:wrapNone/>
                <wp:docPr id="42" name="Frame42"/>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cause us to lose existing hosts and make it more difficult to attract new customers and hosts;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divert our development resources or require us to make extensive changes to our platform, which would increase our expenses;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increase our technical support costs;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harm our reputation and brand.</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If we were to lose the services of our Chief Executive Officer or other members of our senior management team, we may not be able to execute our business strategy.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Europe, Middle East, and Africa (“EMEA”), and Asia Pacific (“APAC”). All of our executive officers are at-will employees, and we do not maintain any key person life insurance policies. Any changes in our senior management team in particular, even in the ordinary course of business, may be disruptive to our business.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failure to attract and retain additional qualified personnel or to maintain our happiness-centric company culture could harm our business and culture and prevent us from executing our business strategy.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In addition, our recruiting personnel, methodology, and approach may need to be altered to address a changing candidate pool and profile. We may not be able to identify or implement such changes in a timely manner. In addition, we have experienced and may continue to experience employee turnover as a result of the ongoing “great resignation” occurring throughout the U.S. economy. New hires require training and take time before they achieve full productivity. New employees may not become as productive as we expect, and we may be unable to hire or retain sufficient numbers of qualified individuals. If we fail to attract new personnel or fail to retain and motivate our current personnel, our business could be harmed.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Moreover, as we plan to reopen our offices, vaccine mandates and similar government orders and restrictions could result in employee attrition and difficulty in recruiting. We must also continue to retain and motivate existing employees through our compensation practices, company culture, and career development opportunities. If we fail to attract new personnel or to retain our current personnel, our business would be harmed.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our stock price has fluctuated since our IPO, employees joining us at different times could have significant disparities in proceeds from sales of our equity in the public markets, which could create disparities in wealth among our employees, which may harm our culture and relations among employees and our business. Further, the volatility of our stock price may make our equity compensation less attractive to current and potential employees, and could contribute to increased turnover or difficulties in hiring.</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97205"/>
                <wp:effectExtent l="0" t="0" r="0" b="0"/>
                <wp:wrapNone/>
                <wp:docPr id="43" name="Frame43"/>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have significant and expanding operations outside the United States, which may subject us to increased business, regulatory and economic risks that could harm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platform addresses the communications needs of users worldwide, and we see international expansion as a major opportunity. Our revenue from APAC and EMEA collectively represented 32% and 34% of our revenue for the three months ended April 30, 2022 and 2021, respectively. We plan to add local sales support in further select international markets over time. Our customers include multinational corporations with global users, and we expect to continue to expand our international operations, which may include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For example, if we are not able to satisfy certain government- and industry-specific requirements, we may experience service outages or other adverse consequences which would impair our ability to expand further into certain markets.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internationally subjects us to new risks and may increase risks that we currently face, including risks associated with:</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compliance with applicable international laws and regulations, including laws and regulations with respect to privacy, information security, telecommunications requirements, data protection, consumer protection, and unsolicited email, and the risk of penalties to us and individual members of management or employees if our practices are deemed to be out of compliance;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operating in foreign jurisdictions where the government may impede or interrupt our ability to provide our services;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management of an employee base in jurisdictions that may not give us the same employment and retention flexibility as does the United States;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operating in jurisdictions that do not protect intellectual property rights to the same extent as does the United States and the practical enforcement of such intellectual property rights outside of the United States;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integration with partners outside of the United States;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compliance by us and our business partners with anti-corruption laws, import and export control laws, tariffs, trade barriers, economic sanctions, and other regulatory limitations on our ability to provide our platform in certain international markets;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foreign exchange controls that might require significant lead time in setting up operations in certain geographic territories and might prevent us from repatriating cash earned outside the United States;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political and economic instability, including as a result of the United Kingdom's (“U.K.”) withdrawal from the European Union (“EU”), and other political tensions between countries in which we do business;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diplomatic and trade relationships, including the imposition of new trade restrictions, trade protection measures, import or export requirements, trade embargoes, and other trade barriers;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generally longer payment cycles and greater difficulty in collecting accounts receivable, a risk that may increase as a result of the impact of the COVID-19 pandemic on our customers' ability to pay for our service on a timely basis;</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97205"/>
                <wp:effectExtent l="0" t="0" r="0" b="0"/>
                <wp:wrapNone/>
                <wp:docPr id="44" name="Frame44"/>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costs of doing business internationally, including increased accounting, travel, infrastructure, and legal compliance costs.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following Russia’s military invasion of Ukraine in February 2022, the United States, European Union, and other nations announced various sanctions against Russia and export restrictions against Russia and Belarus. Such restrictions include blocking sanctions on some of the largest state-owned and private Russian financial institutions, and their removal from the Society for Worldwide Interbank Financial Telecommunication, or the SWIFT, payment system. The invasion of Ukraine and the retaliatory measures that have been taken, and could be taken in future, by the U.S., NATO, and other countries have created global security concerns that could result in a regional conflict and otherwise have a lasting impact on regional and global economies, any or all of which could adversely affect our business, including preventing us from performing existing contracts, pursuing new business opportunities, or receiving payments for services already provided to customers.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Additionally, while our engineering team is headquartered in the United States, we employ a product development team that has a relatively significant footprint in China today, where personnel costs are less expensive than in many other geographies. This product development team carries out the design and architecture decisions made by our U.S. engineering team. We also intend to expand our research and development presence in Phoenix, Arizona and Pittsburgh, Pennsylvania, as well as in Singapore and India. As a result of this expansion, we could experience, among other things, difficulty in attracting and retaining talent in these locations and higher operating expenses, which would adversely impact our operating margins and harm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the same time, our operations in China have caused and may in the future cause us to be subject to regulatory scrutiny both in China and in the United States. For example, in September 2019, the Chinese government turned off our service in China without warning and requested that we take certain steps prior to restoring our service, including designating an in-house contact for law enforcement requests and transferring China-based user data housed in the United States to a data center in China. Also, in June and July 2020, we received subpoenas from the Department of Justice’s U.S. Attorney’s Office for the Eastern District of New York (“EDNY”) and the Department of Justice’s U.S. Attorney’s Office for the Northern District of 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relating to the Tiananmen commemorations on Zoom.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We are fully cooperating with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pStyle w:val="TextBody"/>
        <w:spacing w:lineRule="auto" w:line="252"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recognize revenue from subscriptions to our platform over the terms of these subscriptions. Consequently, increases or decreases in new sales may not be immediately reflected in our results of operations and may be difficult to discern.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hosts could continue to result in our recognition of higher costs and lower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97205"/>
                <wp:effectExtent l="0" t="0" r="0" b="0"/>
                <wp:wrapNone/>
                <wp:docPr id="45" name="Frame45"/>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Any failure to offer high-quality support for our customers and hosts may harm our relationships with our customers and hosts and, consequently,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Increased user demand for support may result in increased costs that may harm our results of operations. Surging demand during the COVID-19 pandemic has required us to allocate additional resources to support our expanded user base, including many hosts and customers who are using our platform for the first time. In addition, as we continue to grow our operations and support our global user base, we need to be able to continue to provide efficient support that meets our customers and hosts’ needs globally at scale. As the number of our hosts has grown significantly, it has put additional pressure on our support organization. If we are unable to provide efficient user support globally at scale or if we need to hire additional support personnel, including as a result of increased demand during the COVID-19 pandemic, our business may be harmed. Our new customer and host signups are highly dependent on our business reputation and on recommendations from our existing customers and hosts. Any failure to maintain high-quality support, or a market perception that we do not maintain high-quality support for our customers and hosts, would harm our business.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utilize our network of resellers to sell our products and services, and our failure to effectively develop, manage, and maintain our indirect sales channels would harm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results of operations, which are reported in U.S. dollars, could be adversely affected if currency exchange rates fluctuate substantially in the future.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three months ended April 30, 2022 and 2021, 21.2% and 23.0% of our revenue, respectively, and 10.9% and 12.2%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sales to government entities and other government contractors are subject to a number of additional challenges and risks.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selling our products and services to U.S. federal and state and foreign governmental agency customers, which may occur through sales to other companies that re-sell our services to government customers and/or through direct sales to government entities. While we are a U.S. Federal Risk and Authorization Management Program (“FedRAMP”) authorized SaaS service, selling to government entities and other government contractors presents a number of unique challenges and risks including the following:</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97205"/>
                <wp:effectExtent l="0" t="0" r="0" b="0"/>
                <wp:wrapNone/>
                <wp:docPr id="46" name="Frame46"/>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selling to governmental entities can be more competitive, expensive, and time-consuming than selling to private entities, often requiring significant up-front time and expense and ongoing compliance costs without any assurance that these efforts will generate a sale;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government certification requirements may change, or we may be unable to achieve or sustain one or more government certifications, including FedRAMP, which may restrict our ability to sell into the government sector until we have attained such certificates;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contracts with governmental entities and other government contractors, including resellers in the government market, contain terms that differ less favorably from what we generally agree to in our standard agreements, including, terms and conditions required by regulation that are not negotiable with the customer;</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non-compliance with terms and conditions of government contracts, or with representations or certifications made in connection with government contracts, can result in significantly more adverse consequences than we typically would expect in the commercial market, including, depending on the circumstances, criminal liability, liability under the civil False Claims Act, and/or suspension or debarment from doing business with governmental entities;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government demand and payment for our products may be influenced, among other things, by public sector budgetary cycles and funding authorizations, with funding reductions or delays having an adverse impact on public sector demand for our products; and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government-imposed vaccine mandates could result in increased attrition and difficulties in recruiting, and non-compliance with any such mandates could restrict our ability to do business with governmental entities.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we become more reliant on contracts with government entities and/or other government contractors in the future, our exposure to such risks and challenges could increase, which in turn could adversely impact our business.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Executive Order will lead to the development of secure software development practices and/or criteria for a consumer software labeling program,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not perform as expected,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or do not perform as expected, we may fail to generate sufficient revenue, operating margin, or other value to justify our investments in such products, any of which may harm our business in the short term, long term, or both. In addition, our current products, as well as products, features, and functionality 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97205"/>
                <wp:effectExtent l="0" t="0" r="0" b="0"/>
                <wp:wrapNone/>
                <wp:docPr id="47" name="Frame47"/>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have exposure to greater than anticipated tax liabilities, which could harm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expense; changes in the valuation of, or our ability to use, deferred tax assets; the applicability of withholding taxes and effects from acquisitions.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taxes on our condensed consolidated financial statements could also be impacted by changes in accounting principles; changes in U.S. federal, state, or foreign tax laws applicable to corporate multinationals, other fundamental changes in tax law currently being considered by many countries; and changes in taxing jurisdictions’ administrative interpretations, decisions, policies, and positions. In addition, we are subject to review and audit by U.S. federal, state, local, and foreign tax authorities. Such tax authorities may disagree with tax positions we take, and if any such tax authority were to successfully challenge any such position, our business could be adversely impacted.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Tax Cuts and Jobs Act of 2017 requires the capitalization and amortization of research and development expenses effective for years beginning after December 31, 2021. Absent a change in legislation, we expect it will have a material impact on our cash flows beginning in this current fiscal year ending January 31, 2023. Although Congress is considering legislation that would defer the amortization requirement to later years, we have no assurance that the provision will be deferred, repealed, or otherwise modified.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be subject to additional tax liabilities due to changes in non-income-based taxes resulting from changes in U.S. federal, state, local, or foreign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 derived from digital services. Future developments related to such proposals, in particular any unilateral actions outside of the OECD's Inclusive Framework such as the imposition of DST rules, could have an adverse impact on our business by increasing our future tax obligations.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have acquired and may continue to acquire other businesses or receive offers to be acquired, which could require significant management attention, disrupt our business, or dilute stockholder value.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made and may continue in the future to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97205"/>
                <wp:effectExtent l="0" t="0" r="0" b="0"/>
                <wp:wrapNone/>
                <wp:docPr id="48" name="Frame48"/>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pStyle w:val="TextBody"/>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have a limited operating history at the current scale of our business, which makes it difficult to evaluate our prospects and future results of operations.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the fiscal quarter ended April 30, 2020, we faced unprecedented usage of our unified communications platform largely due to the COVID-19 pandemic. This usage dramatically changed the scale of our business, and we have a limited operating history at the current scale of our business. As a result,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continue to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The COVID-19 pandemic has also made it difficult to forecast revenue, costs, and expenses, as our platform has recently faced unprecedented usage from free users and new and existing customers, requiring us to devote significant resources to bolster our capacity and infrastructure.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pStyle w:val="TextBody"/>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rely on data from tools to calculate certain of our key business metrics. Real or perceived inaccuracies in such metrics may harm our reputation and negatively affect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track our key business metrics with tools that are not independently verified by any third party. Our tools have limitations, and our methodologies for tracking these metrics may change over time, which could result in unexpected changes to our performance metrics, including the key metrics we report. If the tools we use to track these metrics over- or undercount performance or contain errors, the data we report may not be accurate and our understanding of certain details of our business may be distorted, which could affect our longer-term strategies.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continually seeking to improve our ability to measure our key business metrics, and regularly review our processes to assess potential improvements.</w: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Risks Related to Laws and Regulations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store, process, generate, use, and share personal information and other customer and user content necessary to provide our service and ensure it is delivered effectively, to operate our business, for legal and marketing purposes, and for other business-related purposes. There are numerous federal, state, local, and international laws and regulations regarding privacy, data protection, information security and the collection, storing, sharing, use, processing, transfer, disclosure, and protection of personal information and other content, the scope of which is changing, subject to differing applications and interpretations and may be inconsistent among countries, or conflict with other rules. We are also subject to the terms of our privacy policies and contractual obligations to third parties related to privacy, data protection, and information security. Although we endeavor to comply with applicable laws and our policies, publications, certifications, and documentation, and other obligations, we may at times fail to do so or may be perceived to have failed to do so. Moreover, we may not be successful in achieving compliance if our employees, vendors or business partners do not comply with our policies, certifications, and documentation. Any actual or perceived compliance failure, as well as greater public scrutiny of our privacy, data protection, and information security practices, could result in increased governmental and regulatory scrutiny and litigation exposure, as well as material reputational harm, a loss of customer and user confidence and business, additional expenses, and other harm to our business.</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97205"/>
                <wp:effectExtent l="0" t="0" r="0" b="0"/>
                <wp:wrapNone/>
                <wp:docPr id="49" name="Frame49"/>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in June 2020, we received a grand jury subpoena from the Department of Justice’s U.S. Attorney’s Office for the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relating to the Tiananmen commemorations on Zoom.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expect that there will continue to be new or amended laws, regulations, industry standards, guidance and contractual obligations concerning privacy, data protection, and information security proposed and enacted in various jurisdictions. For example, in May 2018, the General Data Protection Regulation (“GDPR”) went into effect in the EU, and the United Kingdom (U.K.) implemented the U.K. GDPR. The GDPR and the U.K. GDPR impose more stringent data protection requirements and provide greater penalties for noncompliance than previous data protection laws. Companies that violate the GDPR can face private litigation, restrictions on data processing, and fines of up to the greater of 20 million Euros or 4% of their worldwide annual revenue. Our or our customers’, partners’, or vendors’ failure to comply with the GDPR could lead to significant fines imposed by regulators or restrictions on our ability to process personal information as needed to provide our product and services. We may also be obligated to assist our customers, partners, and vendors with their own compliance obligations under the GDPR, which could require expenditure of significant resources. Additionally, Brazil recently enacted the General Data Protection Law (Lei Geral de Proteção de Dados Pessoais or LGPD) (Law No. 13,709/2018), which broadly regulates the processing of personal information and imposes compliance obligations and penalties comparable to those of the GDPR. Additionally, in August 2021, China adopted the Personal Information Protection Law (“PIPL”), which took effect on November 1, 2021. The PIPL introduces a legal framework similar to the GDPR and is viewed as the beginning of a comprehensive system for the protection of personal information in China, although numerous aspects of the law remain uncertain and developing and the impact that PIPL will have on businesses remains uncertain. We also target customers in Asia and have operations in Japan and Singapore, and may be subject to new and emerging privacy, data protection, and information security regimes in Asia, including Japan’s Act on the Protection of Personal Information and Singapore’s Personal Data Protection Act.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jurisdictions have enacted data localization laws and cross-border data transfer laws. For example, absent appropriate safeguards or other circumstances, the GDPR generally restricts the transfer of personal information to countries outside of the EEA, such as the United States, which the European Commission does not consider to provide an adequate level of data privacy and security. The European Commission released a set of Standard Contractual Clauses that are designed to be a lawful mechanism by which entities can transfer personal information out of the EEA to jurisdictions that the European Commission has not found to provide an adequate level of protection. The Standard Contractual Clauses require parties that rely upon them to comply with additional obligations, such as conducting transfer impact assessments to determine whether additional security measures are necessary to protect the at-issue personal information. Moreover, due to potential legal challenges, there exists some uncertainty regarding whether the Standard Contractual Clauses will remain a valid mechanism for transfers of personal information out of the EEA. In addition, laws in Switzerland and the U.K. similarly restrict transfers of personal information outside of those jurisdictions to countries such as the United States that do not provide an adequate level of personal information protection.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European restrictions on cross-border transfers of personal information, other jurisdictions (e.g., Russia, China, and Brazil) have enacted or are considering similar cross-border personal information transfer laws and local personal information residency laws, any of which could increase the cost and complexity of doing business. If we cannot implement a valid compliance mechanism for cross-border transfers, we may face increased exposure to regulatory actions, substantial fines, and injunctions against processing or transferring personal information from Europe or elsewhere. The inability to import personal information to the United States could significantly and negatively impact our business operations; limiting our ability to collaborate with parties that are subject to European and other privacy, data protection, and information security laws; or requiring us to increase our personal information processing capabilities in Europe and/or elsewhere at significant expense.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evolving EU and U.K. privacy laws on cookies and e-marketing. European regulators are increasingly focusing on compliance with requirements in the online behavioral advertising ecosystem, and current national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97205"/>
                <wp:effectExtent l="0" t="0" r="0" b="0"/>
                <wp:wrapNone/>
                <wp:docPr id="50" name="Frame50"/>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laws that implement the ePrivacy Directive are likely to be replaced by the ePrivacy Regulation, which could lead to substantial costs, limit the effectiveness of our marketing and personalization activities, and subject us to additional liabilities.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States have also begun to introduce more comprehensive privacy legislation. For example, the California Consumer Privacy Act of 2018 (“CCPA”), which went into effect on January 1, 2020, affords consumers expanded privacy protections. The CCPA allows for statutory fines for noncompliance (up to $7,500 per violation). The CCPA will be expanded substantially on January 1, 2023 when the California Privacy Rights Act of 2020 (the “CPRA”), which was approved by California voters in November 2020, becomes fully operative. Aspects of the CCPA and CPRA, and their interpretation and enforcement remain uncertain. The potential effects of the CCPA and CPRA are far-reaching and may require us to modify our data processing practices and policies and to incur substantial costs and expenses in an effort to comply.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CCPA appears to mark the beginning of a trend toward more stringent privacy legislation in the United States, as other states have followed California’s lead and increase protections for their residents. The CCPA has already prompted a number of proposals for new federal and state privacy legislation that, if passed, could increase our potential liability, increase our compliance costs and adversely affect our business. In addition, effective October 1, 2019, Nevada amended its existing Security of Personal Information Law (“SPI Law”) to now require, among other things, that businesses provide an online mechanism or toll-free phone number to intake requests from consumers to opt out of the sale of their personal information. Virginia, Colorado, Utah and Connecticut have similarly enacted comprehensive privacy, data protection and information security laws, that emulate the CCPA and CPRA in many respects and take effect in 2023.</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Children’s Online Privacy Protection Act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In addition, the GDPR prohibits certain processing of the personal information of children under the age of 13-16 (depending on the country) without parental consent. If we fail to accurately anticipate the application, interpretation, or legislative expansion of COPPA, HIPAA, GDPR, and CCPA,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With laws and regulations, such as the GDPR and UK GDPR in the EU as well as the CCPA, SPI Law, HIPAA, and COPPA in the United States imposing relatively burdensome obligations, and with substantial uncertainty over the interpretation and application of these and other laws and regulations, we have faced and may face additional challenges in addressing their requirements and making necessary changes to our policies and practices. Additional uses of our services arising out of increased demand associated with the COVID-19 pandemic may require us to address additional privacy, data protection, and information security laws, regulations, standards, policies, and contractual obligations.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Part I, Item 3 “Legal Proceedings” for additional information.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were also the subject of an investigation by the FTC relating to our privacy and security representations and practices. We have reached a settlement agreement with the FTC, which the FTC voted to make final on January 19, 2021. We could fail or be perceived to fail to comply with the terms of the settlement with the FTC or any other orders or settlements relating to litigation or governmental investigations with respect to our privacy and security practices. Any failure or perceived failure to comply with such orders or settlements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rely on the administrators of our customers in the healthcare and education industries to obtain the necessary consents from users of our products and services and to ensure their account settings are configured correctly for their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97205"/>
                <wp:effectExtent l="0" t="0" r="0" b="0"/>
                <wp:wrapNone/>
                <wp:docPr id="51" name="Frame51"/>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provide or develop new services and features.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Increased usage of our services and additional awareness of Zoom and our brand stemming from the COVID-19 pandemic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Changes in government trade policies, including the imposition of tariffs and export restrictions, could limit our ability to sell our products to certain customers, which may materially adversely affect our sales and results of operations.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U.S. or foreign governments may take administrative, legislative, or regulatory action that could materially interfere with our ability to sell products in certain countries. For example, while we stopped selling our products directly in China during the six months ended July 31, 2020, the prior U.S. administration had threatened tougher trade terms with China and other countries, leading to the imposition, or announcement of future imposition, of substantially higher U.S. Section 301 tariffs on roughly $500 billion of imports from China. In response, China imposed and proposed new or higher tariffs on U.S. products. The direct and indirect effects of tariffs and other restrictive trade policies are difficult to measure and are only one part of a larger U.S./China economic and trade policy disagreement. The effects of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by the new U.S. administration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Further, in recent years, the U.S. Government has expressed concerns with the security of information and communications technology and services (“ICTS”) sourced from providers in China, Russia, and other jurisdictions. In May 2019, former President Trump issued an executive order that invoked national emergency economic powers to implement a framework to regulate the acquisition or transfer of ICTS in transactions that imposed undue national security risks. The executive order is subject to implementation by the Secretary of Commerce and applies to contracts entered into prior to the effective date of the order. On March 22, 2021, the U.S. Department of Commerce issued an interim final rule allowing it to identify, review, and prohibit ICTS transactions that pose a national security risk, including transactions involving specified countries, such as China. Several aspects of this rule remain unclear including the scope of affected transactions and how the rule will be implemented and enforced in practice.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be subject to additional liabilities on past sales for taxes, surcharges, and fees.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collect and remit applicable indirect taxes in jurisdictions where we, through our employees, have a presence and where we have determined, based on legal precedents in the jurisdiction, that sales of our platform are classified as taxable. State and local taxing authorities have differing rules and regulations which are subject to varying interpretations. This makes the applicability of sales tax to e-commerce businesses, such as ours, uncertain and complex. We believe that we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97205"/>
                <wp:effectExtent l="0" t="0" r="0" b="0"/>
                <wp:wrapNone/>
                <wp:docPr id="52" name="Frame52"/>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are not otherwise subject to, or required to collect,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There is uncertainty as to what constitutes sufficient nexus for sales made over the Internet and, after the U.S. Supreme Court’s ruling in South Dakota v. Wayfair, states may require an e-commerce business with no in-state property or personnel to collect and remit sales tax. Therefore, it is possible that we could face future audits or challenges of our positions by taxing authorities and that our liability for these taxes could exceed our estimates. The application of existing, new, or future laws, whether in the U.S. or internationally, could harm our business. </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are subject to governmental export and import controls that could impair our ability to compete in international markets due to licensing requirements and subject us to liability if we are not in compliance with applicable laws.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taken precautions to prevent our platform and associated products from being accessed or used in violation of such laws, we have inadvertently allowed our platform and associated products to be accessed or used by some customers in potential violation of U.S. economic sanction laws. In addition, we may have inadvertently made our software products available to some customers in potential violation of the EAR. As a result, we have submitted and from time to time will continue to submit as warranted initial and final voluntary self-disclosures regarding compliance with U.S. sanctions and export control laws and regulations to OFAC and the U.S. Department of Commerce’s Bureau of Industry and Security (“BIS”). For instance, in March 2022, we submitted a voluntary self-disclosure to BIS regarding compliance with certain U.S. export control laws and regulations.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we are found to be in violation of U.S. economic sanctions or export control laws in the future, it could result in fines and penalties. We may also be adversely affected through other penalties, business disruption, reputational harm, loss of access to certain markets, or otherwise. While we are working to implement additional controls designed to prevent similar activity from occurring in the future, these controls may not be fully effective.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subject to, or assist law enforcement with enforcement of, various laws, including those covering copyright, indecent content, child protection, consumer protection, telecommunications services, taxation, and similar matters. It may be difficult, expensive, and disruptive for us to address law enforcement requests, subpoenas and other legal process,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ensure user safety and prevent conduct that is illegal, violent, or harmful to others, we enforce our terms of service through use of a mix of tools that suggest when such activity may be occurring on our platform. We also recently created an in-product security feature that allows the host or co-host of a meeting to easily select a meeting participant that may be engaging in illegal or harmful behavior and send a report about that behavior to our trust and safety team for evaluation. Our trust and safety team may take further action as appropriate, including suspension or termination of the participant's account or referral to law enforcement. While to date we have not been subject to material legal or administrative actions as a result of improper or illegal content, the laws in this area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97205"/>
                <wp:effectExtent l="0" t="0" r="0" b="0"/>
                <wp:wrapNone/>
                <wp:docPr id="53" name="Frame53"/>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various U.S. and international anti-corruption laws, such as the U.S. Foreign Corrupt Practices Act of 1977, as amended (the “FCPA”), and the U.K. Bribery Act 2010, as well as other similar anti-bribery and anti-kickback laws and regulations. These laws and regulations generally prohibit companies and their employees and intermediaries, from directly or indirectly authorizing, offering, or providing improper payments or benefits to government officials and other recipients for improper purposes. The FCPA also requires public companies to make and keep books and records that accurately and fairly reflect the transactions of the corporation and to device and maintain an adequate system of internal accounting controls. Although we take precautions to prevent violations of anti-corruption laws, our exposure for violating these laws increases as we continue to expand our international presence, and any failure to comply with such laws could harm our business, financial condition, and results of operations.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pStyle w:val="TextBody"/>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Federal Regulation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FCC regulation of the internet and internet-based services also could impose new regulatory obligations on our other services. On October 27, 2020, the FCC adopted an order concluding that three issues remanded by the U.S. Court of Appeals following the appeal of its 2018 decision to eliminate its network neutrality rules did not provide a basis to alter its conclusions in that order. Petitions for reconsideration of this decision are pending. Democratic control of the Executive Branch, Congress, and the FCC following the 2020 elections increases the likelihood of legislative or FCC action to reverse the 2018 decision or adopt new network neutrality rules. Such action could result in extension of common carrier regulation to internet-based communications services like the ones we offer. The imposition of common carrier regulation would increase our costs, and we could be required to modify our service offerings to comply with regulatory requirements. The failure to comply with such regulation could result in substantial fines and penalties and other sanctions.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various Congressional and executive efforts to eliminate or modify Section 230 of the Communications Act of 1934, enacted as part of the Communications Decency Act of 1996. President Biden and many Members of Congress from both parties support the reform or repeal of Section 230, so the possibility of Congressional action remains. In addition, the FCC is considering a petition, filed by the Trump Administration, to adopt rules interpreting Section 230, which limits the liability of internet platforms for third-party content that is transmitted via those platforms and for good-faith moderation of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97205"/>
                <wp:effectExtent l="0" t="0" r="0" b="0"/>
                <wp:wrapNone/>
                <wp:docPr id="54" name="Frame54"/>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offensive content. No date has been set for a vote on that proposal and the FCC has not released any document describing the rules that would be proposed. The Democratic members of the FCC have indicated that they are opposed to the petition and now control the agenda of the FCC. There is no schedule for action by the FCC on the petition. If Congress revises or repeals Section 230 or the FCC adopts rules, we may no longer be afforded the same level of protection offered by Section 230. In addition, there are pending cases before the judiciary that may result in changes to the protections afforded to internet platforms, including a lawsuit by former President Trump that, if successful, would greatly limit the scope of Section 230. These various efforts to limit the protections provided by Section 230 would increase the risks faced by internet-based businesses, like Zoom, that rely on third-party content. 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w:t>
      </w:r>
    </w:p>
    <w:p>
      <w:pPr>
        <w:pStyle w:val="TextBody"/>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State Regulation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and the California Public Utilities Commission is now taking the position that it can require VoIP providers like Zoom Phone to obtain authority to operate in that state.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federal court judge denied a request for a preliminary injunction against California’s state-specific network neutrality law, and as a result, California began enforcing that law on March 25, 2021. Trade associations representing internet service providers appealed the district court’s ruling denying the preliminary injunction, and the appeal was denied on January 28, 2022. On April 20, 2022 the Ninth Circuit declined to rehear the case and the appellants have since announced that they will not file for an appeal with the U.S. Supreme Court. We cannot predict whether other state initiatives will be enforced, modified, overturned, or vacated.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Legislation has been adopted in Florida and Texas that is intended to reduce or eliminate the power of businesses operating on the Internet to moderate user-generated content, implicitly eliminating the federal protections granted under Section 230. Similar legislation has been introduced in other states in 2022, including a bill that has passed the Georgia State Senate and is pending before the Georgia House. In response to challenges from industry groups, a federal court enjoined enforcement of the Florida law, and on May 23, 2022, the U.S. Court of Appeals for the Eleventh Circuit upheld the lower court ruling preventing enforcement of restrictions on moderation. Florida recently amended its legislation in an effort to address the issues that led to the injunction barring enforcement of its statute. The Texas law initially was enjoined by a federal district court in response to a challenge from industry groups, but on May 11, 2022, a panel of the U.S. Court of Appeals for the Fifth Circuit stayed the district court decision pending full review of the district court decision. As a result, the Texas law is now in effect. On May 13, 2022, the industry groups asked the Supreme Court of the United to temporarily vacate the Fifth Circuit’s stay while it considers the request in full and for an order permanently vacating the Fifth Circuit’s stay, which would reinstate the district court’s decision. It is likely that any other such state legislation also would be challenged under the First Amendment to the U.S. Constitution and on the ground that it is preempted by Section 230. We cannot predict whether any such state legislation will be adopted, enforced, modified, overturned, or vacated.</w:t>
      </w:r>
    </w:p>
    <w:p>
      <w:pPr>
        <w:pStyle w:val="TextBody"/>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International Regulation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are currently, and may be in the future, party to intellectual property rights claims and other litigation matters, which, if resolved adversely, could harm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protect our intellectual property through patents, copyrights, trademarks, domain names, and trade secrets and, from time to time, are subject to litigation based on allegations of infringement, misappropriation, or other violations of intellectual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97205"/>
                <wp:effectExtent l="0" t="0" r="0" b="0"/>
                <wp:wrapNone/>
                <wp:docPr id="55" name="Frame55"/>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or other rights. Some companies, including some of our competitors, own large numbers of patents,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pStyle w:val="TextBody"/>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failure to protect our intellectual property rights and proprietary information could diminish our brand and other intangible assets.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the laws of certain foreign countries do not provide the same level of protection of corporate proprietary information and assets such as intellectual property,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use of third-party open source software could negatively affect our ability to offer and sell subscriptions to our platform and subject us to possible litigation.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incorporated, and may in the future incorporate, third-party open source software in our technologies. Open source software is generally licensed by its authors or other third parties under open source licenses. From time to time, companies that use third-party open source software have faced claims challenging the use of such open source software and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97205"/>
                <wp:effectExtent l="0" t="0" r="0" b="0"/>
                <wp:wrapNone/>
                <wp:docPr id="56" name="Frame56"/>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may be required to publicly release certain portions of our proprietary source code. We could also be required to expend substantial time and resources to re-engineer some of our software. Any of the foregoing could disrupt and harm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trading price of our Class A common stock may be volatile, and you could lose all or part of your investment.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Class A common stock has been and will likely continue to be volatile and could be subject to fluctuations in response to various factors, some of which are beyond our control. For example, in connection with the COVID-19 pandemic, we have experienced an increase in the usage of our unified communications platform, and as a result, the trading price of our Class A common stock has significantly increased, while at the same time, the broader market has experienced significant declines and volatility. There are no assurances that the trading price of our Class A common stock will continue at this level for any period of time. Moreover, the trading price of our Class A common stock could experience a significant decrease once the scope and impact of the COVID-19 pandemic is better understood. These fluctuations could cause you to lose all or part of your investment in our Class A common stock. Factors that could cause fluctuations in the trading price of our Class A common stock include the following:</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price and volume fluctuations in the overall stock market from time to time;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volatility in the trading prices and trading volumes of technology stocks;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operating performance and stock market valuations of other technology companies generally, or those in our industry in particular;</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sales of shares of our Class A common stock by us or our stockholders;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failure of securities analysts to maintain coverage of us, changes in financial estimates by securities analysts who follow our company, or our failure to meet these estimates or the expectations of investors;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financial projections we may provide to the public, any changes in those projections, or our failure to meet those projections;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announcements by us or our competitors of new products, features, or services;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public’s reaction to our press releases, other public announcements, and filings with the SEC;</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rumors and market speculation involving us or other companies in our industry;</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actual or anticipated changes in our results of operations or fluctuations in our results of operations;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actual or anticipated developments in our business, our competitors’ businesses, or the competitive landscape generally;</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97205"/>
                <wp:effectExtent l="0" t="0" r="0" b="0"/>
                <wp:wrapNone/>
                <wp:docPr id="57" name="Frame57"/>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litigation involving us, our industry, or both, or investigations by regulators into our operations or those of our competitors;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announced or completed acquisitions of businesses, products, services, or technologies by us or our competitors;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new laws or regulations or new interpretations of existing laws or regulations applicable to our business;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accounting standards, policies, guidelines, interpretations, or principles;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any significant change in our management;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economic conditions and slow or negative growth of our markets.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the past, following periods of volatility in the overall market and in the market price of a particular company’s securities, securities class action litigation has often been instituted against these companies. For example, in April 2020, June 2020, July 2020 and October 2021, we and certain of our officers and directors were sued in putative class action lawsuits and purported shareholder derivative lawsuits alleging violations of the federal securities laws for allegedly making materially false and misleading statements about our data privacy and security measures. Securities litigation against us could result in substantial costs and divert our management’s time and attention from other business concerns, which could harm our business. We may be the target of additional litigation of this type in the future as well.</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dual class structure of our common stock as contained in our amended and restated certificate of incorporation has the effect of concentrating voting control with those stockholders who held our stock prior to our IPO, including our executive officers, employees, and directors and their affiliates, limiting your ability to influence corporate matters.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Class B common stock has 10 votes per share and our Class A common stock has one vote per share. As of April 30, 2022, the holders of our outstanding Class B common stock held 64.9% of the voting power of our outstanding capital stock, with our directors, executive officers and 5% stockholders and their respective affiliates holding 57.5% of such voting power in the aggregate. As of April 30, 2022, our founder, President and Chief Executive Officer, Eric S. Yuan, together with his affiliates, held approximately 7.5% of our outstanding capital stock but controlled approximately 31.3%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IPO.</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dual-class capital structure would make us ineligible for inclusion in any of these indices, and as a result, mutual funds, exchange-traded funds, and other investment vehicles that attempt to passively track these indices will not be investing in our stock. These policies may depress the valuations of publicly traded companies excluded from the indices, or depress our trading volume compared to those of other similar companies that are included.</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Future sales and issuances of our capital stock or rights to purchase capital stock could result in additional dilution of the percentage ownership of our stockholders and could cause our stock price to decline.</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97205"/>
                <wp:effectExtent l="0" t="0" r="0" b="0"/>
                <wp:wrapNone/>
                <wp:docPr id="58" name="Frame58"/>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Substantial future sales of shares of our Class A common stock and Class B common stock could cause the market price of our Class A common stock to decline.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(“RSU”) awards are available for immediate resale in the United States in the open market.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are provisions in our certificate of incorporation and bylaws that may make it difficult for a third party to acquire, or attempt to acquire, control of Zoom, even if a change in control was considered favorable by our stockholders.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documents also contain other provisions that could have an anti-takeover effect, such as:</w:t>
      </w:r>
    </w:p>
    <w:p>
      <w:pPr>
        <w:pStyle w:val="TextBody"/>
        <w:spacing w:lineRule="auto" w:line="288" w:before="120" w:after="283"/>
        <w:ind w:left="0" w:right="0" w:firstLine="180"/>
        <w:jc w:val="both"/>
        <w:rPr/>
      </w:pPr>
      <w:r>
        <w:rPr>
          <w:color w:val="000000"/>
        </w:rPr>
        <w:t>•</w:t>
      </w:r>
      <w:r>
        <w:rPr>
          <w:rFonts w:ascii="Times New Roman;sans-serif" w:hAnsi="Times New Roman;sans-serif"/>
          <w:b w:val="false"/>
          <w:color w:val="000000"/>
          <w:sz w:val="20"/>
        </w:rPr>
        <w:t>establishing a classified board of directors so that not all members of our board of directors are elected at one time;</w:t>
      </w:r>
    </w:p>
    <w:p>
      <w:pPr>
        <w:pStyle w:val="TextBody"/>
        <w:spacing w:lineRule="auto" w:line="288" w:before="120" w:after="283"/>
        <w:ind w:left="0" w:right="0" w:firstLine="180"/>
        <w:jc w:val="both"/>
        <w:rPr/>
      </w:pPr>
      <w:r>
        <w:rPr>
          <w:color w:val="000000"/>
        </w:rPr>
        <w:t>•</w:t>
      </w:r>
      <w:r>
        <w:rPr>
          <w:rFonts w:ascii="Times New Roman;sans-serif" w:hAnsi="Times New Roman;sans-serif"/>
          <w:b w:val="false"/>
          <w:color w:val="000000"/>
          <w:sz w:val="20"/>
        </w:rPr>
        <w:t>permitting the board of directors to establish the number of directors and fill any vacancies and newly created directorships;</w:t>
      </w:r>
    </w:p>
    <w:p>
      <w:pPr>
        <w:pStyle w:val="TextBody"/>
        <w:spacing w:lineRule="auto" w:line="288" w:before="120" w:after="283"/>
        <w:ind w:left="0" w:right="0" w:firstLine="180"/>
        <w:jc w:val="both"/>
        <w:rPr/>
      </w:pPr>
      <w:r>
        <w:rPr>
          <w:color w:val="000000"/>
        </w:rPr>
        <w:t>•</w:t>
      </w:r>
      <w:r>
        <w:rPr>
          <w:rFonts w:ascii="Times New Roman;sans-serif" w:hAnsi="Times New Roman;sans-serif"/>
          <w:b w:val="false"/>
          <w:color w:val="000000"/>
          <w:sz w:val="20"/>
        </w:rPr>
        <w:t>providing that directors may only be removed for cause;</w:t>
      </w:r>
    </w:p>
    <w:p>
      <w:pPr>
        <w:pStyle w:val="TextBody"/>
        <w:spacing w:lineRule="auto" w:line="288" w:before="120" w:after="283"/>
        <w:ind w:left="0" w:right="0" w:firstLine="180"/>
        <w:jc w:val="both"/>
        <w:rPr/>
      </w:pPr>
      <w:r>
        <w:rPr>
          <w:color w:val="000000"/>
        </w:rPr>
        <w:t>•</w:t>
      </w:r>
      <w:r>
        <w:rPr>
          <w:rFonts w:ascii="Times New Roman;sans-serif" w:hAnsi="Times New Roman;sans-serif"/>
          <w:b w:val="false"/>
          <w:color w:val="000000"/>
          <w:sz w:val="20"/>
        </w:rPr>
        <w:t>prohibiting cumulative voting for directors;</w:t>
      </w:r>
    </w:p>
    <w:p>
      <w:pPr>
        <w:pStyle w:val="TextBody"/>
        <w:spacing w:lineRule="auto" w:line="288" w:before="120" w:after="283"/>
        <w:ind w:left="0" w:right="0" w:firstLine="180"/>
        <w:jc w:val="both"/>
        <w:rPr/>
      </w:pPr>
      <w:r>
        <w:rPr>
          <w:color w:val="000000"/>
        </w:rPr>
        <w:t>•</w:t>
      </w:r>
      <w:r>
        <w:rPr>
          <w:rFonts w:ascii="Times New Roman;sans-serif" w:hAnsi="Times New Roman;sans-serif"/>
          <w:b w:val="false"/>
          <w:color w:val="000000"/>
          <w:sz w:val="20"/>
        </w:rPr>
        <w:t>requiring super-majority voting to amend some provisions in our certificate of incorporation and bylaws;</w:t>
      </w:r>
    </w:p>
    <w:p>
      <w:pPr>
        <w:pStyle w:val="TextBody"/>
        <w:spacing w:lineRule="auto" w:line="288" w:before="120" w:after="283"/>
        <w:ind w:left="0" w:right="0" w:firstLine="180"/>
        <w:jc w:val="both"/>
        <w:rPr/>
      </w:pPr>
      <w:r>
        <w:rPr>
          <w:color w:val="000000"/>
        </w:rPr>
        <w:t>•</w:t>
      </w:r>
      <w:r>
        <w:rPr>
          <w:rFonts w:ascii="Times New Roman;sans-serif" w:hAnsi="Times New Roman;sans-serif"/>
          <w:b w:val="false"/>
          <w:color w:val="000000"/>
          <w:sz w:val="20"/>
        </w:rPr>
        <w:t>authorizing the issuance of “blank check” preferred stock that our board of directors could use to implement a stockholder rights plan;</w:t>
      </w:r>
    </w:p>
    <w:p>
      <w:pPr>
        <w:pStyle w:val="TextBody"/>
        <w:spacing w:lineRule="auto" w:line="288" w:before="120" w:after="283"/>
        <w:ind w:left="0" w:right="0" w:firstLine="180"/>
        <w:jc w:val="both"/>
        <w:rPr/>
      </w:pPr>
      <w:r>
        <w:rPr>
          <w:color w:val="000000"/>
        </w:rPr>
        <w:t>•</w:t>
      </w:r>
      <w:r>
        <w:rPr>
          <w:rFonts w:ascii="Times New Roman;sans-serif" w:hAnsi="Times New Roman;sans-serif"/>
          <w:b w:val="false"/>
          <w:color w:val="000000"/>
          <w:sz w:val="20"/>
        </w:rPr>
        <w:t>eliminating the ability of stockholders to call special meetings of stockholders;</w:t>
      </w:r>
    </w:p>
    <w:p>
      <w:pPr>
        <w:pStyle w:val="TextBody"/>
        <w:spacing w:lineRule="auto" w:line="288" w:before="120" w:after="283"/>
        <w:ind w:left="0" w:right="0" w:firstLine="180"/>
        <w:jc w:val="both"/>
        <w:rPr/>
      </w:pPr>
      <w:r>
        <w:rPr>
          <w:color w:val="000000"/>
        </w:rPr>
        <w:t>•</w:t>
      </w:r>
      <w:r>
        <w:rPr>
          <w:rFonts w:ascii="Times New Roman;sans-serif" w:hAnsi="Times New Roman;sans-serif"/>
          <w:b w:val="false"/>
          <w:color w:val="000000"/>
          <w:sz w:val="20"/>
        </w:rPr>
        <w:t>prohibiting stockholder action by written consent, which requires all stockholder actions to be taken at a meeting of our stockholders; and</w:t>
      </w:r>
    </w:p>
    <w:p>
      <w:pPr>
        <w:pStyle w:val="TextBody"/>
        <w:spacing w:lineRule="auto" w:line="288" w:before="120" w:after="283"/>
        <w:ind w:left="0" w:right="0" w:firstLine="180"/>
        <w:jc w:val="both"/>
        <w:rPr/>
      </w:pPr>
      <w:r>
        <w:rPr>
          <w:color w:val="000000"/>
        </w:rPr>
        <w:t>•</w:t>
      </w:r>
      <w:r>
        <w:rPr>
          <w:rFonts w:ascii="Times New Roman;sans-serif" w:hAnsi="Times New Roman;sans-serif"/>
          <w:b w:val="false"/>
          <w:color w:val="000000"/>
          <w:sz w:val="20"/>
        </w:rPr>
        <w:t>our dual-class common stock structure as described above.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97205"/>
                <wp:effectExtent l="0" t="0" r="0" b="0"/>
                <wp:wrapNone/>
                <wp:docPr id="59" name="Frame59"/>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 </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do not intend to pay dividends for the foreseeable future.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returns on their investment.</w: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Estimates of our market opportunity and forecasts of market growth may prove to be inaccurate, and even if the market in which we compete achieves the forecasted growth, our business could fail to grow at similar rates, if at all.</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platforms,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business could be disrupted by catastrophic events.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97205"/>
                <wp:effectExtent l="0" t="0" r="0" b="0"/>
                <wp:wrapNone/>
                <wp:docPr id="60" name="Frame60"/>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pStyle w:val="TextBody"/>
        <w:spacing w:lineRule="auto" w:line="288" w:before="120" w:after="283"/>
        <w:ind w:left="0" w:right="0" w:firstLine="540"/>
        <w:jc w:val="both"/>
        <w:rPr/>
      </w:pPr>
      <w:r>
        <w:rPr>
          <w:rFonts w:ascii="Times New Roman;sans-serif" w:hAnsi="Times New Roman;sans-serif"/>
          <w:b w:val="false"/>
          <w:color w:val="000000"/>
          <w:sz w:val="20"/>
        </w:rPr>
        <w:t>We also face risks related to health epidemics, such as the COVID-19 pandemic, which has impacted virtually every country in the world.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 While we have seen increased usage of our service globally, a significant portion of such increase is attributable to free Basic accounts, which do not generate any revenue. For example, we have removed the 40-minute time limit from our free Basic accounts for customers in K-12 schools in certain countries.</w:t>
      </w:r>
      <w:r>
        <w:rPr>
          <w:color w:val="000000"/>
        </w:rPr>
        <w:t xml:space="preserve"> </w:t>
      </w:r>
      <w:r>
        <w:rPr>
          <w:rFonts w:ascii="Times New Roman;sans-serif" w:hAnsi="Times New Roman;sans-serif"/>
          <w:b w:val="false"/>
          <w:color w:val="000000"/>
          <w:sz w:val="20"/>
        </w:rPr>
        <w:t>We cannot make any assurances that we will experience an increase in paid hosts or that new or existing users will continue to utilize our services at the same levels after the COVID-19 pandemic has tapered. Furthermore, such increased usage by free Basic account users during this time has required and will continue to require us to expand our network capacity which will increase our operating costs.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our strategic investments, including partial or complete loss of invested capital. Significant changes in the fair value of our investment portfolio could negatively impact our financial results.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strategic investments in publicly traded and privately held companies. The financial success of our investments in any privately held company is typically dependent on a liquidity event, such as a public offering, acquisition or other favorable market event reflecting appreciation to the cost of our initial investment. In addition, valuations of privately held companies are inherently complex due to the lack of readily available market data. Likewise, the financial success of our investment in any publicly held company is typically dependent upon an exit in favorable market conditions, and to a lesser extent on liquidity events. The capital markets for public offerings and acquisitions are dynamic and the likelihood of successful liquidity events for the companies we have invested in could significantly worsen. In addition, valuations of privately held companies are inherently complex due to the lack of readily available market data.</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record all fair value adjustments of our publicly traded and privately held non-marketable securities through the condensed consolidated statement of operations. As a result, we may experience additional volatility to our statements of operations due to changes in market prices of our investments in publicly held securities and the valuation and timing of observable price changes or impairments of our investments in privately held securities. Our ability to mitigate this volatility in any given period may be impacted by our contractual obligations to hold securities for a set period of time. All of our investments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reported results of operations may be adversely affected by changes in accounting principles generally accepted in the United States.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need additional capital, and we cannot be certain that additional financing will be available on favorable terms, or at all.</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97205"/>
                <wp:effectExtent l="0" t="0" r="0" b="0"/>
                <wp:wrapNone/>
                <wp:docPr id="61" name="Frame61"/>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disclosure controls and internal control over financial reporting, our ability to produce timely and accurate consolidated financial statements or comply with applicable regulations could be impaired.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condensed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required to provide an annual management report on the effectiveness of our internal control over financial reporting.</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Class A common stock market price and trading volume could decline if securities or industry analysts do not publish research or publish inaccurate or unfavorable research about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incur costs and demands upon management as a result of complying with the laws and regulations affecting public companies in the United States, which may harm our business.</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97205"/>
                <wp:effectExtent l="0" t="0" r="0" b="0"/>
                <wp:wrapNone/>
                <wp:docPr id="62" name="Frame62"/>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62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with respect to our repurchases of Class A common stock during the three months ended April 30, 2022:</w:t>
      </w:r>
    </w:p>
    <w:p>
      <w:pPr>
        <w:pStyle w:val="TextBody"/>
        <w:spacing w:before="120" w:after="283"/>
        <w:ind w:left="0" w:right="0" w:firstLine="540"/>
        <w:jc w:val="both"/>
        <w:rPr/>
      </w:pPr>
      <w:r>
        <w:rPr/>
      </w:r>
    </w:p>
    <w:tbl>
      <w:tblPr>
        <w:tblW w:w="10205" w:type="dxa"/>
        <w:jc w:val="left"/>
        <w:tblInd w:w="0" w:type="dxa"/>
        <w:tblCellMar>
          <w:top w:w="28" w:type="dxa"/>
          <w:left w:w="28" w:type="dxa"/>
          <w:bottom w:w="28" w:type="dxa"/>
          <w:right w:w="28" w:type="dxa"/>
        </w:tblCellMar>
      </w:tblPr>
      <w:tblGrid>
        <w:gridCol w:w="392"/>
        <w:gridCol w:w="343"/>
        <w:gridCol w:w="348"/>
        <w:gridCol w:w="504"/>
        <w:gridCol w:w="504"/>
        <w:gridCol w:w="505"/>
        <w:gridCol w:w="282"/>
        <w:gridCol w:w="930"/>
        <w:gridCol w:w="156"/>
        <w:gridCol w:w="837"/>
        <w:gridCol w:w="837"/>
        <w:gridCol w:w="840"/>
        <w:gridCol w:w="597"/>
        <w:gridCol w:w="2654"/>
        <w:gridCol w:w="476"/>
      </w:tblGrid>
      <w:tr>
        <w:trPr/>
        <w:tc>
          <w:tcPr>
            <w:tcW w:w="392"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265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r>
      <w:tr>
        <w:trPr/>
        <w:tc>
          <w:tcPr>
            <w:tcW w:w="1083" w:type="dxa"/>
            <w:gridSpan w:val="3"/>
            <w:tcBorders/>
            <w:shd w:fill="auto" w:val="clear"/>
            <w:tcMar>
              <w:top w:w="0" w:type="dxa"/>
              <w:left w:w="0" w:type="dxa"/>
              <w:bottom w:w="0" w:type="dxa"/>
              <w:right w:w="0" w:type="dxa"/>
            </w:tcMar>
            <w:vAlign w:val="center"/>
          </w:tcPr>
          <w:p>
            <w:pPr>
              <w:pStyle w:val="TableContents"/>
              <w:spacing w:lineRule="auto" w:line="254"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Period</w:t>
            </w:r>
          </w:p>
        </w:tc>
        <w:tc>
          <w:tcPr>
            <w:tcW w:w="1513" w:type="dxa"/>
            <w:gridSpan w:val="3"/>
            <w:tcBorders/>
            <w:shd w:fill="auto" w:val="clear"/>
            <w:tcMar>
              <w:top w:w="0" w:type="dxa"/>
              <w:left w:w="0" w:type="dxa"/>
              <w:bottom w:w="0" w:type="dxa"/>
              <w:right w:w="0" w:type="dxa"/>
            </w:tcMar>
            <w:vAlign w:val="center"/>
          </w:tcPr>
          <w:p>
            <w:pPr>
              <w:pStyle w:val="TableContents"/>
              <w:spacing w:lineRule="auto" w:line="254" w:before="0" w:after="0"/>
              <w:jc w:val="center"/>
              <w:rPr/>
            </w:pPr>
            <w:r>
              <w:rPr>
                <w:rFonts w:ascii="Times New Roman;sans-serif" w:hAnsi="Times New Roman;sans-serif"/>
                <w:b w:val="false"/>
                <w:color w:val="000000"/>
                <w:sz w:val="18"/>
              </w:rPr>
              <w:t>Total Number of Shares Purchased</w:t>
            </w:r>
            <w:r>
              <w:rPr>
                <w:rFonts w:ascii="Times New Roman;sans-serif" w:hAnsi="Times New Roman;sans-serif"/>
                <w:b w:val="false"/>
                <w:color w:val="000000"/>
                <w:sz w:val="12"/>
              </w:rPr>
              <w:t>(1)</w:t>
            </w:r>
          </w:p>
        </w:tc>
        <w:tc>
          <w:tcPr>
            <w:tcW w:w="1368" w:type="dxa"/>
            <w:gridSpan w:val="3"/>
            <w:tcBorders/>
            <w:shd w:fill="auto" w:val="clear"/>
            <w:tcMar>
              <w:top w:w="0" w:type="dxa"/>
              <w:left w:w="0" w:type="dxa"/>
              <w:bottom w:w="0" w:type="dxa"/>
              <w:right w:w="0" w:type="dxa"/>
            </w:tcMar>
            <w:vAlign w:val="center"/>
          </w:tcPr>
          <w:p>
            <w:pPr>
              <w:pStyle w:val="TableContents"/>
              <w:spacing w:lineRule="auto" w:line="254"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Average Price Paid per Share</w:t>
            </w:r>
          </w:p>
        </w:tc>
        <w:tc>
          <w:tcPr>
            <w:tcW w:w="2514" w:type="dxa"/>
            <w:gridSpan w:val="3"/>
            <w:tcBorders/>
            <w:shd w:fill="auto" w:val="clear"/>
            <w:tcMar>
              <w:top w:w="0" w:type="dxa"/>
              <w:left w:w="0" w:type="dxa"/>
              <w:bottom w:w="0" w:type="dxa"/>
              <w:right w:w="0" w:type="dxa"/>
            </w:tcMar>
            <w:vAlign w:val="center"/>
          </w:tcPr>
          <w:p>
            <w:pPr>
              <w:pStyle w:val="TableContents"/>
              <w:spacing w:lineRule="auto" w:line="254" w:before="0" w:after="0"/>
              <w:jc w:val="center"/>
              <w:rPr/>
            </w:pPr>
            <w:r>
              <w:rPr>
                <w:rFonts w:ascii="Times New Roman;sans-serif" w:hAnsi="Times New Roman;sans-serif"/>
                <w:b w:val="false"/>
                <w:color w:val="000000"/>
                <w:sz w:val="18"/>
              </w:rPr>
              <w:t>Total Number of Shares Purchased as Part of Publicly Announced Program</w:t>
            </w:r>
            <w:r>
              <w:rPr>
                <w:rFonts w:ascii="Times New Roman;sans-serif" w:hAnsi="Times New Roman;sans-serif"/>
                <w:b w:val="false"/>
                <w:color w:val="000000"/>
                <w:sz w:val="12"/>
              </w:rPr>
              <w:t>(1)</w:t>
            </w:r>
          </w:p>
        </w:tc>
        <w:tc>
          <w:tcPr>
            <w:tcW w:w="3727" w:type="dxa"/>
            <w:gridSpan w:val="3"/>
            <w:tcBorders/>
            <w:shd w:fill="auto" w:val="clear"/>
            <w:tcMar>
              <w:top w:w="0" w:type="dxa"/>
              <w:left w:w="0" w:type="dxa"/>
              <w:bottom w:w="0" w:type="dxa"/>
              <w:right w:w="0" w:type="dxa"/>
            </w:tcMar>
            <w:vAlign w:val="center"/>
          </w:tcPr>
          <w:p>
            <w:pPr>
              <w:pStyle w:val="TableContents"/>
              <w:spacing w:lineRule="auto" w:line="254" w:before="0" w:after="0"/>
              <w:jc w:val="center"/>
              <w:rPr/>
            </w:pPr>
            <w:r>
              <w:rPr>
                <w:rFonts w:ascii="Times New Roman;sans-serif" w:hAnsi="Times New Roman;sans-serif"/>
                <w:b w:val="false"/>
                <w:color w:val="000000"/>
                <w:sz w:val="18"/>
              </w:rPr>
              <w:t>Approximate Dollar Value of Shares that May Yet Be Purchased Under Publicly Announced Program (in thousands)</w:t>
            </w:r>
            <w:r>
              <w:rPr>
                <w:rFonts w:ascii="Times New Roman;sans-serif" w:hAnsi="Times New Roman;sans-serif"/>
                <w:b w:val="false"/>
                <w:color w:val="000000"/>
                <w:sz w:val="12"/>
              </w:rPr>
              <w:t>(1)</w:t>
            </w:r>
          </w:p>
        </w:tc>
      </w:tr>
      <w:tr>
        <w:trPr/>
        <w:tc>
          <w:tcPr>
            <w:tcW w:w="1083" w:type="dxa"/>
            <w:gridSpan w:val="3"/>
            <w:tcBorders/>
            <w:shd w:fill="CCEEFF" w:val="clear"/>
            <w:tcMar>
              <w:top w:w="0" w:type="dxa"/>
              <w:left w:w="0" w:type="dxa"/>
              <w:bottom w:w="0" w:type="dxa"/>
              <w:right w:w="0" w:type="dxa"/>
            </w:tcMar>
            <w:vAlign w:val="center"/>
          </w:tcPr>
          <w:p>
            <w:pPr>
              <w:pStyle w:val="TableContents"/>
              <w:spacing w:lineRule="auto" w:line="254"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 – 28, 2022</w:t>
            </w:r>
          </w:p>
        </w:tc>
        <w:tc>
          <w:tcPr>
            <w:tcW w:w="151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3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25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5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6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1,000,000 </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3" w:type="dxa"/>
            <w:gridSpan w:val="3"/>
            <w:tcBorders/>
            <w:shd w:fill="FFFFFF" w:val="clear"/>
            <w:tcMar>
              <w:top w:w="0" w:type="dxa"/>
              <w:left w:w="0" w:type="dxa"/>
              <w:bottom w:w="0" w:type="dxa"/>
              <w:right w:w="0" w:type="dxa"/>
            </w:tcMar>
            <w:vAlign w:val="center"/>
          </w:tcPr>
          <w:p>
            <w:pPr>
              <w:pStyle w:val="TableContents"/>
              <w:spacing w:lineRule="auto" w:line="254"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March 1 – 31, 2022</w:t>
            </w:r>
          </w:p>
        </w:tc>
        <w:tc>
          <w:tcPr>
            <w:tcW w:w="151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618,178</w:t>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618,178</w:t>
            </w:r>
          </w:p>
        </w:tc>
        <w:tc>
          <w:tcPr>
            <w:tcW w:w="5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6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932,498 </w:t>
            </w:r>
          </w:p>
        </w:tc>
        <w:tc>
          <w:tcPr>
            <w:tcW w:w="4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3" w:type="dxa"/>
            <w:gridSpan w:val="3"/>
            <w:tcBorders/>
            <w:shd w:fill="CCEEFF" w:val="clear"/>
            <w:tcMar>
              <w:top w:w="0" w:type="dxa"/>
              <w:left w:w="0" w:type="dxa"/>
              <w:bottom w:w="0" w:type="dxa"/>
              <w:right w:w="0" w:type="dxa"/>
            </w:tcMar>
            <w:vAlign w:val="center"/>
          </w:tcPr>
          <w:p>
            <w:pPr>
              <w:pStyle w:val="TableContents"/>
              <w:spacing w:lineRule="auto" w:line="254"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April 1 – 30, 2022</w:t>
            </w:r>
          </w:p>
        </w:tc>
        <w:tc>
          <w:tcPr>
            <w:tcW w:w="151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606,072</w:t>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606,072</w:t>
            </w:r>
          </w:p>
        </w:tc>
        <w:tc>
          <w:tcPr>
            <w:tcW w:w="5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6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867,588 </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3" w:type="dxa"/>
            <w:gridSpan w:val="3"/>
            <w:tcBorders/>
            <w:shd w:fill="FFFFFF" w:val="clear"/>
            <w:tcMar>
              <w:top w:w="0" w:type="dxa"/>
              <w:left w:w="0" w:type="dxa"/>
              <w:bottom w:w="0" w:type="dxa"/>
              <w:right w:w="0" w:type="dxa"/>
            </w:tcMar>
            <w:vAlign w:val="center"/>
          </w:tcPr>
          <w:p>
            <w:pPr>
              <w:pStyle w:val="TableContents"/>
              <w:spacing w:lineRule="auto" w:line="254"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51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1,224,250</w:t>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1,224,250</w:t>
            </w:r>
          </w:p>
        </w:tc>
        <w:tc>
          <w:tcPr>
            <w:tcW w:w="37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54"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 February 2022, our Board of Directors authorized a stock repurchase program of up to $1.0 billion of our Class A common stock, which expires in February 2024. Repurchases of our Class A common stock may be effected from time to time, either on the open market (including preset trading plans), in privately negotiated transactions, and other transactions in accordance with applicable securities laws. The program does not obligate the Company to repurchase any specific number of shares and may be discontinued at any time. See Note 8 "Stockholders’ Equity and Equity Incentive Plans" of this Quarterly Report on Form 10-Q for additional information related to share repurchases.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62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62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62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97205"/>
                <wp:effectExtent l="0" t="0" r="0" b="0"/>
                <wp:wrapNone/>
                <wp:docPr id="63" name="Frame63"/>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281"/>
        <w:gridCol w:w="248"/>
        <w:gridCol w:w="249"/>
        <w:gridCol w:w="109"/>
        <w:gridCol w:w="109"/>
        <w:gridCol w:w="109"/>
        <w:gridCol w:w="1668"/>
        <w:gridCol w:w="1668"/>
        <w:gridCol w:w="1681"/>
        <w:gridCol w:w="109"/>
        <w:gridCol w:w="109"/>
        <w:gridCol w:w="109"/>
        <w:gridCol w:w="175"/>
        <w:gridCol w:w="175"/>
        <w:gridCol w:w="176"/>
        <w:gridCol w:w="109"/>
        <w:gridCol w:w="109"/>
        <w:gridCol w:w="109"/>
        <w:gridCol w:w="339"/>
        <w:gridCol w:w="263"/>
        <w:gridCol w:w="234"/>
        <w:gridCol w:w="109"/>
        <w:gridCol w:w="109"/>
        <w:gridCol w:w="109"/>
        <w:gridCol w:w="210"/>
        <w:gridCol w:w="210"/>
        <w:gridCol w:w="211"/>
        <w:gridCol w:w="109"/>
        <w:gridCol w:w="109"/>
        <w:gridCol w:w="109"/>
        <w:gridCol w:w="227"/>
        <w:gridCol w:w="227"/>
        <w:gridCol w:w="328"/>
      </w:tblGrid>
      <w:tr>
        <w:trPr/>
        <w:tc>
          <w:tcPr>
            <w:tcW w:w="281"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8" w:type="dxa"/>
            <w:tcBorders/>
            <w:shd w:fill="auto" w:val="clear"/>
            <w:vAlign w:val="center"/>
          </w:tcPr>
          <w:p>
            <w:pPr>
              <w:pStyle w:val="TableContents"/>
              <w:spacing w:before="0" w:after="283"/>
              <w:rPr>
                <w:sz w:val="4"/>
                <w:szCs w:val="4"/>
              </w:rPr>
            </w:pPr>
            <w:r>
              <w:rPr>
                <w:sz w:val="4"/>
                <w:szCs w:val="4"/>
              </w:rPr>
            </w:r>
          </w:p>
        </w:tc>
        <w:tc>
          <w:tcPr>
            <w:tcW w:w="1668" w:type="dxa"/>
            <w:tcBorders/>
            <w:shd w:fill="auto" w:val="clear"/>
            <w:vAlign w:val="center"/>
          </w:tcPr>
          <w:p>
            <w:pPr>
              <w:pStyle w:val="TableContents"/>
              <w:spacing w:before="0" w:after="283"/>
              <w:rPr>
                <w:sz w:val="4"/>
                <w:szCs w:val="4"/>
              </w:rPr>
            </w:pPr>
            <w:r>
              <w:rPr>
                <w:sz w:val="4"/>
                <w:szCs w:val="4"/>
              </w:rPr>
            </w:r>
          </w:p>
        </w:tc>
        <w:tc>
          <w:tcPr>
            <w:tcW w:w="16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r>
      <w:tr>
        <w:trPr/>
        <w:tc>
          <w:tcPr>
            <w:tcW w:w="77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7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501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7"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hyperlink r:id="rId2">
              <w:r>
                <w:rPr>
                  <w:rStyle w:val="InternetLink"/>
                  <w:rFonts w:ascii="Times New Roman;sans-serif" w:hAnsi="Times New Roman;sans-serif"/>
                  <w:b w:val="false"/>
                  <w:color w:val="0000FF"/>
                  <w:sz w:val="20"/>
                  <w:u w:val="single"/>
                </w:rPr>
                <w:t>Amended and Restated Certificate of Incorporation of Zoom Video Communications,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001-38865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23, 2019</w:t>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7"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hyperlink r:id="rId3">
              <w:r>
                <w:rPr>
                  <w:rStyle w:val="InternetLink"/>
                  <w:rFonts w:ascii="Times New Roman;sans-serif" w:hAnsi="Times New Roman;sans-serif"/>
                  <w:b w:val="false"/>
                  <w:color w:val="0000FF"/>
                  <w:sz w:val="20"/>
                  <w:u w:val="single"/>
                </w:rPr>
                <w:t>Amended and Restated Bylaws of Zoom Video Communications,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333-230444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8, 2019</w:t>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non-employeedirectorcompen.htm">
              <w:r>
                <w:rPr>
                  <w:rStyle w:val="InternetLink"/>
                  <w:rFonts w:ascii="Times New Roman;sans-serif" w:hAnsi="Times New Roman;sans-serif"/>
                  <w:b w:val="false"/>
                  <w:color w:val="0000FF"/>
                  <w:sz w:val="20"/>
                  <w:u w:val="single"/>
                </w:rPr>
                <w:t>Zoom Video Communications, Inc. Non-Employee Director Compensation Policy, as amended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zoom-boardofferlettermcder.htm">
              <w:r>
                <w:rPr>
                  <w:rStyle w:val="InternetLink"/>
                  <w:rFonts w:ascii="Times New Roman;sans-serif" w:hAnsi="Times New Roman;sans-serif"/>
                  <w:b w:val="false"/>
                  <w:color w:val="0000FF"/>
                  <w:sz w:val="20"/>
                  <w:u w:val="single"/>
                </w:rPr>
                <w:t>Director Offer Letter by and between Zoom Video Communications, Inc. and William R. McDermott dated February 23, 2022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zm-20220430xex311.htm">
              <w:r>
                <w:rPr>
                  <w:rStyle w:val="InternetLink"/>
                  <w:rFonts w:ascii="Times New Roman;sans-serif" w:hAnsi="Times New Roman;sans-serif"/>
                  <w:b w:val="false"/>
                  <w:color w:val="0000FF"/>
                  <w:sz w:val="20"/>
                  <w:u w:val="single"/>
                </w:rPr>
                <w:t>Certification of Chief Executive Officer pursuant to Exchange Act Rules 13a-14(a) and 15d-14(a),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zm-20220430xex312.htm">
              <w:r>
                <w:rPr>
                  <w:rStyle w:val="InternetLink"/>
                  <w:rFonts w:ascii="Times New Roman;sans-serif" w:hAnsi="Times New Roman;sans-serif"/>
                  <w:b w:val="false"/>
                  <w:color w:val="0000FF"/>
                  <w:sz w:val="20"/>
                  <w:u w:val="single"/>
                </w:rPr>
                <w:t>Certification of Chief Financial Officer pursuant to Exchange Act Rules 13a-14(a) and 15d-14(a),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zm-20220430xex321.htm">
              <w:r>
                <w:rPr>
                  <w:rStyle w:val="InternetLink"/>
                  <w:rFonts w:ascii="Times New Roman;sans-serif" w:hAnsi="Times New Roman;sans-serif"/>
                  <w:b w:val="false"/>
                  <w:color w:val="0000FF"/>
                  <w:sz w:val="20"/>
                  <w:u w:val="single"/>
                </w:rPr>
                <w:t>Certifications of Chief Executive Officer and Chief Financial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(the instance document does not appear in the Interactive Data File because its XBRL tags are embedded within the Inline EXBRL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from the Registrant’s Quarterly Report on Form 10-Q for the quarter ended April 30, 2022, has been formatted in Inline XBRL)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0"/>
        </w:rPr>
        <w:t>The certifications attached as Exhibit 32.1 that accompany this Quarterly Report on Form 10-Q are not deemed filed with the SEC and are not to be incorporated by reference into any filing of the Registrant under the Securities Act, whether made before or after the date of this Quarterly Report on Form 10-Q, irrespective of any general incorporation language contained in such filing.</w:t>
      </w:r>
    </w:p>
    <w:p>
      <w:pPr>
        <w:pStyle w:val="TextBody"/>
        <w:spacing w:before="0" w:after="0"/>
        <w:ind w:left="0" w:right="0" w:hanging="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97205"/>
                <wp:effectExtent l="0" t="0" r="0" b="0"/>
                <wp:wrapNone/>
                <wp:docPr id="64" name="Frame64"/>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0"/>
        <w:rPr/>
      </w:pPr>
      <w:hyperlink w:anchor="id0a663c2ae3341ed992a9b81c523085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735" w:type="dxa"/>
        <w:jc w:val="left"/>
        <w:tblInd w:w="0" w:type="dxa"/>
        <w:tblCellMar>
          <w:top w:w="28" w:type="dxa"/>
          <w:left w:w="28" w:type="dxa"/>
          <w:bottom w:w="28" w:type="dxa"/>
          <w:right w:w="28" w:type="dxa"/>
        </w:tblCellMar>
      </w:tblPr>
      <w:tblGrid>
        <w:gridCol w:w="629"/>
        <w:gridCol w:w="554"/>
        <w:gridCol w:w="557"/>
        <w:gridCol w:w="595"/>
        <w:gridCol w:w="595"/>
        <w:gridCol w:w="595"/>
        <w:gridCol w:w="937"/>
        <w:gridCol w:w="937"/>
        <w:gridCol w:w="1336"/>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ZOOM VIDEO COMMUNICATIONS, INC.</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25, 2022</w:t>
            </w:r>
          </w:p>
        </w:tc>
        <w:tc>
          <w:tcPr>
            <w:tcW w:w="1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S. Yuan</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25, 2022</w:t>
            </w:r>
          </w:p>
        </w:tc>
        <w:tc>
          <w:tcPr>
            <w:tcW w:w="1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Steckelberg</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Kelly Steckelberg</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Arial;sans-serif" w:hAnsi="Arial;sans-serif"/>
          <w:b w:val="false"/>
          <w:color w:val="000000"/>
          <w:sz w:val="24"/>
        </w:rPr>
      </w:pPr>
      <w:r>
        <w:rPr>
          <w:rFonts w:ascii="Arial;sans-serif" w:hAnsi="Arial;sans-serif"/>
          <w:b w:val="false"/>
          <w:color w:val="000000"/>
          <w:sz w:val="24"/>
        </w:rPr>
        <w:t>E</w:t>
      </w:r>
      <w:r>
        <w:rPr>
          <w:rFonts w:ascii="Arial;sans-serif" w:hAnsi="Arial;sans-serif"/>
          <w:b w:val="false"/>
          <w:color w:val="000000"/>
          <w:sz w:val="24"/>
        </w:rPr>
        <w:t>xhibit 10.1</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97205"/>
                <wp:effectExtent l="0" t="0" r="0" b="0"/>
                <wp:wrapNone/>
                <wp:docPr id="65" name="Frame65"/>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68" w:before="0" w:after="0"/>
        <w:jc w:val="center"/>
        <w:rPr>
          <w:rFonts w:ascii="Arial;sans-serif" w:hAnsi="Arial;sans-serif"/>
          <w:b/>
          <w:color w:val="000000"/>
          <w:sz w:val="24"/>
        </w:rPr>
      </w:pPr>
      <w:r>
        <w:rPr>
          <w:rFonts w:ascii="Arial;sans-serif" w:hAnsi="Arial;sans-serif"/>
          <w:b/>
          <w:color w:val="000000"/>
          <w:sz w:val="24"/>
        </w:rPr>
        <w:t>Zoom Video Communications, Inc.</w:t>
      </w:r>
    </w:p>
    <w:p>
      <w:pPr>
        <w:pStyle w:val="TextBody"/>
        <w:spacing w:before="0" w:after="0"/>
        <w:rPr/>
      </w:pPr>
      <w:r>
        <w:rPr/>
      </w:r>
    </w:p>
    <w:p>
      <w:pPr>
        <w:pStyle w:val="TextBody"/>
        <w:spacing w:lineRule="auto" w:line="268" w:before="0" w:after="0"/>
        <w:jc w:val="center"/>
        <w:rPr>
          <w:rFonts w:ascii="Arial;sans-serif" w:hAnsi="Arial;sans-serif"/>
          <w:b/>
          <w:color w:val="000000"/>
          <w:sz w:val="24"/>
        </w:rPr>
      </w:pPr>
      <w:r>
        <w:rPr>
          <w:rFonts w:ascii="Arial;sans-serif" w:hAnsi="Arial;sans-serif"/>
          <w:b/>
          <w:color w:val="000000"/>
          <w:sz w:val="24"/>
        </w:rPr>
        <w:t>Non-Employee Director Compensation Policy</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4"/>
        </w:rPr>
        <w:t>Each member of the Board of Directors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who is not also serving as an employee of or consultant to Zoom Video Communications,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or any of its subsidiaries (each such member, an “</w:t>
      </w:r>
      <w:r>
        <w:rPr>
          <w:rFonts w:ascii="Times New Roman;sans-serif" w:hAnsi="Times New Roman;sans-serif"/>
          <w:b/>
          <w:i/>
          <w:color w:val="000000"/>
          <w:sz w:val="24"/>
        </w:rPr>
        <w:t>Eligible Director</w:t>
      </w:r>
      <w:r>
        <w:rPr>
          <w:color w:val="000000"/>
        </w:rPr>
        <w:t>”</w:t>
      </w:r>
      <w:r>
        <w:rPr>
          <w:rFonts w:ascii="Times New Roman;sans-serif" w:hAnsi="Times New Roman;sans-serif"/>
          <w:b w:val="false"/>
          <w:color w:val="000000"/>
          <w:sz w:val="24"/>
        </w:rPr>
        <w:t>) will receive the compensation described in this Non-Employee Director Compensation Policy (this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for his or her Board service. This Policy first became effective commencing as of May 1, 2019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xml:space="preserve">), has been subsequently amended, most recently on February 23, 2022, and may be further amended at any time in the sole discretion of the Board or the Compensation Committee of the Board. An Eligible Director may decline all or any portion of his or her compensation by giving notice to the Company prior to the date cash may be paid or equity awards are to be granted, as the case may be. </w: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Annual Cash Compensation</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4"/>
        </w:rPr>
        <w:t>Each Eligible Director will be eligible to receive the annual cash compensation amounts set forth below upon the effective date of such Eligible Director’s first election or appointment to the Board (the “</w:t>
      </w:r>
      <w:r>
        <w:rPr>
          <w:rFonts w:ascii="Times New Roman;sans-serif" w:hAnsi="Times New Roman;sans-serif"/>
          <w:b/>
          <w:i/>
          <w:color w:val="000000"/>
          <w:sz w:val="24"/>
        </w:rPr>
        <w:t>Eligibility Date</w:t>
      </w:r>
      <w:r>
        <w:rPr>
          <w:color w:val="000000"/>
        </w:rPr>
        <w:t>”</w:t>
      </w:r>
      <w:r>
        <w:rPr>
          <w:rFonts w:ascii="Times New Roman;sans-serif" w:hAnsi="Times New Roman;sans-serif"/>
          <w:b w:val="false"/>
          <w:color w:val="000000"/>
          <w:sz w:val="24"/>
        </w:rPr>
        <w:t>).</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an Eligible Director’s Eligibility Date is other than the first day of a fiscal quarter of the Company, each annual retainer set forth below will be pro-rated based on days served in the applicable fiscal year following the Eligibility Date, with the pro-rated amount paid for the first fiscal quarter that includes the Eligibility Date and regular full quarterly payments thereafter; provided, however, that if the Eligible Director leaves service prior to the last day of a fiscal quarter, the fee for such fiscal quarter will be pro-rated. All annual cash fees are vested upon payment and are payable to such Eligible Directors (or their designee) in equal quarterly installments in arrears on the last day of each of the Company’s fiscal quarters in which the service occurred. </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4"/>
        </w:rPr>
        <w:t xml:space="preserve">1. </w:t>
      </w:r>
      <w:r>
        <w:rPr>
          <w:rFonts w:ascii="Times New Roman;sans-serif" w:hAnsi="Times New Roman;sans-serif"/>
          <w:b w:val="false"/>
          <w:color w:val="000000"/>
          <w:sz w:val="24"/>
          <w:u w:val="single"/>
        </w:rPr>
        <w:t>Annual Board Service Retainer</w:t>
      </w:r>
      <w:r>
        <w:rPr>
          <w:rFonts w:ascii="Times New Roman;sans-serif" w:hAnsi="Times New Roman;sans-serif"/>
          <w:b w:val="false"/>
          <w:color w:val="000000"/>
          <w:sz w:val="24"/>
        </w:rPr>
        <w:t xml:space="preserve">: </w: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All Eligible Directors: $45,000</w: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Chair of the Board Service Retainer (in addition to Eligible Director Service Retainer): $20,000</w: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Lead Independent Director (in addition to Eligible Director Service Retainer): $20,000</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4"/>
        </w:rPr>
        <w:t xml:space="preserve">2. </w:t>
      </w:r>
      <w:r>
        <w:rPr>
          <w:rFonts w:ascii="Times New Roman;sans-serif" w:hAnsi="Times New Roman;sans-serif"/>
          <w:b w:val="false"/>
          <w:color w:val="000000"/>
          <w:sz w:val="24"/>
          <w:u w:val="single"/>
        </w:rPr>
        <w:t>Annual Committee Chair Service Retainer (in addition to Committee Member Service Retainer)</w:t>
      </w:r>
      <w:r>
        <w:rPr>
          <w:rFonts w:ascii="Times New Roman;sans-serif" w:hAnsi="Times New Roman;sans-serif"/>
          <w:b w:val="false"/>
          <w:color w:val="000000"/>
          <w:sz w:val="24"/>
        </w:rPr>
        <w:t>:</w: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Chair of the Audit Committee: $12,500</w: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Chair of the Compensation Committee: $10,000</w: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Chair of the Nominating and Corporate Governance Committee: $5,000</w: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Chair of the Cybersecurity Risk Management Committee: $10,000</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4"/>
        </w:rPr>
        <w:t xml:space="preserve">3. </w:t>
      </w:r>
      <w:r>
        <w:rPr>
          <w:rFonts w:ascii="Times New Roman;sans-serif" w:hAnsi="Times New Roman;sans-serif"/>
          <w:b w:val="false"/>
          <w:color w:val="000000"/>
          <w:sz w:val="24"/>
          <w:u w:val="single"/>
        </w:rPr>
        <w:t>Annual Committee Member Service Retainer</w:t>
      </w:r>
      <w:r>
        <w:rPr>
          <w:rFonts w:ascii="Times New Roman;sans-serif" w:hAnsi="Times New Roman;sans-serif"/>
          <w:b w:val="false"/>
          <w:color w:val="000000"/>
          <w:sz w:val="24"/>
        </w:rPr>
        <w:t>:</w: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Member of the Audit Committee: $12,500</w:t>
      </w:r>
    </w:p>
    <w:p>
      <w:pPr>
        <w:pStyle w:val="TextBody"/>
        <w:spacing w:lineRule="auto" w:line="26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Member of the Compensation Committee: $10,000</w:t>
      </w:r>
      <w:r>
        <w:br w:type="page"/>
      </w:r>
    </w:p>
    <w:p>
      <w:pPr>
        <w:pStyle w:val="TextBody"/>
        <w:spacing w:lineRule="auto" w:line="288" w:before="0" w:after="0"/>
        <w:jc w:val="right"/>
        <w:rPr>
          <w:rFonts w:ascii="Arial;sans-serif" w:hAnsi="Arial;sans-serif"/>
          <w:b w:val="false"/>
          <w:color w:val="000000"/>
          <w:sz w:val="24"/>
        </w:rPr>
      </w:pPr>
      <w:r>
        <w:rPr>
          <w:rFonts w:ascii="Arial;sans-serif" w:hAnsi="Arial;sans-serif"/>
          <w:b w:val="false"/>
          <w:color w:val="000000"/>
          <w:sz w:val="24"/>
        </w:rPr>
        <w:t>E</w:t>
      </w:r>
      <w:r>
        <w:rPr>
          <w:rFonts w:ascii="Arial;sans-serif" w:hAnsi="Arial;sans-serif"/>
          <w:b w:val="false"/>
          <w:color w:val="000000"/>
          <w:sz w:val="24"/>
        </w:rPr>
        <w:t>xhibit 10.1</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p>
                  </w:txbxContent>
                </v:textbox>
              </v:rect>
            </w:pict>
          </mc:Fallback>
        </mc:AlternateConten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Member of the Nominating and Corporate Governance Committee: $5,000</w: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Member of the Cybersecurity Risk Management Committee: $10,000</w: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Equity Compensation</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4"/>
        </w:rPr>
        <w:t>The equity compensation set forth below will be granted under the Company’s 2019 Equity Incentive Plan or any successor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All equity compensation granted under this Policy will be in the form of Restricted Stock Units (“</w:t>
      </w:r>
      <w:r>
        <w:rPr>
          <w:rFonts w:ascii="Times New Roman;sans-serif" w:hAnsi="Times New Roman;sans-serif"/>
          <w:b/>
          <w:i/>
          <w:color w:val="000000"/>
          <w:sz w:val="24"/>
        </w:rPr>
        <w:t>RSUs</w:t>
      </w:r>
      <w:r>
        <w:rPr>
          <w:color w:val="000000"/>
        </w:rPr>
        <w:t>”</w:t>
      </w:r>
      <w:r>
        <w:rPr>
          <w:rFonts w:ascii="Times New Roman;sans-serif" w:hAnsi="Times New Roman;sans-serif"/>
          <w:b w:val="false"/>
          <w:color w:val="000000"/>
          <w:sz w:val="24"/>
        </w:rPr>
        <w:t>) (as defined in the Plan). All RSUs granted under this Policy will vest as described below subject to the Eligible Director’s Continuous Services (as defined in the Plan) through such vesting dates on the terms specified below; provided, however, that all RSUs granted under this Policy will accelerate and vest in full upon (i) the Eligible Director’s death or Disability (as defined in the Plan) or (ii) a Change in Control (as defined in the Plan), subject in each case to the Eligible Director’s Continuous Service through such date. The number of shares underlying each of the RSUs granted under this Policy will be determined by dividing the applicable grant value for such RSU by the 60-trading day trailing average closing stock price of the Company’s Class A common stock on Nasdaq ending on and including the date that is seven calendar days prior to the grant date of such RSU, and rounding down to the nearest whole share.</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4"/>
        </w:rPr>
        <w:t xml:space="preserve">1. </w:t>
      </w:r>
      <w:r>
        <w:rPr>
          <w:rFonts w:ascii="Times New Roman;sans-serif" w:hAnsi="Times New Roman;sans-serif"/>
          <w:b w:val="false"/>
          <w:color w:val="000000"/>
          <w:sz w:val="24"/>
          <w:u w:val="single"/>
        </w:rPr>
        <w:t>Initial Grant</w:t>
      </w:r>
      <w:r>
        <w:rPr>
          <w:rFonts w:ascii="Times New Roman;sans-serif" w:hAnsi="Times New Roman;sans-serif"/>
          <w:b w:val="false"/>
          <w:color w:val="000000"/>
          <w:sz w:val="24"/>
        </w:rPr>
        <w:t>: For each Eligible Director who is first elected or appointed to the Board, on the Eligibility Date (or, if such date is not a market trading day, the first market trading day thereafter) (the “</w:t>
      </w:r>
      <w:r>
        <w:rPr>
          <w:rFonts w:ascii="Times New Roman;sans-serif" w:hAnsi="Times New Roman;sans-serif"/>
          <w:b/>
          <w:i/>
          <w:color w:val="000000"/>
          <w:sz w:val="24"/>
        </w:rPr>
        <w:t>Initial Grant Date</w:t>
      </w:r>
      <w:r>
        <w:rPr>
          <w:color w:val="000000"/>
        </w:rPr>
        <w:t>”</w:t>
      </w:r>
      <w:r>
        <w:rPr>
          <w:rFonts w:ascii="Times New Roman;sans-serif" w:hAnsi="Times New Roman;sans-serif"/>
          <w:b w:val="false"/>
          <w:color w:val="000000"/>
          <w:sz w:val="24"/>
        </w:rPr>
        <w:t>), such Eligible Director will be automatically, and without further action by the Board or Compensation Committee of the Board, granted RSUs (the “</w:t>
      </w:r>
      <w:r>
        <w:rPr>
          <w:rFonts w:ascii="Times New Roman;sans-serif" w:hAnsi="Times New Roman;sans-serif"/>
          <w:b/>
          <w:i/>
          <w:color w:val="000000"/>
          <w:sz w:val="24"/>
        </w:rPr>
        <w:t>Initial Grant</w:t>
      </w:r>
      <w:r>
        <w:rPr>
          <w:color w:val="000000"/>
        </w:rPr>
        <w:t>”</w:t>
      </w:r>
      <w:r>
        <w:rPr>
          <w:rFonts w:ascii="Times New Roman;sans-serif" w:hAnsi="Times New Roman;sans-serif"/>
          <w:b w:val="false"/>
          <w:color w:val="000000"/>
          <w:sz w:val="24"/>
        </w:rPr>
        <w:t>). The number of shares subject to the Initial Grant will be determined based on the number of calendar days remaining until the first annual meeting of the Company’s stockholders (the “</w:t>
      </w:r>
      <w:r>
        <w:rPr>
          <w:rFonts w:ascii="Times New Roman;sans-serif" w:hAnsi="Times New Roman;sans-serif"/>
          <w:b/>
          <w:i/>
          <w:color w:val="000000"/>
          <w:sz w:val="24"/>
        </w:rPr>
        <w:t>Annual Meeting</w:t>
      </w:r>
      <w:r>
        <w:rPr>
          <w:color w:val="000000"/>
        </w:rPr>
        <w:t>”</w:t>
      </w:r>
      <w:r>
        <w:rPr>
          <w:rFonts w:ascii="Times New Roman;sans-serif" w:hAnsi="Times New Roman;sans-serif"/>
          <w:b w:val="false"/>
          <w:color w:val="000000"/>
          <w:sz w:val="24"/>
        </w:rPr>
        <w:t>) occurring after the Eligibility Date (the “</w:t>
      </w:r>
      <w:r>
        <w:rPr>
          <w:rFonts w:ascii="Times New Roman;sans-serif" w:hAnsi="Times New Roman;sans-serif"/>
          <w:b/>
          <w:i/>
          <w:color w:val="000000"/>
          <w:sz w:val="24"/>
        </w:rPr>
        <w:t>Initial Term</w:t>
      </w:r>
      <w:r>
        <w:rPr>
          <w:color w:val="000000"/>
        </w:rPr>
        <w:t>”</w:t>
      </w:r>
      <w:r>
        <w:rPr>
          <w:rFonts w:ascii="Times New Roman;sans-serif" w:hAnsi="Times New Roman;sans-serif"/>
          <w:b w:val="false"/>
          <w:color w:val="000000"/>
          <w:sz w:val="24"/>
        </w:rPr>
        <w:t xml:space="preserve">), measured beginning on the Eligibility Date and ending on the scheduled (or expected) date of the first Annual Meeting thereafter. The Initial Grant will have a grant value that is equal to $275,000 multiplied by the percentage obtained by dividing the total number of expected calendar days in the Initial Term by 365, provided that such percentage shall not exceed 100%. For clarity, if an Eligible Director is first elected or appointed to the Board on the date of an Annual Meeting, such Eligible Director shall receive the Annual Grant described below and shall not receive an Initial Grant.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Initial Grant will vest in full as of the day immediately preceding the first Annual Meeting following the Eligibility Date (or, if sooner, the one year anniversary of the grant date of the Initial Grant), subject in all cases to the Eligible Director’s Continuous Service (as defined in the Plan) through such applicable vesting date.</w:t>
      </w:r>
    </w:p>
    <w:p>
      <w:pPr>
        <w:pStyle w:val="TextBody"/>
        <w:spacing w:before="0" w:after="0"/>
        <w:rPr/>
      </w:pPr>
      <w:r>
        <w:rPr/>
      </w:r>
    </w:p>
    <w:p>
      <w:pPr>
        <w:pStyle w:val="TextBody"/>
        <w:spacing w:lineRule="auto" w:line="268"/>
        <w:jc w:val="both"/>
        <w:rPr/>
      </w:pPr>
      <w:r>
        <w:rPr>
          <w:rFonts w:ascii="Times New Roman;sans-serif" w:hAnsi="Times New Roman;sans-serif"/>
          <w:b w:val="false"/>
          <w:color w:val="000000"/>
          <w:sz w:val="24"/>
        </w:rPr>
        <w:t xml:space="preserve">2. </w:t>
      </w:r>
      <w:r>
        <w:rPr>
          <w:rFonts w:ascii="Times New Roman;sans-serif" w:hAnsi="Times New Roman;sans-serif"/>
          <w:b w:val="false"/>
          <w:color w:val="000000"/>
          <w:sz w:val="24"/>
          <w:u w:val="single"/>
        </w:rPr>
        <w:t>Interim Grant</w:t>
      </w:r>
      <w:r>
        <w:rPr>
          <w:rFonts w:ascii="Times New Roman;sans-serif" w:hAnsi="Times New Roman;sans-serif"/>
          <w:b w:val="false"/>
          <w:color w:val="000000"/>
          <w:sz w:val="24"/>
        </w:rPr>
        <w:t>. For each Class II Eligible Director serving on the Board who holds a Company equity award that was (i) granted prior to the Effective Date and (ii) remains partially unvested as of February 23, 2022 (such outstanding award, a “</w:t>
      </w:r>
      <w:r>
        <w:rPr>
          <w:rFonts w:ascii="Times New Roman;sans-serif" w:hAnsi="Times New Roman;sans-serif"/>
          <w:b/>
          <w:i/>
          <w:color w:val="000000"/>
          <w:sz w:val="24"/>
        </w:rPr>
        <w:t>Pre-IPO</w:t>
      </w:r>
      <w:r>
        <w:rPr>
          <w:color w:val="000000"/>
        </w:rPr>
        <w:t xml:space="preserve"> </w:t>
      </w:r>
      <w:r>
        <w:rPr>
          <w:rFonts w:ascii="Times New Roman;sans-serif" w:hAnsi="Times New Roman;sans-serif"/>
          <w:b/>
          <w:i/>
          <w:color w:val="000000"/>
          <w:sz w:val="24"/>
        </w:rPr>
        <w:t>Grant</w:t>
      </w:r>
      <w:r>
        <w:rPr>
          <w:color w:val="000000"/>
        </w:rPr>
        <w:t>”</w:t>
      </w:r>
      <w:r>
        <w:rPr>
          <w:rFonts w:ascii="Times New Roman;sans-serif" w:hAnsi="Times New Roman;sans-serif"/>
          <w:b w:val="false"/>
          <w:color w:val="000000"/>
          <w:sz w:val="24"/>
        </w:rPr>
        <w:t>) then on the date immediately following the date that such Pre-IPO Grant becomes fully vested with respect to all shares subject to such equity award (or, if such date immediately following the Final Vesting Date is not a market trading day, the first market trading day thereafter), such Eligible Director will be automatically, and without further action by the Board or Compensation Committee of the Board, granted RSUs (the “</w:t>
      </w:r>
      <w:r>
        <w:rPr>
          <w:rFonts w:ascii="Times New Roman;sans-serif" w:hAnsi="Times New Roman;sans-serif"/>
          <w:b/>
          <w:i/>
          <w:color w:val="000000"/>
          <w:sz w:val="24"/>
        </w:rPr>
        <w:t>Interim Grant</w:t>
      </w:r>
      <w:r>
        <w:rPr>
          <w:color w:val="000000"/>
        </w:rPr>
        <w:t>”</w:t>
      </w:r>
      <w:r>
        <w:rPr>
          <w:rFonts w:ascii="Times New Roman;sans-serif" w:hAnsi="Times New Roman;sans-serif"/>
          <w:b w:val="false"/>
          <w:color w:val="000000"/>
          <w:sz w:val="24"/>
        </w:rPr>
        <w:t>) on such date (the “</w:t>
      </w:r>
      <w:r>
        <w:rPr>
          <w:rFonts w:ascii="Times New Roman;sans-serif" w:hAnsi="Times New Roman;sans-serif"/>
          <w:b/>
          <w:i/>
          <w:color w:val="000000"/>
          <w:sz w:val="24"/>
        </w:rPr>
        <w:t>Interim Grant Date</w:t>
      </w:r>
      <w:r>
        <w:rPr>
          <w:color w:val="000000"/>
        </w:rPr>
        <w:t>”</w:t>
      </w:r>
      <w:r>
        <w:rPr>
          <w:rFonts w:ascii="Times New Roman;sans-serif" w:hAnsi="Times New Roman;sans-serif"/>
          <w:b w:val="false"/>
          <w:color w:val="000000"/>
          <w:sz w:val="24"/>
        </w:rPr>
        <w:t xml:space="preserve">). The number of shares subject to the Interim Grant will be determined based on the number of </w:t>
      </w:r>
      <w:r>
        <w:br w:type="page"/>
      </w:r>
    </w:p>
    <w:p>
      <w:pPr>
        <w:pStyle w:val="TextBody"/>
        <w:spacing w:lineRule="auto" w:line="288" w:before="0" w:after="0"/>
        <w:jc w:val="right"/>
        <w:rPr>
          <w:rFonts w:ascii="Arial;sans-serif" w:hAnsi="Arial;sans-serif"/>
          <w:b w:val="false"/>
          <w:color w:val="000000"/>
          <w:sz w:val="24"/>
        </w:rPr>
      </w:pPr>
      <w:r>
        <w:rPr>
          <w:rFonts w:ascii="Arial;sans-serif" w:hAnsi="Arial;sans-serif"/>
          <w:b w:val="false"/>
          <w:color w:val="000000"/>
          <w:sz w:val="24"/>
        </w:rPr>
        <w:t>E</w:t>
      </w:r>
      <w:r>
        <w:rPr>
          <w:rFonts w:ascii="Arial;sans-serif" w:hAnsi="Arial;sans-serif"/>
          <w:b w:val="false"/>
          <w:color w:val="000000"/>
          <w:sz w:val="24"/>
        </w:rPr>
        <w:t>xhibit 10.1</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p>
                  </w:txbxContent>
                </v:textbox>
              </v:rect>
            </w:pict>
          </mc:Fallback>
        </mc:AlternateContent>
      </w:r>
    </w:p>
    <w:p>
      <w:pPr>
        <w:pStyle w:val="TextBody"/>
        <w:spacing w:lineRule="auto" w:line="268" w:before="0" w:after="0"/>
        <w:jc w:val="both"/>
        <w:rPr/>
      </w:pPr>
      <w:r>
        <w:rPr>
          <w:rFonts w:ascii="Times New Roman;sans-serif" w:hAnsi="Times New Roman;sans-serif"/>
          <w:b w:val="false"/>
          <w:color w:val="000000"/>
          <w:sz w:val="24"/>
        </w:rPr>
        <w:t>calendar days remaining until the first Annual Meeting following the Interim Grant Date, measured beginning on the Interim Grant Date and ending on the scheduled (or expected) date of the first Annual Meeting thereafter (the “</w:t>
      </w:r>
      <w:r>
        <w:rPr>
          <w:rFonts w:ascii="Times New Roman;sans-serif" w:hAnsi="Times New Roman;sans-serif"/>
          <w:b/>
          <w:i/>
          <w:color w:val="000000"/>
          <w:sz w:val="24"/>
        </w:rPr>
        <w:t>Interim Term</w:t>
      </w:r>
      <w:r>
        <w:rPr>
          <w:color w:val="000000"/>
        </w:rPr>
        <w:t>”</w:t>
      </w:r>
      <w:r>
        <w:rPr>
          <w:rFonts w:ascii="Times New Roman;sans-serif" w:hAnsi="Times New Roman;sans-serif"/>
          <w:b w:val="false"/>
          <w:color w:val="000000"/>
          <w:sz w:val="24"/>
        </w:rPr>
        <w:t xml:space="preserve">). The Interim Grant will have a grant value that is equal to $275,000 multiplied by the percentage obtained by dividing the total number of expected calendar days in the Interim Term by 365, provided that such percentage shall not exceed 100%.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Interim Grant will vest in full as of the day immediately preceding the first Annual Meeting following the Interim Grant Date (or, if sooner, the one year anniversary of Interim Grant Date), subject in all cases to the Eligible Director’s Continuous Service (as defined in the Plan) through such applicable vesting date.</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4"/>
        </w:rPr>
        <w:t xml:space="preserve">3. </w:t>
      </w:r>
      <w:r>
        <w:rPr>
          <w:rFonts w:ascii="Times New Roman;sans-serif" w:hAnsi="Times New Roman;sans-serif"/>
          <w:b w:val="false"/>
          <w:color w:val="000000"/>
          <w:sz w:val="24"/>
          <w:u w:val="single"/>
        </w:rPr>
        <w:t>Annual Grants</w:t>
      </w:r>
      <w:r>
        <w:rPr>
          <w:rFonts w:ascii="Times New Roman;sans-serif" w:hAnsi="Times New Roman;sans-serif"/>
          <w:b w:val="false"/>
          <w:color w:val="000000"/>
          <w:sz w:val="24"/>
        </w:rPr>
        <w:t>: On the date of each Annual Meeting, commencing on (and including) the applicable Annual Meeting date indicated below for the respective Class I, II and III Eligible Directors, each Eligible Director who: (i) is nominated to be re-elected to the Board to serve a three-year term at such Annual Meeting (the “</w:t>
      </w:r>
      <w:r>
        <w:rPr>
          <w:rFonts w:ascii="Times New Roman;sans-serif" w:hAnsi="Times New Roman;sans-serif"/>
          <w:b/>
          <w:i/>
          <w:color w:val="000000"/>
          <w:sz w:val="24"/>
        </w:rPr>
        <w:t>Re-Elected Term</w:t>
      </w:r>
      <w:r>
        <w:rPr>
          <w:color w:val="000000"/>
        </w:rPr>
        <w:t>”</w:t>
      </w:r>
      <w:r>
        <w:rPr>
          <w:rFonts w:ascii="Times New Roman;sans-serif" w:hAnsi="Times New Roman;sans-serif"/>
          <w:b w:val="false"/>
          <w:color w:val="000000"/>
          <w:sz w:val="24"/>
        </w:rPr>
        <w:t>) and (ii) continues to serve as a non-employee member of the Board following such Annual Meeting will be automatically, and without further action by the Board or Compensation Committee of the Board, granted RSUs (the “</w:t>
      </w:r>
      <w:r>
        <w:rPr>
          <w:rFonts w:ascii="Times New Roman;sans-serif" w:hAnsi="Times New Roman;sans-serif"/>
          <w:b/>
          <w:i/>
          <w:color w:val="000000"/>
          <w:sz w:val="24"/>
        </w:rPr>
        <w:t>Annual Grant</w:t>
      </w:r>
      <w:r>
        <w:rPr>
          <w:color w:val="000000"/>
        </w:rPr>
        <w:t>”</w:t>
      </w:r>
      <w:r>
        <w:rPr>
          <w:rFonts w:ascii="Times New Roman;sans-serif" w:hAnsi="Times New Roman;sans-serif"/>
          <w:b w:val="false"/>
          <w:color w:val="000000"/>
          <w:sz w:val="24"/>
        </w:rPr>
        <w:t xml:space="preserve">) with a grant value of $275,000. </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974"/>
        <w:gridCol w:w="1740"/>
        <w:gridCol w:w="1745"/>
        <w:gridCol w:w="1392"/>
        <w:gridCol w:w="1392"/>
        <w:gridCol w:w="1962"/>
      </w:tblGrid>
      <w:tr>
        <w:trPr/>
        <w:tc>
          <w:tcPr>
            <w:tcW w:w="1974" w:type="dxa"/>
            <w:tcBorders/>
            <w:shd w:fill="auto" w:val="clear"/>
            <w:vAlign w:val="center"/>
          </w:tcPr>
          <w:p>
            <w:pPr>
              <w:pStyle w:val="TableContents"/>
              <w:spacing w:before="0" w:after="283"/>
              <w:rPr>
                <w:sz w:val="4"/>
                <w:szCs w:val="4"/>
              </w:rPr>
            </w:pPr>
            <w:r>
              <w:rPr>
                <w:sz w:val="4"/>
                <w:szCs w:val="4"/>
              </w:rPr>
            </w:r>
          </w:p>
        </w:tc>
        <w:tc>
          <w:tcPr>
            <w:tcW w:w="1740" w:type="dxa"/>
            <w:tcBorders/>
            <w:shd w:fill="auto" w:val="clear"/>
            <w:vAlign w:val="center"/>
          </w:tcPr>
          <w:p>
            <w:pPr>
              <w:pStyle w:val="TableContents"/>
              <w:spacing w:before="0" w:after="283"/>
              <w:rPr>
                <w:sz w:val="4"/>
                <w:szCs w:val="4"/>
              </w:rPr>
            </w:pPr>
            <w:r>
              <w:rPr>
                <w:sz w:val="4"/>
                <w:szCs w:val="4"/>
              </w:rPr>
            </w:r>
          </w:p>
        </w:tc>
        <w:tc>
          <w:tcPr>
            <w:tcW w:w="1745" w:type="dxa"/>
            <w:tcBorders/>
            <w:shd w:fill="auto" w:val="clear"/>
            <w:vAlign w:val="center"/>
          </w:tcPr>
          <w:p>
            <w:pPr>
              <w:pStyle w:val="TableContents"/>
              <w:spacing w:before="0" w:after="283"/>
              <w:rPr>
                <w:sz w:val="4"/>
                <w:szCs w:val="4"/>
              </w:rPr>
            </w:pPr>
            <w:r>
              <w:rPr>
                <w:sz w:val="4"/>
                <w:szCs w:val="4"/>
              </w:rPr>
            </w:r>
          </w:p>
        </w:tc>
        <w:tc>
          <w:tcPr>
            <w:tcW w:w="1392" w:type="dxa"/>
            <w:tcBorders/>
            <w:shd w:fill="auto" w:val="clear"/>
            <w:vAlign w:val="center"/>
          </w:tcPr>
          <w:p>
            <w:pPr>
              <w:pStyle w:val="TableContents"/>
              <w:spacing w:before="0" w:after="283"/>
              <w:rPr>
                <w:sz w:val="4"/>
                <w:szCs w:val="4"/>
              </w:rPr>
            </w:pPr>
            <w:r>
              <w:rPr>
                <w:sz w:val="4"/>
                <w:szCs w:val="4"/>
              </w:rPr>
            </w:r>
          </w:p>
        </w:tc>
        <w:tc>
          <w:tcPr>
            <w:tcW w:w="1392" w:type="dxa"/>
            <w:tcBorders/>
            <w:shd w:fill="auto" w:val="clear"/>
            <w:vAlign w:val="center"/>
          </w:tcPr>
          <w:p>
            <w:pPr>
              <w:pStyle w:val="TableContents"/>
              <w:spacing w:before="0" w:after="283"/>
              <w:rPr>
                <w:sz w:val="4"/>
                <w:szCs w:val="4"/>
              </w:rPr>
            </w:pPr>
            <w:r>
              <w:rPr>
                <w:sz w:val="4"/>
                <w:szCs w:val="4"/>
              </w:rPr>
            </w:r>
          </w:p>
        </w:tc>
        <w:tc>
          <w:tcPr>
            <w:tcW w:w="1962"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Class of Eligible Director:</w:t>
            </w:r>
          </w:p>
        </w:tc>
        <w:tc>
          <w:tcPr>
            <w:tcW w:w="474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Annual Grant Begins:</w:t>
            </w:r>
          </w:p>
        </w:tc>
      </w:tr>
      <w:tr>
        <w:trPr/>
        <w:tc>
          <w:tcPr>
            <w:tcW w:w="54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All Class III Eligible Directors</w:t>
            </w:r>
          </w:p>
        </w:tc>
        <w:tc>
          <w:tcPr>
            <w:tcW w:w="474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Commencing on the 2022 Annual Meeting</w:t>
            </w:r>
          </w:p>
        </w:tc>
      </w:tr>
      <w:tr>
        <w:trPr/>
        <w:tc>
          <w:tcPr>
            <w:tcW w:w="54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Class I Eligible Directors and</w:t>
            </w:r>
          </w:p>
          <w:p>
            <w:pPr>
              <w:pStyle w:val="TableContents"/>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Class II Eligible Directors who hold a Pre-IPO Grant</w:t>
            </w:r>
          </w:p>
        </w:tc>
        <w:tc>
          <w:tcPr>
            <w:tcW w:w="474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Commencing on the 2023 Annual Meeting</w:t>
            </w:r>
          </w:p>
        </w:tc>
      </w:tr>
      <w:tr>
        <w:trPr/>
        <w:tc>
          <w:tcPr>
            <w:tcW w:w="545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0"/>
              <w:jc w:val="center"/>
              <w:rPr/>
            </w:pPr>
            <w:r>
              <w:rPr>
                <w:rFonts w:ascii="Times New Roman;sans-serif" w:hAnsi="Times New Roman;sans-serif"/>
                <w:b w:val="false"/>
                <w:color w:val="000000"/>
                <w:sz w:val="24"/>
              </w:rPr>
              <w:t xml:space="preserve">Class II Eligible Directors who do </w:t>
            </w:r>
            <w:r>
              <w:rPr>
                <w:rFonts w:ascii="Times New Roman;sans-serif" w:hAnsi="Times New Roman;sans-serif"/>
                <w:b w:val="false"/>
                <w:i/>
                <w:color w:val="000000"/>
                <w:sz w:val="24"/>
              </w:rPr>
              <w:t>not</w:t>
            </w:r>
            <w:r>
              <w:rPr>
                <w:color w:val="000000"/>
              </w:rPr>
              <w:t xml:space="preserve"> </w:t>
            </w:r>
            <w:r>
              <w:rPr>
                <w:rFonts w:ascii="Times New Roman;sans-serif" w:hAnsi="Times New Roman;sans-serif"/>
                <w:b w:val="false"/>
                <w:color w:val="000000"/>
                <w:sz w:val="24"/>
              </w:rPr>
              <w:t>hold a Pre-IPO Grant</w:t>
            </w:r>
          </w:p>
        </w:tc>
        <w:tc>
          <w:tcPr>
            <w:tcW w:w="4746"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Commencing on the 2024 Annual Meeting</w:t>
            </w:r>
          </w:p>
        </w:tc>
      </w:tr>
    </w:tbl>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shares subject to each Annual Grant will vest in full on the one year anniversary of grant date of such Annual Grant (or, if sooner, the day immediately preceding the next Annual Meeting that occurs following the grant date of such Annual Grant), subject in all cases to the Eligible Director’s Continuous Service (as defined in the Plan) through such applicable vesting date.</w: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Director Compensation Limit</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herein to the contrary, the cash compensation and equity compensation that each Eligible Director may receive under this Policy shall be subject to the limits set forth in Section 3(d) of the Plan.</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rPr/>
      </w:pPr>
      <w:r>
        <w:rPr/>
        <w:drawing>
          <wp:inline distT="0" distB="63500" distL="0" distR="0">
            <wp:extent cx="1314450" cy="295275"/>
            <wp:effectExtent l="0" t="0" r="0" b="0"/>
            <wp:docPr id="6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 descr=""/>
                    <pic:cNvPicPr>
                      <a:picLocks noChangeAspect="1" noChangeArrowheads="1"/>
                    </pic:cNvPicPr>
                  </pic:nvPicPr>
                  <pic:blipFill>
                    <a:blip r:embed="rId4"/>
                    <a:stretch>
                      <a:fillRect/>
                    </a:stretch>
                  </pic:blipFill>
                  <pic:spPr bwMode="auto">
                    <a:xfrm>
                      <a:off x="0" y="0"/>
                      <a:ext cx="1314450" cy="295275"/>
                    </a:xfrm>
                    <a:prstGeom prst="rect">
                      <a:avLst/>
                    </a:prstGeom>
                  </pic:spPr>
                </pic:pic>
              </a:graphicData>
            </a:graphic>
          </wp:inline>
        </w:drawing>
      </w:r>
      <w:r>
        <w:rPr>
          <w:color w:val="000000"/>
        </w:rPr>
        <w:t>        </w:t>
      </w:r>
      <w:r>
        <w:rPr>
          <w:rFonts w:ascii="Arial;sans-serif" w:hAnsi="Arial;sans-serif"/>
          <w:b w:val="false"/>
          <w:color w:val="000000"/>
          <w:sz w:val="20"/>
        </w:rPr>
        <w:t>Exhibit 10.2</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319" w:before="0" w:after="0"/>
        <w:rPr>
          <w:rFonts w:ascii="Times New Roman;sans-serif" w:hAnsi="Times New Roman;sans-serif"/>
          <w:b w:val="false"/>
          <w:color w:val="000000"/>
          <w:sz w:val="24"/>
        </w:rPr>
      </w:pPr>
      <w:r>
        <w:rPr>
          <w:rFonts w:ascii="Times New Roman;sans-serif" w:hAnsi="Times New Roman;sans-serif"/>
          <w:b w:val="false"/>
          <w:color w:val="000000"/>
          <w:sz w:val="24"/>
        </w:rPr>
        <w:t>February 23, 2022</w:t>
      </w:r>
    </w:p>
    <w:p>
      <w:pPr>
        <w:pStyle w:val="TextBody"/>
        <w:spacing w:lineRule="auto" w:line="240" w:before="240" w:after="283"/>
        <w:rPr>
          <w:rFonts w:ascii="Times New Roman;sans-serif" w:hAnsi="Times New Roman;sans-serif"/>
          <w:b w:val="false"/>
          <w:color w:val="000000"/>
          <w:sz w:val="24"/>
        </w:rPr>
      </w:pPr>
      <w:r>
        <w:rPr>
          <w:rFonts w:ascii="Times New Roman;sans-serif" w:hAnsi="Times New Roman;sans-serif"/>
          <w:b w:val="false"/>
          <w:color w:val="000000"/>
          <w:sz w:val="24"/>
        </w:rPr>
        <w:t>William R. McDermott</w:t>
      </w:r>
    </w:p>
    <w:p>
      <w:pPr>
        <w:pStyle w:val="TextBody"/>
        <w:spacing w:lineRule="auto" w:line="240" w:before="0" w:after="0"/>
        <w:rPr>
          <w:rFonts w:ascii="Times New Roman;sans-serif" w:hAnsi="Times New Roman;sans-serif"/>
          <w:b w:val="false"/>
          <w:i/>
          <w:color w:val="000000"/>
          <w:sz w:val="24"/>
        </w:rPr>
      </w:pPr>
      <w:r>
        <w:rPr>
          <w:rFonts w:ascii="Times New Roman;sans-serif" w:hAnsi="Times New Roman;sans-serif"/>
          <w:b w:val="false"/>
          <w:i/>
          <w:color w:val="000000"/>
          <w:sz w:val="24"/>
        </w:rPr>
        <w:t>Via email</w:t>
      </w:r>
    </w:p>
    <w:p>
      <w:pPr>
        <w:pStyle w:val="TextBody"/>
        <w:spacing w:lineRule="auto" w:line="240" w:before="240" w:after="283"/>
        <w:rPr>
          <w:rFonts w:ascii="Times New Roman;sans-serif" w:hAnsi="Times New Roman;sans-serif"/>
          <w:b w:val="false"/>
          <w:color w:val="000000"/>
          <w:sz w:val="24"/>
        </w:rPr>
      </w:pPr>
      <w:r>
        <w:rPr>
          <w:rFonts w:ascii="Times New Roman;sans-serif" w:hAnsi="Times New Roman;sans-serif"/>
          <w:b w:val="false"/>
          <w:color w:val="000000"/>
          <w:sz w:val="24"/>
        </w:rPr>
        <w:t>Re:     Zoom Video Communications, Inc. Board of Directors</w:t>
      </w:r>
    </w:p>
    <w:p>
      <w:pPr>
        <w:pStyle w:val="TextBody"/>
        <w:spacing w:lineRule="auto" w:line="240" w:before="240" w:after="283"/>
        <w:rPr>
          <w:rFonts w:ascii="Times New Roman;sans-serif" w:hAnsi="Times New Roman;sans-serif"/>
          <w:b w:val="false"/>
          <w:color w:val="000000"/>
          <w:sz w:val="24"/>
        </w:rPr>
      </w:pPr>
      <w:r>
        <w:rPr>
          <w:rFonts w:ascii="Times New Roman;sans-serif" w:hAnsi="Times New Roman;sans-serif"/>
          <w:b w:val="false"/>
          <w:color w:val="000000"/>
          <w:sz w:val="24"/>
        </w:rPr>
        <w:t>Dear Bill:</w:t>
      </w:r>
    </w:p>
    <w:p>
      <w:pPr>
        <w:pStyle w:val="TextBody"/>
        <w:spacing w:lineRule="auto" w:line="240" w:before="240" w:after="283"/>
        <w:ind w:left="0" w:right="0" w:firstLine="720"/>
        <w:rPr/>
      </w:pPr>
      <w:r>
        <w:rPr>
          <w:rFonts w:ascii="Times New Roman;sans-serif" w:hAnsi="Times New Roman;sans-serif"/>
          <w:b w:val="false"/>
          <w:color w:val="000000"/>
          <w:sz w:val="24"/>
        </w:rPr>
        <w:t>I am very pleased to invite you to join the Board of Directors (the “</w:t>
      </w:r>
      <w:r>
        <w:rPr>
          <w:rFonts w:ascii="Times New Roman;sans-serif" w:hAnsi="Times New Roman;sans-serif"/>
          <w:b/>
          <w:color w:val="000000"/>
          <w:sz w:val="24"/>
        </w:rPr>
        <w:t>Board</w:t>
      </w:r>
      <w:r>
        <w:rPr>
          <w:color w:val="000000"/>
        </w:rPr>
        <w:t>”</w:t>
      </w:r>
      <w:r>
        <w:rPr>
          <w:rFonts w:ascii="Times New Roman;sans-serif" w:hAnsi="Times New Roman;sans-serif"/>
          <w:b w:val="false"/>
          <w:color w:val="000000"/>
          <w:sz w:val="24"/>
        </w:rPr>
        <w:t>) of Zoom Video Communications, Inc. (“</w:t>
      </w:r>
      <w:r>
        <w:rPr>
          <w:rFonts w:ascii="Times New Roman;sans-serif" w:hAnsi="Times New Roman;sans-serif"/>
          <w:b/>
          <w:color w:val="000000"/>
          <w:sz w:val="24"/>
        </w:rPr>
        <w:t>Zoom</w:t>
      </w:r>
      <w:r>
        <w:rPr>
          <w:color w:val="000000"/>
        </w:rPr>
        <w:t xml:space="preserve">” </w:t>
      </w:r>
      <w:r>
        <w:rPr>
          <w:rFonts w:ascii="Times New Roman;sans-serif" w:hAnsi="Times New Roman;sans-serif"/>
          <w:b w:val="false"/>
          <w:color w:val="000000"/>
          <w:sz w:val="24"/>
        </w:rPr>
        <w:t>or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We believe that you will be a great addition to the Board.</w:t>
      </w:r>
    </w:p>
    <w:p>
      <w:pPr>
        <w:pStyle w:val="TextBody"/>
        <w:spacing w:lineRule="auto" w:line="240" w:before="240" w:after="283"/>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As a Board member, you will participate in regularly scheduled and special Board meetings, which are expected to occur periodically during the year, meet or otherwise periodically confer with Zoom executives on an active and regular basis as requested by the Chairman of the Board, assess strategic risk exposure, and provide assistance and advisory services to Zoom’s executive team with occasional meetings, reference calls and advice on an as-needed basis. So long as you are serving on the Board, Zoom will reimburse you for your reasonable out-of-pocket expenses incurred in attending meetings of the Board, so long as you provide Zoom with appropriate receipts or other relevant documentation. You would not be an employee of Zoom and would have no authority to obligate Zoom by contract or otherwise. You will not be eligible for any employee benefits, nor will Zoom make deductions from any amounts payable to you for taxes. Any taxes shall be solely your responsibility.</w:t>
      </w:r>
    </w:p>
    <w:p>
      <w:pPr>
        <w:pStyle w:val="TextBody"/>
        <w:spacing w:lineRule="auto" w:line="240" w:before="240" w:after="283"/>
        <w:ind w:left="0" w:right="0" w:firstLine="720"/>
        <w:rPr/>
      </w:pPr>
      <w:r>
        <w:rPr>
          <w:rFonts w:ascii="Times New Roman;sans-serif" w:hAnsi="Times New Roman;sans-serif"/>
          <w:b w:val="false"/>
          <w:color w:val="000000"/>
          <w:sz w:val="24"/>
        </w:rPr>
        <w:t>Your election to the Board is as a Class III director for an initial term starting on March 1, 2022 and ending on the date of the 2022 annual meeting of stockholders (the “</w:t>
      </w:r>
      <w:r>
        <w:rPr>
          <w:rFonts w:ascii="Times New Roman;sans-serif" w:hAnsi="Times New Roman;sans-serif"/>
          <w:b/>
          <w:color w:val="000000"/>
          <w:sz w:val="24"/>
        </w:rPr>
        <w:t>Annual Meeting</w:t>
      </w:r>
      <w:r>
        <w:rPr>
          <w:color w:val="000000"/>
        </w:rPr>
        <w:t>”</w:t>
      </w:r>
      <w:r>
        <w:rPr>
          <w:rFonts w:ascii="Times New Roman;sans-serif" w:hAnsi="Times New Roman;sans-serif"/>
          <w:b w:val="false"/>
          <w:color w:val="000000"/>
          <w:sz w:val="24"/>
        </w:rPr>
        <w:t>).</w:t>
      </w:r>
    </w:p>
    <w:p>
      <w:pPr>
        <w:pStyle w:val="TextBody"/>
        <w:spacing w:lineRule="auto" w:line="240" w:before="240" w:after="283"/>
        <w:ind w:left="0" w:right="0" w:firstLine="720"/>
        <w:rPr/>
      </w:pPr>
      <w:r>
        <w:rPr>
          <w:rFonts w:ascii="Times New Roman;sans-serif" w:hAnsi="Times New Roman;sans-serif"/>
          <w:b w:val="false"/>
          <w:color w:val="000000"/>
          <w:sz w:val="24"/>
        </w:rPr>
        <w:t>You will be eligible to receive cash and equity compensation pursuant to Zoom’s Non-Employee Director Compensation Policy, as amended from time to time (the “</w:t>
      </w:r>
      <w:r>
        <w:rPr>
          <w:rFonts w:ascii="Times New Roman;sans-serif" w:hAnsi="Times New Roman;sans-serif"/>
          <w:b/>
          <w:color w:val="000000"/>
          <w:sz w:val="24"/>
        </w:rPr>
        <w:t>Policy</w:t>
      </w:r>
      <w:r>
        <w:rPr>
          <w:color w:val="000000"/>
        </w:rPr>
        <w:t>”</w:t>
      </w:r>
      <w:r>
        <w:rPr>
          <w:rFonts w:ascii="Times New Roman;sans-serif" w:hAnsi="Times New Roman;sans-serif"/>
          <w:b w:val="false"/>
          <w:color w:val="000000"/>
          <w:sz w:val="24"/>
        </w:rPr>
        <w:t xml:space="preserve">). Under such Policy as currently in effect, as a member of the Board, you will receive an annual retainer of $45,000. If you serve on any committees of the Board, you will receive an additional annual retainer. Any committees that you will be joining will be determined on a later date. </w:t>
      </w:r>
    </w:p>
    <w:p>
      <w:pPr>
        <w:pStyle w:val="TextBody"/>
        <w:spacing w:lineRule="auto" w:line="240" w:before="240" w:after="283"/>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Subject to the terms and conditions of the Policy, you will also be eligible to receive a restricted stock unit grant upon your initial election to the Board and a restricted stock unit grant on the date of the Annual Meeting, assuming you are re-elected to serve on the Board at such time. </w:t>
      </w:r>
    </w:p>
    <w:p>
      <w:pPr>
        <w:pStyle w:val="TextBody"/>
        <w:spacing w:lineRule="auto" w:line="240" w:before="240" w:after="283"/>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In your capacity as a director of Zoom, you will be expected not to use or disclose any confidential information, including, but not limited to, trade secrets of any former employer or other person or entity to whom you have an obligation of confidentiality. Rather, you will be expected to use only information that is generally known and used by persons with training and experience comparable to your own, that is common knowledge in the industry or otherwise legally in the public domain, or that is otherwise provided by Zoom. You acknowledge that as a result of your service as a director you will obtain confidential information relating to or provided by Zoom and its affiliates. During and after your service with Zoom, you will not use for your benefit or disclose confidential information, knowledge or data relating to or provided by Zoom and its affiliates. You will be entitled to indemnification for your services as a Board </w:t>
      </w:r>
      <w:r>
        <w:br w:type="page"/>
      </w:r>
    </w:p>
    <w:p>
      <w:pPr>
        <w:pStyle w:val="TextBody"/>
        <w:spacing w:before="0" w:after="0"/>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15315"/>
                <wp:effectExtent l="0" t="0" r="0" b="0"/>
                <wp:wrapNone/>
                <wp:docPr id="70" name="Frame69"/>
                <a:graphic xmlns:a="http://schemas.openxmlformats.org/drawingml/2006/main">
                  <a:graphicData uri="http://schemas.microsoft.com/office/word/2010/wordprocessingShape">
                    <wps:wsp>
                      <wps:cNvSpPr txBox="1"/>
                      <wps:spPr>
                        <a:xfrm>
                          <a:off x="0" y="0"/>
                          <a:ext cx="6480175" cy="615315"/>
                        </a:xfrm>
                        <a:prstGeom prst="rect"/>
                      </wps:spPr>
                      <wps:txbx>
                        <w:txbxContent>
                          <w:p>
                            <w:pPr>
                              <w:pStyle w:val="TextBody"/>
                              <w:spacing w:lineRule="auto" w:line="240" w:before="0" w:after="0"/>
                              <w:jc w:val="right"/>
                              <w:rPr>
                                <w:rFonts w:ascii="Times New Roman;sans-serif" w:hAnsi="Times New Roman;sans-serif"/>
                                <w:b w:val="false"/>
                                <w:color w:val="3B3838"/>
                                <w:sz w:val="20"/>
                              </w:rPr>
                            </w:pPr>
                            <w:r>
                              <w:rPr>
                                <w:rFonts w:ascii="Times New Roman;sans-serif" w:hAnsi="Times New Roman;sans-serif"/>
                                <w:b w:val="false"/>
                                <w:color w:val="3B3838"/>
                                <w:sz w:val="20"/>
                              </w:rPr>
                              <w:t xml:space="preserve">Zoom Video Communications, Inc. </w:t>
                            </w:r>
                          </w:p>
                          <w:p>
                            <w:pPr>
                              <w:pStyle w:val="TextBody"/>
                              <w:spacing w:lineRule="auto" w:line="240" w:before="0" w:after="0"/>
                              <w:jc w:val="right"/>
                              <w:rPr>
                                <w:rFonts w:ascii="Times New Roman;sans-serif" w:hAnsi="Times New Roman;sans-serif"/>
                                <w:b w:val="false"/>
                                <w:color w:val="3B3838"/>
                                <w:sz w:val="20"/>
                              </w:rPr>
                            </w:pPr>
                            <w:r>
                              <w:rPr>
                                <w:rFonts w:ascii="Times New Roman;sans-serif" w:hAnsi="Times New Roman;sans-serif"/>
                                <w:b w:val="false"/>
                                <w:color w:val="3B3838"/>
                                <w:sz w:val="20"/>
                              </w:rPr>
                              <w:t xml:space="preserve">55 Almaden Blvd, Suite 600, San Jose, CA 95113 </w:t>
                            </w:r>
                          </w:p>
                          <w:p>
                            <w:pPr>
                              <w:pStyle w:val="TextBody"/>
                              <w:spacing w:lineRule="auto" w:line="240" w:before="0" w:after="0"/>
                              <w:jc w:val="right"/>
                              <w:rPr/>
                            </w:pPr>
                            <w:r>
                              <w:rPr>
                                <w:rFonts w:ascii="Times New Roman;sans-serif" w:hAnsi="Times New Roman;sans-serif"/>
                                <w:b w:val="false"/>
                                <w:color w:val="2D8CFF"/>
                                <w:sz w:val="20"/>
                              </w:rPr>
                              <w:t xml:space="preserve">zoom.us </w:t>
                            </w:r>
                            <w:r>
                              <w:rPr>
                                <w:rFonts w:ascii="Times New Roman;sans-serif" w:hAnsi="Times New Roman;sans-serif"/>
                                <w:b w:val="false"/>
                                <w:color w:val="3B3838"/>
                                <w:sz w:val="20"/>
                              </w:rPr>
                              <w:t>| 1.888.799.9666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Times New Roman;sans-serif" w:hAnsi="Times New Roman;sans-serif"/>
                          <w:b w:val="false"/>
                          <w:color w:val="3B3838"/>
                          <w:sz w:val="20"/>
                        </w:rPr>
                      </w:pPr>
                      <w:r>
                        <w:rPr>
                          <w:rFonts w:ascii="Times New Roman;sans-serif" w:hAnsi="Times New Roman;sans-serif"/>
                          <w:b w:val="false"/>
                          <w:color w:val="3B3838"/>
                          <w:sz w:val="20"/>
                        </w:rPr>
                        <w:t xml:space="preserve">Zoom Video Communications, Inc. </w:t>
                      </w:r>
                    </w:p>
                    <w:p>
                      <w:pPr>
                        <w:pStyle w:val="TextBody"/>
                        <w:spacing w:lineRule="auto" w:line="240" w:before="0" w:after="0"/>
                        <w:jc w:val="right"/>
                        <w:rPr>
                          <w:rFonts w:ascii="Times New Roman;sans-serif" w:hAnsi="Times New Roman;sans-serif"/>
                          <w:b w:val="false"/>
                          <w:color w:val="3B3838"/>
                          <w:sz w:val="20"/>
                        </w:rPr>
                      </w:pPr>
                      <w:r>
                        <w:rPr>
                          <w:rFonts w:ascii="Times New Roman;sans-serif" w:hAnsi="Times New Roman;sans-serif"/>
                          <w:b w:val="false"/>
                          <w:color w:val="3B3838"/>
                          <w:sz w:val="20"/>
                        </w:rPr>
                        <w:t xml:space="preserve">55 Almaden Blvd, Suite 600, San Jose, CA 95113 </w:t>
                      </w:r>
                    </w:p>
                    <w:p>
                      <w:pPr>
                        <w:pStyle w:val="TextBody"/>
                        <w:spacing w:lineRule="auto" w:line="240" w:before="0" w:after="0"/>
                        <w:jc w:val="right"/>
                        <w:rPr/>
                      </w:pPr>
                      <w:r>
                        <w:rPr>
                          <w:rFonts w:ascii="Times New Roman;sans-serif" w:hAnsi="Times New Roman;sans-serif"/>
                          <w:b w:val="false"/>
                          <w:color w:val="2D8CFF"/>
                          <w:sz w:val="20"/>
                        </w:rPr>
                        <w:t xml:space="preserve">zoom.us </w:t>
                      </w:r>
                      <w:r>
                        <w:rPr>
                          <w:rFonts w:ascii="Times New Roman;sans-serif" w:hAnsi="Times New Roman;sans-serif"/>
                          <w:b w:val="false"/>
                          <w:color w:val="3B3838"/>
                          <w:sz w:val="20"/>
                        </w:rPr>
                        <w:t>| 1.888.799.9666</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Exhibit 10.2</w:t>
      </w:r>
    </w:p>
    <w:p>
      <w:pPr>
        <w:pStyle w:val="TextBody"/>
        <w:spacing w:lineRule="auto" w:line="240" w:before="240" w:after="283"/>
        <w:rPr>
          <w:rFonts w:ascii="Times New Roman;sans-serif" w:hAnsi="Times New Roman;sans-serif"/>
          <w:b w:val="false"/>
          <w:color w:val="000000"/>
          <w:sz w:val="24"/>
        </w:rPr>
      </w:pPr>
      <w:r>
        <w:rPr>
          <w:rFonts w:ascii="Times New Roman;sans-serif" w:hAnsi="Times New Roman;sans-serif"/>
          <w:b w:val="false"/>
          <w:color w:val="000000"/>
          <w:sz w:val="24"/>
        </w:rPr>
        <w:t>member in accordance with Zoom’s standard form of indemnification agreement, which is attached to this letter, and Zoom’s charter documents.</w:t>
      </w:r>
    </w:p>
    <w:p>
      <w:pPr>
        <w:pStyle w:val="TextBody"/>
        <w:spacing w:lineRule="auto" w:line="240" w:before="240" w:after="283"/>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This letter, along with the indemnification agreement and restricted stock unit documentation referred to herein, constitutes the entire agreement between you and Zoom. This agreement supersedes any other agreements or promises made to you by anyone, whether oral or written, and it may only be modified in a writing signed by a duly authorized officer of Zoom. </w:t>
      </w:r>
    </w:p>
    <w:p>
      <w:pPr>
        <w:pStyle w:val="TextBody"/>
        <w:spacing w:lineRule="auto" w:line="240" w:before="240" w:after="283"/>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To accept this offer, please sign and return one copy of this letter to us by February 25, 2022. </w:t>
      </w:r>
    </w:p>
    <w:p>
      <w:pPr>
        <w:pStyle w:val="TextBody"/>
        <w:spacing w:lineRule="auto" w:line="240" w:before="240" w:after="283"/>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Bill, we believe you will be a tremendous addition to the Board and I am excited to work with you.</w:t>
      </w:r>
    </w:p>
    <w:p>
      <w:pPr>
        <w:pStyle w:val="TextBody"/>
        <w:spacing w:before="0" w:after="0"/>
        <w:ind w:left="0" w:right="0" w:firstLine="720"/>
        <w:rPr/>
      </w:pPr>
      <w:r>
        <w:rPr/>
      </w:r>
    </w:p>
    <w:p>
      <w:pPr>
        <w:pStyle w:val="TextBody"/>
        <w:spacing w:lineRule="auto" w:line="240"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Sincerely,</w:t>
      </w:r>
    </w:p>
    <w:p>
      <w:pPr>
        <w:pStyle w:val="TextBody"/>
        <w:spacing w:before="0" w:after="0"/>
        <w:ind w:left="0" w:right="0" w:firstLine="720"/>
        <w:rPr/>
      </w:pPr>
      <w:r>
        <w:rPr/>
      </w:r>
    </w:p>
    <w:p>
      <w:pPr>
        <w:pStyle w:val="TextBody"/>
        <w:spacing w:lineRule="auto" w:line="240" w:before="0" w:after="0"/>
        <w:ind w:left="0" w:right="0" w:firstLine="720"/>
        <w:rPr>
          <w:rFonts w:ascii="Times New Roman;sans-serif" w:hAnsi="Times New Roman;sans-serif"/>
          <w:b/>
          <w:color w:val="000000"/>
          <w:sz w:val="24"/>
        </w:rPr>
      </w:pPr>
      <w:r>
        <w:rPr>
          <w:rFonts w:ascii="Times New Roman;sans-serif" w:hAnsi="Times New Roman;sans-serif"/>
          <w:b/>
          <w:color w:val="000000"/>
          <w:sz w:val="24"/>
        </w:rPr>
        <w:t>Zoom Video Communications, Inc.</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pPr>
      <w:r>
        <w:rPr>
          <w:color w:val="000000"/>
        </w:rPr>
        <w:t>                            </w:t>
      </w:r>
      <w:r>
        <w:rPr>
          <w:rFonts w:ascii="Times New Roman;sans-serif" w:hAnsi="Times New Roman;sans-serif"/>
          <w:b w:val="false"/>
          <w:color w:val="000000"/>
          <w:sz w:val="24"/>
          <w:u w:val="single"/>
        </w:rPr>
        <w:t>/s/ Eric S. Yuan</w:t>
      </w:r>
      <w:r>
        <w:rPr>
          <w:rFonts w:ascii="Times New Roman;sans-serif" w:hAnsi="Times New Roman;sans-serif"/>
          <w:b w:val="false"/>
          <w:color w:val="000000"/>
          <w:sz w:val="24"/>
        </w:rPr>
        <w:t>________________________</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Eric S. Yuan, CEO</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Accepted and Agreed:</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u w:val="single"/>
        </w:rPr>
        <w:t>/s/ William R. McDermott</w:t>
      </w:r>
      <w:r>
        <w:rPr>
          <w:rFonts w:ascii="Times New Roman;sans-serif" w:hAnsi="Times New Roman;sans-serif"/>
          <w:b w:val="false"/>
          <w:color w:val="000000"/>
          <w:sz w:val="24"/>
        </w:rPr>
        <w:t>____________</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William R. McDermott</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Date: February 23, 2022</w:t>
      </w:r>
    </w:p>
    <w:p>
      <w:pPr>
        <w:pStyle w:val="TextBody"/>
        <w:spacing w:before="0" w:after="0"/>
        <w:rPr/>
      </w:pPr>
      <w:r>
        <w:rPr/>
      </w:r>
    </w:p>
    <w:p>
      <w:pPr>
        <w:pStyle w:val="TextBody"/>
        <w:spacing w:before="240" w:after="283"/>
        <w:ind w:left="0" w:right="0" w:firstLine="7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15315"/>
                <wp:effectExtent l="0" t="0" r="0" b="0"/>
                <wp:wrapNone/>
                <wp:docPr id="71" name="Frame70"/>
                <a:graphic xmlns:a="http://schemas.openxmlformats.org/drawingml/2006/main">
                  <a:graphicData uri="http://schemas.microsoft.com/office/word/2010/wordprocessingShape">
                    <wps:wsp>
                      <wps:cNvSpPr txBox="1"/>
                      <wps:spPr>
                        <a:xfrm>
                          <a:off x="0" y="0"/>
                          <a:ext cx="6480175" cy="615315"/>
                        </a:xfrm>
                        <a:prstGeom prst="rect"/>
                      </wps:spPr>
                      <wps:txbx>
                        <w:txbxContent>
                          <w:p>
                            <w:pPr>
                              <w:pStyle w:val="TextBody"/>
                              <w:spacing w:lineRule="auto" w:line="240" w:before="0" w:after="0"/>
                              <w:jc w:val="right"/>
                              <w:rPr>
                                <w:rFonts w:ascii="Times New Roman;sans-serif" w:hAnsi="Times New Roman;sans-serif"/>
                                <w:b w:val="false"/>
                                <w:color w:val="3B3838"/>
                                <w:sz w:val="20"/>
                              </w:rPr>
                            </w:pPr>
                            <w:r>
                              <w:rPr>
                                <w:rFonts w:ascii="Times New Roman;sans-serif" w:hAnsi="Times New Roman;sans-serif"/>
                                <w:b w:val="false"/>
                                <w:color w:val="3B3838"/>
                                <w:sz w:val="20"/>
                              </w:rPr>
                              <w:t xml:space="preserve">Zoom Video Communications, Inc. </w:t>
                            </w:r>
                          </w:p>
                          <w:p>
                            <w:pPr>
                              <w:pStyle w:val="TextBody"/>
                              <w:spacing w:lineRule="auto" w:line="240" w:before="0" w:after="0"/>
                              <w:jc w:val="right"/>
                              <w:rPr>
                                <w:rFonts w:ascii="Times New Roman;sans-serif" w:hAnsi="Times New Roman;sans-serif"/>
                                <w:b w:val="false"/>
                                <w:color w:val="3B3838"/>
                                <w:sz w:val="20"/>
                              </w:rPr>
                            </w:pPr>
                            <w:r>
                              <w:rPr>
                                <w:rFonts w:ascii="Times New Roman;sans-serif" w:hAnsi="Times New Roman;sans-serif"/>
                                <w:b w:val="false"/>
                                <w:color w:val="3B3838"/>
                                <w:sz w:val="20"/>
                              </w:rPr>
                              <w:t xml:space="preserve">55 Almaden Blvd, Suite 600, San Jose, CA 95113 </w:t>
                            </w:r>
                          </w:p>
                          <w:p>
                            <w:pPr>
                              <w:pStyle w:val="TextBody"/>
                              <w:spacing w:lineRule="auto" w:line="240" w:before="0" w:after="0"/>
                              <w:jc w:val="right"/>
                              <w:rPr/>
                            </w:pPr>
                            <w:r>
                              <w:rPr>
                                <w:rFonts w:ascii="Times New Roman;sans-serif" w:hAnsi="Times New Roman;sans-serif"/>
                                <w:b w:val="false"/>
                                <w:color w:val="2D8CFF"/>
                                <w:sz w:val="20"/>
                              </w:rPr>
                              <w:t xml:space="preserve">zoom.us </w:t>
                            </w:r>
                            <w:r>
                              <w:rPr>
                                <w:rFonts w:ascii="Times New Roman;sans-serif" w:hAnsi="Times New Roman;sans-serif"/>
                                <w:b w:val="false"/>
                                <w:color w:val="3B3838"/>
                                <w:sz w:val="20"/>
                              </w:rPr>
                              <w:t>| 1.888.799.9666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Times New Roman;sans-serif" w:hAnsi="Times New Roman;sans-serif"/>
                          <w:b w:val="false"/>
                          <w:color w:val="3B3838"/>
                          <w:sz w:val="20"/>
                        </w:rPr>
                      </w:pPr>
                      <w:r>
                        <w:rPr>
                          <w:rFonts w:ascii="Times New Roman;sans-serif" w:hAnsi="Times New Roman;sans-serif"/>
                          <w:b w:val="false"/>
                          <w:color w:val="3B3838"/>
                          <w:sz w:val="20"/>
                        </w:rPr>
                        <w:t xml:space="preserve">Zoom Video Communications, Inc. </w:t>
                      </w:r>
                    </w:p>
                    <w:p>
                      <w:pPr>
                        <w:pStyle w:val="TextBody"/>
                        <w:spacing w:lineRule="auto" w:line="240" w:before="0" w:after="0"/>
                        <w:jc w:val="right"/>
                        <w:rPr>
                          <w:rFonts w:ascii="Times New Roman;sans-serif" w:hAnsi="Times New Roman;sans-serif"/>
                          <w:b w:val="false"/>
                          <w:color w:val="3B3838"/>
                          <w:sz w:val="20"/>
                        </w:rPr>
                      </w:pPr>
                      <w:r>
                        <w:rPr>
                          <w:rFonts w:ascii="Times New Roman;sans-serif" w:hAnsi="Times New Roman;sans-serif"/>
                          <w:b w:val="false"/>
                          <w:color w:val="3B3838"/>
                          <w:sz w:val="20"/>
                        </w:rPr>
                        <w:t xml:space="preserve">55 Almaden Blvd, Suite 600, San Jose, CA 95113 </w:t>
                      </w:r>
                    </w:p>
                    <w:p>
                      <w:pPr>
                        <w:pStyle w:val="TextBody"/>
                        <w:spacing w:lineRule="auto" w:line="240" w:before="0" w:after="0"/>
                        <w:jc w:val="right"/>
                        <w:rPr/>
                      </w:pPr>
                      <w:r>
                        <w:rPr>
                          <w:rFonts w:ascii="Times New Roman;sans-serif" w:hAnsi="Times New Roman;sans-serif"/>
                          <w:b w:val="false"/>
                          <w:color w:val="2D8CFF"/>
                          <w:sz w:val="20"/>
                        </w:rPr>
                        <w:t xml:space="preserve">zoom.us </w:t>
                      </w:r>
                      <w:r>
                        <w:rPr>
                          <w:rFonts w:ascii="Times New Roman;sans-serif" w:hAnsi="Times New Roman;sans-serif"/>
                          <w:b w:val="false"/>
                          <w:color w:val="3B3838"/>
                          <w:sz w:val="20"/>
                        </w:rPr>
                        <w:t>| 1.888.799.9666</w:t>
                      </w:r>
                    </w:p>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EXCHANGE ACT RULES 13a-14(a) AND 15d-14(a)</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 Eric S. Yuan, certify that:</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Zoom Video Communications, Inc.;</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949" w:type="dxa"/>
        <w:jc w:val="left"/>
        <w:tblInd w:w="0" w:type="dxa"/>
        <w:tblCellMar>
          <w:top w:w="28" w:type="dxa"/>
          <w:left w:w="28" w:type="dxa"/>
          <w:bottom w:w="28" w:type="dxa"/>
          <w:right w:w="28" w:type="dxa"/>
        </w:tblCellMar>
      </w:tblPr>
      <w:tblGrid>
        <w:gridCol w:w="629"/>
        <w:gridCol w:w="554"/>
        <w:gridCol w:w="557"/>
        <w:gridCol w:w="936"/>
        <w:gridCol w:w="936"/>
        <w:gridCol w:w="1337"/>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S. Yuan</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25, 2022</w:t>
            </w:r>
          </w:p>
        </w:tc>
        <w:tc>
          <w:tcPr>
            <w:tcW w:w="32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ind w:left="0" w:right="0" w:hanging="3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EXCHANGE ACT RULES 13a-14(a) AND 15d-14(a)</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 Kelly Steckelberg, certify that:</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Zoom Video Communications, Inc.;</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259" w:type="dxa"/>
        <w:jc w:val="left"/>
        <w:tblInd w:w="0" w:type="dxa"/>
        <w:tblCellMar>
          <w:top w:w="28" w:type="dxa"/>
          <w:left w:w="28" w:type="dxa"/>
          <w:bottom w:w="28" w:type="dxa"/>
          <w:right w:w="28" w:type="dxa"/>
        </w:tblCellMar>
      </w:tblPr>
      <w:tblGrid>
        <w:gridCol w:w="629"/>
        <w:gridCol w:w="554"/>
        <w:gridCol w:w="557"/>
        <w:gridCol w:w="737"/>
        <w:gridCol w:w="737"/>
        <w:gridCol w:w="1045"/>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Steckelberg</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25, 2022</w:t>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Kelly Steckelberg</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ind w:left="0" w:right="0" w:hanging="3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AND CHIEF FINANCIAL OFFICER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906 OF THE SARBANES-OXLEY ACT OF 2002</w:t>
      </w:r>
    </w:p>
    <w:p>
      <w:pPr>
        <w:pStyle w:val="TextBody"/>
        <w:spacing w:before="200" w:after="283"/>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 Eric S. Yuan, certify, pursuant to the requirement set forth in Rule 13a-14(b) of the Securities Exchange Act of 1934, as amended (the “Exchange Act”) and 18 U.S.C. Section 1350, as adopted pursuant to Section 906 of the Sarbanes-Oxley Act of 2002, that to the best of my knowledge, the Quarterly Report on Form 10-Q of Zoom Video Communications, Inc. for the fiscal quarter ended April 30, 2022 fully complies with the requirements of Section 13(a) or 15(d) of the Exchange Act and that information contained in such Quarterly Report on Form 10-Q fairly presents, in all material respects, the financial condition and results of operations of Zoom Video Communications, Inc.</w:t>
      </w:r>
    </w:p>
    <w:tbl>
      <w:tblPr>
        <w:tblW w:w="5353" w:type="dxa"/>
        <w:jc w:val="left"/>
        <w:tblInd w:w="0" w:type="dxa"/>
        <w:tblCellMar>
          <w:top w:w="28" w:type="dxa"/>
          <w:left w:w="28" w:type="dxa"/>
          <w:bottom w:w="28" w:type="dxa"/>
          <w:right w:w="28" w:type="dxa"/>
        </w:tblCellMar>
      </w:tblPr>
      <w:tblGrid>
        <w:gridCol w:w="629"/>
        <w:gridCol w:w="554"/>
        <w:gridCol w:w="557"/>
        <w:gridCol w:w="134"/>
        <w:gridCol w:w="134"/>
        <w:gridCol w:w="136"/>
        <w:gridCol w:w="936"/>
        <w:gridCol w:w="936"/>
        <w:gridCol w:w="1337"/>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25, 2022</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S. Yuan</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spacing w:before="200" w:after="283"/>
        <w:rPr/>
      </w:pPr>
      <w:r>
        <w:rPr/>
      </w:r>
    </w:p>
    <w:p>
      <w:pPr>
        <w:pStyle w:val="TextBody"/>
        <w:spacing w:before="200" w:after="283"/>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 Kelly Steckelberg, certify, pursuant to the requirement set forth in Rule 13a-14(b) of the Exchange Act and 18 U.S.C. Section 1350, as adopted pursuant to Section 906 of the Sarbanes-Oxley Act of 2002, that to the best of my knowledge, the Quarterly Report on Form 10-Q of Zoom Video Communications, Inc. for the fiscal quarter ended April 30, 2022 fully complies with the requirements of Section 13(a) or 15(d) of the Exchange Act and that information contained in such Quarterly Report on Form 10-Q fairly presents, in all material respects, the financial condition and results of operations of Zoom Video Communications, Inc.</w:t>
      </w:r>
    </w:p>
    <w:tbl>
      <w:tblPr>
        <w:tblW w:w="4663" w:type="dxa"/>
        <w:jc w:val="left"/>
        <w:tblInd w:w="0" w:type="dxa"/>
        <w:tblCellMar>
          <w:top w:w="28" w:type="dxa"/>
          <w:left w:w="28" w:type="dxa"/>
          <w:bottom w:w="28" w:type="dxa"/>
          <w:right w:w="28" w:type="dxa"/>
        </w:tblCellMar>
      </w:tblPr>
      <w:tblGrid>
        <w:gridCol w:w="629"/>
        <w:gridCol w:w="554"/>
        <w:gridCol w:w="557"/>
        <w:gridCol w:w="134"/>
        <w:gridCol w:w="134"/>
        <w:gridCol w:w="136"/>
        <w:gridCol w:w="737"/>
        <w:gridCol w:w="737"/>
        <w:gridCol w:w="1045"/>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25, 2022</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Steckelberg</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Kelly Steckelberg</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85521/000119312519115111/d736915dex31.htm" TargetMode="External"/><Relationship Id="rId3" Type="http://schemas.openxmlformats.org/officeDocument/2006/relationships/hyperlink" Target="http://www.sec.gov/Archives/edgar/data/1585521/000119312519099813/d642624dex34.htm" TargetMode="External"/><Relationship Id="rId4" Type="http://schemas.openxmlformats.org/officeDocument/2006/relationships/image" Target="media/image1.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46268</Words>
  <CharactersWithSpaces>300812</CharactersWithSpaces>
  <Paragraphs>2545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