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287020</wp:posOffset>
            </wp:positionV>
            <wp:extent cx="715264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63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306070</wp:posOffset>
            </wp:positionV>
            <wp:extent cx="71526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640" cy="635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ind w:left="382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p>
    <w:p>
      <w:pPr>
        <w:ind w:left="382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560" w:hanging="545"/>
        <w:spacing w:after="0"/>
        <w:tabs>
          <w:tab w:leader="none" w:pos="560" w:val="left"/>
        </w:tabs>
        <w:numPr>
          <w:ilvl w:val="0"/>
          <w:numId w:val="1"/>
        </w:numPr>
        <w:rPr>
          <w:rFonts w:ascii="MS PGothic" w:cs="MS PGothic" w:eastAsia="MS PGothic" w:hAnsi="MS PGothic"/>
          <w:sz w:val="15"/>
          <w:szCs w:val="15"/>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October 31, 2021</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5" w:lineRule="exact"/>
        <w:rPr>
          <w:sz w:val="24"/>
          <w:szCs w:val="24"/>
          <w:color w:val="auto"/>
        </w:rPr>
      </w:pPr>
    </w:p>
    <w:p>
      <w:pPr>
        <w:ind w:left="580" w:hanging="544"/>
        <w:spacing w:after="0"/>
        <w:tabs>
          <w:tab w:leader="none" w:pos="580" w:val="left"/>
        </w:tabs>
        <w:numPr>
          <w:ilvl w:val="0"/>
          <w:numId w:val="2"/>
        </w:numPr>
        <w:rPr>
          <w:rFonts w:ascii="MS PGothic" w:cs="MS PGothic" w:eastAsia="MS PGothic" w:hAnsi="MS PGothic"/>
          <w:sz w:val="15"/>
          <w:szCs w:val="15"/>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0" w:lineRule="exact"/>
        <w:rPr>
          <w:sz w:val="24"/>
          <w:szCs w:val="24"/>
          <w:color w:val="auto"/>
        </w:rPr>
      </w:pPr>
    </w:p>
    <w:p>
      <w:pPr>
        <w:ind w:left="4000"/>
        <w:spacing w:after="0"/>
        <w:tabs>
          <w:tab w:leader="none" w:pos="7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001-38865</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Zoom Video Communications, Inc.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(Exact name of registrant as specified in its Charter)</w:t>
      </w:r>
    </w:p>
    <w:p>
      <w:pPr>
        <w:ind w:left="3820"/>
        <w:spacing w:after="0"/>
        <w:rPr>
          <w:sz w:val="20"/>
          <w:szCs w:val="20"/>
          <w:color w:val="auto"/>
        </w:rPr>
      </w:pPr>
      <w:r>
        <w:rPr>
          <w:rFonts w:ascii="Arial" w:cs="Arial" w:eastAsia="Arial" w:hAnsi="Arial"/>
          <w:sz w:val="11"/>
          <w:szCs w:val="11"/>
          <w:b w:val="1"/>
          <w:bCs w:val="1"/>
          <w:color w:val="auto"/>
        </w:rPr>
        <w:t>___________________________________________________________________</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169"/>
        </w:trPr>
        <w:tc>
          <w:tcPr>
            <w:tcW w:w="3700" w:type="dxa"/>
            <w:vAlign w:val="bottom"/>
          </w:tcPr>
          <w:p>
            <w:pPr>
              <w:jc w:val="center"/>
              <w:ind w:left="1860"/>
              <w:spacing w:after="0"/>
              <w:rPr>
                <w:sz w:val="20"/>
                <w:szCs w:val="20"/>
                <w:color w:val="auto"/>
              </w:rPr>
            </w:pPr>
            <w:r>
              <w:rPr>
                <w:rFonts w:ascii="Arial" w:cs="Arial" w:eastAsia="Arial" w:hAnsi="Arial"/>
                <w:sz w:val="14"/>
                <w:szCs w:val="14"/>
                <w:b w:val="1"/>
                <w:bCs w:val="1"/>
                <w:color w:val="auto"/>
                <w:w w:val="87"/>
              </w:rPr>
              <w:t>Delaware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20" w:type="dxa"/>
            <w:vAlign w:val="bottom"/>
          </w:tcPr>
          <w:p>
            <w:pPr>
              <w:jc w:val="center"/>
              <w:ind w:right="2040"/>
              <w:spacing w:after="0"/>
              <w:rPr>
                <w:sz w:val="20"/>
                <w:szCs w:val="20"/>
                <w:color w:val="auto"/>
              </w:rPr>
            </w:pPr>
            <w:r>
              <w:rPr>
                <w:rFonts w:ascii="Arial" w:cs="Arial" w:eastAsia="Arial" w:hAnsi="Arial"/>
                <w:sz w:val="14"/>
                <w:szCs w:val="14"/>
                <w:b w:val="1"/>
                <w:bCs w:val="1"/>
                <w:color w:val="auto"/>
                <w:w w:val="88"/>
              </w:rPr>
              <w:t>61-1648780</w:t>
            </w:r>
          </w:p>
        </w:tc>
      </w:tr>
      <w:tr>
        <w:trPr>
          <w:trHeight w:val="109"/>
        </w:trPr>
        <w:tc>
          <w:tcPr>
            <w:tcW w:w="3700" w:type="dxa"/>
            <w:vAlign w:val="bottom"/>
          </w:tcPr>
          <w:p>
            <w:pPr>
              <w:jc w:val="center"/>
              <w:ind w:left="1880"/>
              <w:spacing w:after="0" w:line="109" w:lineRule="exact"/>
              <w:rPr>
                <w:sz w:val="20"/>
                <w:szCs w:val="20"/>
                <w:color w:val="auto"/>
              </w:rPr>
            </w:pPr>
            <w:r>
              <w:rPr>
                <w:rFonts w:ascii="Arial" w:cs="Arial" w:eastAsia="Arial" w:hAnsi="Arial"/>
                <w:sz w:val="11"/>
                <w:szCs w:val="11"/>
                <w:b w:val="1"/>
                <w:bCs w:val="1"/>
                <w:color w:val="auto"/>
                <w:w w:val="90"/>
              </w:rPr>
              <w:t>(State or other jurisdiction</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20" w:type="dxa"/>
            <w:vAlign w:val="bottom"/>
          </w:tcPr>
          <w:p>
            <w:pPr>
              <w:jc w:val="center"/>
              <w:ind w:right="2040"/>
              <w:spacing w:after="0" w:line="109" w:lineRule="exact"/>
              <w:rPr>
                <w:sz w:val="20"/>
                <w:szCs w:val="20"/>
                <w:color w:val="auto"/>
              </w:rPr>
            </w:pPr>
            <w:r>
              <w:rPr>
                <w:rFonts w:ascii="Arial" w:cs="Arial" w:eastAsia="Arial" w:hAnsi="Arial"/>
                <w:sz w:val="11"/>
                <w:szCs w:val="11"/>
                <w:b w:val="1"/>
                <w:bCs w:val="1"/>
                <w:color w:val="auto"/>
                <w:w w:val="92"/>
              </w:rPr>
              <w:t>(I.R.S. Employer</w:t>
            </w:r>
          </w:p>
        </w:tc>
      </w:tr>
      <w:tr>
        <w:trPr>
          <w:trHeight w:val="141"/>
        </w:trPr>
        <w:tc>
          <w:tcPr>
            <w:tcW w:w="3700" w:type="dxa"/>
            <w:vAlign w:val="bottom"/>
          </w:tcPr>
          <w:p>
            <w:pPr>
              <w:jc w:val="center"/>
              <w:ind w:left="1860"/>
              <w:spacing w:after="0"/>
              <w:rPr>
                <w:sz w:val="20"/>
                <w:szCs w:val="20"/>
                <w:color w:val="auto"/>
              </w:rPr>
            </w:pPr>
            <w:r>
              <w:rPr>
                <w:rFonts w:ascii="Arial" w:cs="Arial" w:eastAsia="Arial" w:hAnsi="Arial"/>
                <w:sz w:val="11"/>
                <w:szCs w:val="11"/>
                <w:b w:val="1"/>
                <w:bCs w:val="1"/>
                <w:color w:val="auto"/>
                <w:w w:val="90"/>
              </w:rPr>
              <w:t>of incorporation or organization)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20" w:type="dxa"/>
            <w:vAlign w:val="bottom"/>
          </w:tcPr>
          <w:p>
            <w:pPr>
              <w:jc w:val="center"/>
              <w:ind w:right="2040"/>
              <w:spacing w:after="0"/>
              <w:rPr>
                <w:sz w:val="20"/>
                <w:szCs w:val="20"/>
                <w:color w:val="auto"/>
              </w:rPr>
            </w:pPr>
            <w:r>
              <w:rPr>
                <w:rFonts w:ascii="Arial" w:cs="Arial" w:eastAsia="Arial" w:hAnsi="Arial"/>
                <w:sz w:val="11"/>
                <w:szCs w:val="11"/>
                <w:b w:val="1"/>
                <w:bCs w:val="1"/>
                <w:color w:val="auto"/>
                <w:w w:val="92"/>
              </w:rPr>
              <w:t>Identification No.)</w:t>
            </w:r>
          </w:p>
        </w:tc>
      </w:tr>
      <w:tr>
        <w:trPr>
          <w:trHeight w:val="254"/>
        </w:trPr>
        <w:tc>
          <w:tcPr>
            <w:tcW w:w="3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6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9"/>
              </w:rPr>
              <w:t>55 Almaden Boulevard, 6</w:t>
            </w:r>
            <w:r>
              <w:rPr>
                <w:rFonts w:ascii="Arial" w:cs="Arial" w:eastAsia="Arial" w:hAnsi="Arial"/>
                <w:sz w:val="12"/>
                <w:szCs w:val="12"/>
                <w:b w:val="1"/>
                <w:bCs w:val="1"/>
                <w:color w:val="auto"/>
                <w:w w:val="89"/>
              </w:rPr>
              <w:t>th</w:t>
            </w:r>
            <w:r>
              <w:rPr>
                <w:rFonts w:ascii="Arial" w:cs="Arial" w:eastAsia="Arial" w:hAnsi="Arial"/>
                <w:sz w:val="14"/>
                <w:szCs w:val="14"/>
                <w:b w:val="1"/>
                <w:bCs w:val="1"/>
                <w:color w:val="auto"/>
                <w:w w:val="89"/>
              </w:rPr>
              <w:t xml:space="preserve"> Floor</w:t>
            </w:r>
          </w:p>
        </w:tc>
        <w:tc>
          <w:tcPr>
            <w:tcW w:w="3520" w:type="dxa"/>
            <w:vAlign w:val="bottom"/>
          </w:tcPr>
          <w:p>
            <w:pPr>
              <w:spacing w:after="0"/>
              <w:rPr>
                <w:sz w:val="22"/>
                <w:szCs w:val="22"/>
                <w:color w:val="auto"/>
              </w:rPr>
            </w:pPr>
          </w:p>
        </w:tc>
      </w:tr>
      <w:tr>
        <w:trPr>
          <w:trHeight w:val="163"/>
        </w:trPr>
        <w:tc>
          <w:tcPr>
            <w:tcW w:w="3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7"/>
              </w:rPr>
              <w:t>San Jose, California 95113</w:t>
            </w:r>
          </w:p>
        </w:tc>
        <w:tc>
          <w:tcPr>
            <w:tcW w:w="3520" w:type="dxa"/>
            <w:vAlign w:val="bottom"/>
          </w:tcPr>
          <w:p>
            <w:pPr>
              <w:spacing w:after="0"/>
              <w:rPr>
                <w:sz w:val="14"/>
                <w:szCs w:val="14"/>
                <w:color w:val="auto"/>
              </w:rPr>
            </w:pPr>
          </w:p>
        </w:tc>
      </w:tr>
      <w:tr>
        <w:trPr>
          <w:trHeight w:val="137"/>
        </w:trPr>
        <w:tc>
          <w:tcPr>
            <w:tcW w:w="3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60" w:type="dxa"/>
            <w:vAlign w:val="bottom"/>
            <w:gridSpan w:val="3"/>
          </w:tcPr>
          <w:p>
            <w:pPr>
              <w:jc w:val="center"/>
              <w:ind w:right="820"/>
              <w:spacing w:after="0"/>
              <w:rPr>
                <w:sz w:val="20"/>
                <w:szCs w:val="20"/>
                <w:color w:val="auto"/>
              </w:rPr>
            </w:pPr>
            <w:r>
              <w:rPr>
                <w:rFonts w:ascii="Arial" w:cs="Arial" w:eastAsia="Arial" w:hAnsi="Arial"/>
                <w:sz w:val="11"/>
                <w:szCs w:val="11"/>
                <w:b w:val="1"/>
                <w:bCs w:val="1"/>
                <w:i w:val="1"/>
                <w:iCs w:val="1"/>
                <w:color w:val="auto"/>
                <w:w w:val="85"/>
              </w:rPr>
              <w:t>(Address of principal executive offices and Zip Code)</w:t>
            </w:r>
          </w:p>
        </w:tc>
        <w:tc>
          <w:tcPr>
            <w:tcW w:w="3520" w:type="dxa"/>
            <w:vAlign w:val="bottom"/>
          </w:tcPr>
          <w:p>
            <w:pPr>
              <w:spacing w:after="0"/>
              <w:rPr>
                <w:sz w:val="11"/>
                <w:szCs w:val="11"/>
                <w:color w:val="auto"/>
              </w:rPr>
            </w:pPr>
          </w:p>
        </w:tc>
      </w:tr>
      <w:tr>
        <w:trPr>
          <w:trHeight w:val="210"/>
        </w:trPr>
        <w:tc>
          <w:tcPr>
            <w:tcW w:w="3700" w:type="dxa"/>
            <w:vAlign w:val="bottom"/>
          </w:tcPr>
          <w:p>
            <w:pPr>
              <w:spacing w:after="0"/>
              <w:rPr>
                <w:sz w:val="18"/>
                <w:szCs w:val="18"/>
                <w:color w:val="auto"/>
              </w:rPr>
            </w:pPr>
          </w:p>
        </w:tc>
        <w:tc>
          <w:tcPr>
            <w:tcW w:w="3180" w:type="dxa"/>
            <w:vAlign w:val="bottom"/>
            <w:gridSpan w:val="3"/>
          </w:tcPr>
          <w:p>
            <w:pPr>
              <w:jc w:val="right"/>
              <w:ind w:right="779"/>
              <w:spacing w:after="0"/>
              <w:rPr>
                <w:sz w:val="20"/>
                <w:szCs w:val="20"/>
                <w:color w:val="auto"/>
              </w:rPr>
            </w:pPr>
            <w:r>
              <w:rPr>
                <w:rFonts w:ascii="Arial" w:cs="Arial" w:eastAsia="Arial" w:hAnsi="Arial"/>
                <w:sz w:val="14"/>
                <w:szCs w:val="14"/>
                <w:b w:val="1"/>
                <w:bCs w:val="1"/>
                <w:color w:val="auto"/>
              </w:rPr>
              <w:t>(888) 799-9666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118"/>
        </w:trPr>
        <w:tc>
          <w:tcPr>
            <w:tcW w:w="3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60" w:type="dxa"/>
            <w:vAlign w:val="bottom"/>
            <w:gridSpan w:val="3"/>
          </w:tcPr>
          <w:p>
            <w:pPr>
              <w:jc w:val="center"/>
              <w:ind w:right="820"/>
              <w:spacing w:after="0" w:line="119" w:lineRule="exact"/>
              <w:rPr>
                <w:sz w:val="20"/>
                <w:szCs w:val="20"/>
                <w:color w:val="auto"/>
              </w:rPr>
            </w:pPr>
            <w:r>
              <w:rPr>
                <w:rFonts w:ascii="Arial" w:cs="Arial" w:eastAsia="Arial" w:hAnsi="Arial"/>
                <w:sz w:val="11"/>
                <w:szCs w:val="11"/>
                <w:b w:val="1"/>
                <w:bCs w:val="1"/>
                <w:i w:val="1"/>
                <w:iCs w:val="1"/>
                <w:color w:val="auto"/>
                <w:w w:val="85"/>
              </w:rPr>
              <w:t>(Registrant’s telephone number, including area code)</w:t>
            </w:r>
          </w:p>
        </w:tc>
        <w:tc>
          <w:tcPr>
            <w:tcW w:w="3520" w:type="dxa"/>
            <w:vAlign w:val="bottom"/>
          </w:tcPr>
          <w:p>
            <w:pPr>
              <w:spacing w:after="0"/>
              <w:rPr>
                <w:sz w:val="10"/>
                <w:szCs w:val="10"/>
                <w:color w:val="auto"/>
              </w:rPr>
            </w:pPr>
          </w:p>
        </w:tc>
      </w:tr>
      <w:tr>
        <w:trPr>
          <w:trHeight w:val="141"/>
        </w:trPr>
        <w:tc>
          <w:tcPr>
            <w:tcW w:w="3700" w:type="dxa"/>
            <w:vAlign w:val="bottom"/>
          </w:tcPr>
          <w:p>
            <w:pPr>
              <w:spacing w:after="0"/>
              <w:rPr>
                <w:sz w:val="12"/>
                <w:szCs w:val="12"/>
                <w:color w:val="auto"/>
              </w:rPr>
            </w:pPr>
          </w:p>
        </w:tc>
        <w:tc>
          <w:tcPr>
            <w:tcW w:w="4020" w:type="dxa"/>
            <w:vAlign w:val="bottom"/>
            <w:gridSpan w:val="5"/>
          </w:tcPr>
          <w:p>
            <w:pPr>
              <w:jc w:val="right"/>
              <w:ind w:right="280"/>
              <w:spacing w:after="0"/>
              <w:rPr>
                <w:sz w:val="20"/>
                <w:szCs w:val="20"/>
                <w:color w:val="auto"/>
              </w:rPr>
            </w:pPr>
            <w:r>
              <w:rPr>
                <w:rFonts w:ascii="Arial" w:cs="Arial" w:eastAsia="Arial" w:hAnsi="Arial"/>
                <w:sz w:val="11"/>
                <w:szCs w:val="11"/>
                <w:b w:val="1"/>
                <w:bCs w:val="1"/>
                <w:color w:val="auto"/>
                <w:w w:val="90"/>
              </w:rPr>
              <w:t>___________________________________________________________________</w:t>
            </w:r>
          </w:p>
        </w:tc>
        <w:tc>
          <w:tcPr>
            <w:tcW w:w="3520" w:type="dxa"/>
            <w:vAlign w:val="bottom"/>
          </w:tcPr>
          <w:p>
            <w:pPr>
              <w:spacing w:after="0"/>
              <w:rPr>
                <w:sz w:val="12"/>
                <w:szCs w:val="12"/>
                <w:color w:val="auto"/>
              </w:rPr>
            </w:pPr>
          </w:p>
        </w:tc>
      </w:tr>
      <w:tr>
        <w:trPr>
          <w:trHeight w:val="188"/>
        </w:trPr>
        <w:tc>
          <w:tcPr>
            <w:tcW w:w="3700" w:type="dxa"/>
            <w:vAlign w:val="bottom"/>
          </w:tcPr>
          <w:p>
            <w:pPr>
              <w:spacing w:after="0"/>
              <w:rPr>
                <w:sz w:val="16"/>
                <w:szCs w:val="16"/>
                <w:color w:val="auto"/>
              </w:rPr>
            </w:pPr>
          </w:p>
        </w:tc>
        <w:tc>
          <w:tcPr>
            <w:tcW w:w="4020" w:type="dxa"/>
            <w:vAlign w:val="bottom"/>
            <w:gridSpan w:val="5"/>
          </w:tcPr>
          <w:p>
            <w:pPr>
              <w:jc w:val="center"/>
              <w:ind w:right="160"/>
              <w:spacing w:after="0"/>
              <w:rPr>
                <w:sz w:val="20"/>
                <w:szCs w:val="20"/>
                <w:color w:val="auto"/>
              </w:rPr>
            </w:pPr>
            <w:r>
              <w:rPr>
                <w:rFonts w:ascii="Arial" w:cs="Arial" w:eastAsia="Arial" w:hAnsi="Arial"/>
                <w:sz w:val="12"/>
                <w:szCs w:val="12"/>
                <w:color w:val="auto"/>
                <w:w w:val="92"/>
              </w:rPr>
              <w:t>Securities registered pursuant to Section 12(b) of the Act:</w:t>
            </w:r>
          </w:p>
        </w:tc>
        <w:tc>
          <w:tcPr>
            <w:tcW w:w="3520" w:type="dxa"/>
            <w:vAlign w:val="bottom"/>
          </w:tcPr>
          <w:p>
            <w:pPr>
              <w:spacing w:after="0"/>
              <w:rPr>
                <w:sz w:val="16"/>
                <w:szCs w:val="16"/>
                <w:color w:val="auto"/>
              </w:rPr>
            </w:pPr>
          </w:p>
        </w:tc>
      </w:tr>
      <w:tr>
        <w:trPr>
          <w:trHeight w:val="176"/>
        </w:trPr>
        <w:tc>
          <w:tcPr>
            <w:tcW w:w="3700" w:type="dxa"/>
            <w:vAlign w:val="bottom"/>
            <w:tcBorders>
              <w:bottom w:val="single" w:sz="8" w:color="auto"/>
            </w:tcBorders>
          </w:tcPr>
          <w:p>
            <w:pPr>
              <w:jc w:val="center"/>
              <w:ind w:left="520"/>
              <w:spacing w:after="0"/>
              <w:rPr>
                <w:sz w:val="20"/>
                <w:szCs w:val="20"/>
                <w:color w:val="auto"/>
              </w:rPr>
            </w:pPr>
            <w:r>
              <w:rPr>
                <w:rFonts w:ascii="Arial" w:cs="Arial" w:eastAsia="Arial" w:hAnsi="Arial"/>
                <w:sz w:val="12"/>
                <w:szCs w:val="12"/>
                <w:b w:val="1"/>
                <w:bCs w:val="1"/>
                <w:color w:val="auto"/>
                <w:w w:val="88"/>
              </w:rPr>
              <w:t>Title of each class</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Symbol(s)</w:t>
            </w: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tcPr>
          <w:p>
            <w:pPr>
              <w:jc w:val="center"/>
              <w:ind w:right="660"/>
              <w:spacing w:after="0"/>
              <w:rPr>
                <w:sz w:val="20"/>
                <w:szCs w:val="20"/>
                <w:color w:val="auto"/>
              </w:rPr>
            </w:pPr>
            <w:r>
              <w:rPr>
                <w:rFonts w:ascii="Arial" w:cs="Arial" w:eastAsia="Arial" w:hAnsi="Arial"/>
                <w:sz w:val="12"/>
                <w:szCs w:val="12"/>
                <w:b w:val="1"/>
                <w:bCs w:val="1"/>
                <w:color w:val="auto"/>
                <w:w w:val="89"/>
              </w:rPr>
              <w:t>Name of each exchange on which registered</w:t>
            </w:r>
          </w:p>
        </w:tc>
      </w:tr>
      <w:tr>
        <w:trPr>
          <w:trHeight w:val="151"/>
        </w:trPr>
        <w:tc>
          <w:tcPr>
            <w:tcW w:w="3700" w:type="dxa"/>
            <w:vAlign w:val="bottom"/>
          </w:tcPr>
          <w:p>
            <w:pPr>
              <w:jc w:val="center"/>
              <w:ind w:left="500"/>
              <w:spacing w:after="0"/>
              <w:rPr>
                <w:sz w:val="20"/>
                <w:szCs w:val="20"/>
                <w:color w:val="auto"/>
              </w:rPr>
            </w:pPr>
            <w:r>
              <w:rPr>
                <w:rFonts w:ascii="Arial" w:cs="Arial" w:eastAsia="Arial" w:hAnsi="Arial"/>
                <w:sz w:val="12"/>
                <w:szCs w:val="12"/>
                <w:color w:val="auto"/>
                <w:w w:val="91"/>
              </w:rPr>
              <w:t>Class A Common Stock, $0.001 par value per share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60" w:type="dxa"/>
            <w:vAlign w:val="bottom"/>
            <w:gridSpan w:val="3"/>
          </w:tcPr>
          <w:p>
            <w:pPr>
              <w:jc w:val="center"/>
              <w:ind w:right="820"/>
              <w:spacing w:after="0"/>
              <w:rPr>
                <w:sz w:val="20"/>
                <w:szCs w:val="20"/>
                <w:color w:val="auto"/>
              </w:rPr>
            </w:pPr>
            <w:r>
              <w:rPr>
                <w:rFonts w:ascii="Arial" w:cs="Arial" w:eastAsia="Arial" w:hAnsi="Arial"/>
                <w:sz w:val="12"/>
                <w:szCs w:val="12"/>
                <w:color w:val="auto"/>
              </w:rPr>
              <w:t>ZM</w:t>
            </w:r>
          </w:p>
        </w:tc>
        <w:tc>
          <w:tcPr>
            <w:tcW w:w="3520" w:type="dxa"/>
            <w:vAlign w:val="bottom"/>
          </w:tcPr>
          <w:p>
            <w:pPr>
              <w:jc w:val="center"/>
              <w:ind w:right="680"/>
              <w:spacing w:after="0"/>
              <w:rPr>
                <w:sz w:val="20"/>
                <w:szCs w:val="20"/>
                <w:color w:val="auto"/>
              </w:rPr>
            </w:pPr>
            <w:r>
              <w:rPr>
                <w:rFonts w:ascii="Arial" w:cs="Arial" w:eastAsia="Arial" w:hAnsi="Arial"/>
                <w:sz w:val="12"/>
                <w:szCs w:val="12"/>
                <w:color w:val="auto"/>
                <w:w w:val="92"/>
              </w:rPr>
              <w:t>The Nasdaq Global Select Market</w:t>
            </w:r>
          </w:p>
        </w:tc>
      </w:tr>
    </w:tbl>
    <w:p>
      <w:pPr>
        <w:spacing w:after="0" w:line="110" w:lineRule="exact"/>
        <w:rPr>
          <w:sz w:val="24"/>
          <w:szCs w:val="24"/>
          <w:color w:val="auto"/>
        </w:rPr>
      </w:pPr>
    </w:p>
    <w:p>
      <w:pPr>
        <w:jc w:val="both"/>
        <w:spacing w:after="0" w:line="156"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jc w:val="both"/>
        <w:spacing w:after="0" w:line="156"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5" w:lineRule="exact"/>
        <w:rPr>
          <w:sz w:val="24"/>
          <w:szCs w:val="24"/>
          <w:color w:val="auto"/>
        </w:rPr>
      </w:pPr>
    </w:p>
    <w:p>
      <w:pPr>
        <w:jc w:val="both"/>
        <w:spacing w:after="0" w:line="27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20" w:type="dxa"/>
        <w:tblCellMar>
          <w:top w:w="0" w:type="dxa"/>
          <w:left w:w="0" w:type="dxa"/>
          <w:bottom w:w="0" w:type="dxa"/>
          <w:right w:w="0" w:type="dxa"/>
        </w:tblCellMar>
      </w:tblPr>
      <w:tr>
        <w:trPr>
          <w:trHeight w:val="163"/>
        </w:trPr>
        <w:tc>
          <w:tcPr>
            <w:tcW w:w="19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46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4720" w:type="dxa"/>
            <w:vAlign w:val="bottom"/>
          </w:tcPr>
          <w:p>
            <w:pPr>
              <w:ind w:left="2720"/>
              <w:spacing w:after="0"/>
              <w:rPr>
                <w:sz w:val="20"/>
                <w:szCs w:val="20"/>
                <w:color w:val="auto"/>
              </w:rPr>
            </w:pPr>
            <w:r>
              <w:rPr>
                <w:rFonts w:ascii="Arial" w:cs="Arial" w:eastAsia="Arial" w:hAnsi="Arial"/>
                <w:sz w:val="12"/>
                <w:szCs w:val="12"/>
                <w:color w:val="auto"/>
              </w:rPr>
              <w:t>Accelerated filer</w:t>
            </w:r>
          </w:p>
        </w:tc>
        <w:tc>
          <w:tcPr>
            <w:tcW w:w="740" w:type="dxa"/>
            <w:vAlign w:val="bottom"/>
          </w:tcPr>
          <w:p>
            <w:pPr>
              <w:ind w:left="660"/>
              <w:spacing w:after="0" w:line="81" w:lineRule="exact"/>
              <w:rPr>
                <w:sz w:val="20"/>
                <w:szCs w:val="20"/>
                <w:color w:val="auto"/>
              </w:rPr>
            </w:pPr>
            <w:r>
              <w:rPr>
                <w:rFonts w:ascii="MS PGothic" w:cs="MS PGothic" w:eastAsia="MS PGothic" w:hAnsi="MS PGothic"/>
                <w:sz w:val="8"/>
                <w:szCs w:val="8"/>
                <w:color w:val="auto"/>
                <w:w w:val="74"/>
              </w:rPr>
              <w:t>☐</w:t>
            </w:r>
          </w:p>
        </w:tc>
      </w:tr>
      <w:tr>
        <w:trPr>
          <w:trHeight w:val="163"/>
        </w:trPr>
        <w:tc>
          <w:tcPr>
            <w:tcW w:w="1980" w:type="dxa"/>
            <w:vAlign w:val="bottom"/>
          </w:tcPr>
          <w:p>
            <w:pPr>
              <w:spacing w:after="0"/>
              <w:rPr>
                <w:sz w:val="20"/>
                <w:szCs w:val="20"/>
                <w:color w:val="auto"/>
              </w:rPr>
            </w:pPr>
            <w:r>
              <w:rPr>
                <w:rFonts w:ascii="Arial" w:cs="Arial" w:eastAsia="Arial" w:hAnsi="Arial"/>
                <w:sz w:val="12"/>
                <w:szCs w:val="12"/>
                <w:color w:val="auto"/>
              </w:rPr>
              <w:t>Non-accelerated filer</w:t>
            </w:r>
          </w:p>
        </w:tc>
        <w:tc>
          <w:tcPr>
            <w:tcW w:w="346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4720" w:type="dxa"/>
            <w:vAlign w:val="bottom"/>
          </w:tcPr>
          <w:p>
            <w:pPr>
              <w:ind w:left="2720"/>
              <w:spacing w:after="0"/>
              <w:rPr>
                <w:sz w:val="20"/>
                <w:szCs w:val="20"/>
                <w:color w:val="auto"/>
              </w:rPr>
            </w:pPr>
            <w:r>
              <w:rPr>
                <w:rFonts w:ascii="Arial" w:cs="Arial" w:eastAsia="Arial" w:hAnsi="Arial"/>
                <w:sz w:val="12"/>
                <w:szCs w:val="12"/>
                <w:color w:val="auto"/>
              </w:rPr>
              <w:t>Smaller reporting company</w:t>
            </w:r>
          </w:p>
        </w:tc>
        <w:tc>
          <w:tcPr>
            <w:tcW w:w="740" w:type="dxa"/>
            <w:vAlign w:val="bottom"/>
          </w:tcPr>
          <w:p>
            <w:pPr>
              <w:ind w:left="660"/>
              <w:spacing w:after="0" w:line="81" w:lineRule="exact"/>
              <w:rPr>
                <w:sz w:val="20"/>
                <w:szCs w:val="20"/>
                <w:color w:val="auto"/>
              </w:rPr>
            </w:pPr>
            <w:r>
              <w:rPr>
                <w:rFonts w:ascii="MS PGothic" w:cs="MS PGothic" w:eastAsia="MS PGothic" w:hAnsi="MS PGothic"/>
                <w:sz w:val="8"/>
                <w:szCs w:val="8"/>
                <w:color w:val="auto"/>
                <w:w w:val="74"/>
              </w:rPr>
              <w:t>☐</w:t>
            </w:r>
          </w:p>
        </w:tc>
      </w:tr>
      <w:tr>
        <w:trPr>
          <w:trHeight w:val="169"/>
        </w:trPr>
        <w:tc>
          <w:tcPr>
            <w:tcW w:w="198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346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47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02" w:lineRule="exact"/>
        <w:rPr>
          <w:sz w:val="24"/>
          <w:szCs w:val="24"/>
          <w:color w:val="auto"/>
        </w:rPr>
      </w:pPr>
    </w:p>
    <w:p>
      <w:pPr>
        <w:spacing w:after="0" w:line="15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38" w:lineRule="exact"/>
        <w:tabs>
          <w:tab w:leader="none" w:pos="5660" w:val="left"/>
          <w:tab w:leader="none" w:pos="614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29" w:lineRule="exact"/>
        <w:rPr>
          <w:sz w:val="24"/>
          <w:szCs w:val="24"/>
          <w:color w:val="auto"/>
        </w:rPr>
      </w:pPr>
    </w:p>
    <w:p>
      <w:pPr>
        <w:spacing w:after="0"/>
        <w:rPr>
          <w:sz w:val="20"/>
          <w:szCs w:val="20"/>
          <w:color w:val="auto"/>
        </w:rPr>
      </w:pPr>
      <w:r>
        <w:rPr>
          <w:rFonts w:ascii="Arial" w:cs="Arial" w:eastAsia="Arial" w:hAnsi="Arial"/>
          <w:sz w:val="11"/>
          <w:szCs w:val="11"/>
          <w:color w:val="auto"/>
        </w:rPr>
        <w:t>As of November 12, 2021, the number of shares of the registrant’s Class A common stock outstanding was 242,239,793 and the number of shares of the registrant’s Class B common stock outstanding was 55,754,775.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624205</wp:posOffset>
            </wp:positionV>
            <wp:extent cx="719137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137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34290</wp:posOffset>
            </wp:positionV>
            <wp:extent cx="71526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53975</wp:posOffset>
            </wp:positionV>
            <wp:extent cx="71526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640" cy="6350"/>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800" w:type="dxa"/>
            <w:vAlign w:val="bottom"/>
            <w:gridSpan w:val="2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724"/>
        </w:trPr>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jc w:val="center"/>
              <w:ind w:right="2740"/>
              <w:spacing w:after="0"/>
              <w:rPr>
                <w:sz w:val="20"/>
                <w:szCs w:val="20"/>
                <w:color w:val="auto"/>
              </w:rPr>
            </w:pPr>
            <w:r>
              <w:rPr>
                <w:rFonts w:ascii="Arial" w:cs="Arial" w:eastAsia="Arial" w:hAnsi="Arial"/>
                <w:sz w:val="14"/>
                <w:szCs w:val="14"/>
                <w:b w:val="1"/>
                <w:bCs w:val="1"/>
                <w:color w:val="auto"/>
                <w:w w:val="88"/>
              </w:rPr>
              <w:t>Zoom Video Communications, Inc.</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6"/>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jc w:val="center"/>
              <w:ind w:right="2760"/>
              <w:spacing w:after="0"/>
              <w:rPr>
                <w:sz w:val="20"/>
                <w:szCs w:val="20"/>
                <w:color w:val="auto"/>
              </w:rPr>
            </w:pPr>
            <w:r>
              <w:rPr>
                <w:rFonts w:ascii="Arial" w:cs="Arial" w:eastAsia="Arial" w:hAnsi="Arial"/>
                <w:sz w:val="14"/>
                <w:szCs w:val="14"/>
                <w:b w:val="1"/>
                <w:bCs w:val="1"/>
                <w:color w:val="auto"/>
                <w:w w:val="91"/>
              </w:rPr>
              <w:t>Quarterly Report on Form 10-Q</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6"/>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60" w:type="dxa"/>
            <w:vAlign w:val="bottom"/>
            <w:gridSpan w:val="9"/>
          </w:tcPr>
          <w:p>
            <w:pPr>
              <w:jc w:val="center"/>
              <w:ind w:right="2460"/>
              <w:spacing w:after="0"/>
              <w:rPr>
                <w:sz w:val="20"/>
                <w:szCs w:val="20"/>
                <w:color w:val="auto"/>
              </w:rPr>
            </w:pPr>
            <w:r>
              <w:rPr>
                <w:rFonts w:ascii="Arial" w:cs="Arial" w:eastAsia="Arial" w:hAnsi="Arial"/>
                <w:sz w:val="14"/>
                <w:szCs w:val="14"/>
                <w:b w:val="1"/>
                <w:bCs w:val="1"/>
                <w:color w:val="auto"/>
                <w:w w:val="88"/>
              </w:rPr>
              <w:t>For the Quarterly Period Ended October 31, 2021</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6"/>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jc w:val="center"/>
              <w:ind w:right="2740"/>
              <w:spacing w:after="0"/>
              <w:rPr>
                <w:sz w:val="20"/>
                <w:szCs w:val="20"/>
                <w:color w:val="auto"/>
              </w:rPr>
            </w:pPr>
            <w:r>
              <w:rPr>
                <w:rFonts w:ascii="Arial" w:cs="Arial" w:eastAsia="Arial" w:hAnsi="Arial"/>
                <w:sz w:val="14"/>
                <w:szCs w:val="14"/>
                <w:b w:val="1"/>
                <w:bCs w:val="1"/>
                <w:color w:val="auto"/>
                <w:w w:val="96"/>
              </w:rPr>
              <w:t>TABLE OF CONTENTS</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80" w:type="dxa"/>
            <w:vAlign w:val="bottom"/>
            <w:gridSpan w:val="2"/>
          </w:tcPr>
          <w:p>
            <w:pPr>
              <w:ind w:left="580"/>
              <w:spacing w:after="0"/>
              <w:rPr>
                <w:sz w:val="20"/>
                <w:szCs w:val="20"/>
                <w:color w:val="auto"/>
              </w:rPr>
            </w:pPr>
            <w:r>
              <w:rPr>
                <w:rFonts w:ascii="Arial" w:cs="Arial" w:eastAsia="Arial" w:hAnsi="Arial"/>
                <w:sz w:val="14"/>
                <w:szCs w:val="14"/>
                <w:color w:val="auto"/>
              </w:rPr>
              <w:t>Page</w:t>
            </w:r>
          </w:p>
        </w:tc>
      </w:tr>
      <w:tr>
        <w:trPr>
          <w:trHeight w:val="124"/>
        </w:trPr>
        <w:tc>
          <w:tcPr>
            <w:tcW w:w="920" w:type="dxa"/>
            <w:vAlign w:val="bottom"/>
          </w:tcPr>
          <w:p>
            <w:pPr>
              <w:spacing w:after="0"/>
              <w:rPr>
                <w:sz w:val="10"/>
                <w:szCs w:val="10"/>
                <w:color w:val="auto"/>
              </w:rPr>
            </w:pPr>
          </w:p>
        </w:tc>
        <w:tc>
          <w:tcPr>
            <w:tcW w:w="8880" w:type="dxa"/>
            <w:vAlign w:val="bottom"/>
            <w:gridSpan w:val="22"/>
          </w:tcPr>
          <w:p>
            <w:pPr>
              <w:spacing w:after="0" w:line="104" w:lineRule="exact"/>
              <w:rPr>
                <w:rFonts w:ascii="Arial" w:cs="Arial" w:eastAsia="Arial" w:hAnsi="Arial"/>
                <w:sz w:val="12"/>
                <w:szCs w:val="12"/>
                <w:color w:val="0000FF"/>
              </w:rPr>
            </w:pPr>
            <w:hyperlink w:anchor="page5">
              <w:r>
                <w:rPr>
                  <w:rFonts w:ascii="Arial" w:cs="Arial" w:eastAsia="Arial" w:hAnsi="Arial"/>
                  <w:sz w:val="12"/>
                  <w:szCs w:val="12"/>
                  <w:color w:val="0000FF"/>
                </w:rPr>
                <w:t>PART I – Financial Information</w:t>
              </w:r>
            </w:hyperlink>
          </w:p>
        </w:tc>
        <w:tc>
          <w:tcPr>
            <w:tcW w:w="1440" w:type="dxa"/>
            <w:vAlign w:val="bottom"/>
            <w:tcBorders>
              <w:top w:val="single" w:sz="8" w:color="auto"/>
            </w:tcBorders>
          </w:tcPr>
          <w:p>
            <w:pPr>
              <w:jc w:val="center"/>
              <w:spacing w:after="0" w:line="113" w:lineRule="exact"/>
              <w:rPr>
                <w:rFonts w:ascii="Arial" w:cs="Arial" w:eastAsia="Arial" w:hAnsi="Arial"/>
                <w:sz w:val="12"/>
                <w:szCs w:val="12"/>
                <w:color w:val="auto"/>
              </w:rPr>
            </w:pPr>
            <w:hyperlink w:anchor="page5">
              <w:r>
                <w:rPr>
                  <w:rFonts w:ascii="Arial" w:cs="Arial" w:eastAsia="Arial" w:hAnsi="Arial"/>
                  <w:sz w:val="12"/>
                  <w:szCs w:val="12"/>
                  <w:color w:val="auto"/>
                </w:rPr>
                <w:t>6</w:t>
              </w:r>
            </w:hyperlink>
          </w:p>
        </w:tc>
        <w:tc>
          <w:tcPr>
            <w:tcW w:w="4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920" w:type="dxa"/>
            <w:vAlign w:val="bottom"/>
          </w:tcPr>
          <w:p>
            <w:pPr>
              <w:ind w:left="60"/>
              <w:spacing w:after="0"/>
              <w:rPr>
                <w:rFonts w:ascii="Arial" w:cs="Arial" w:eastAsia="Arial" w:hAnsi="Arial"/>
                <w:sz w:val="14"/>
                <w:szCs w:val="14"/>
                <w:color w:val="auto"/>
              </w:rPr>
            </w:pPr>
            <w:hyperlink w:anchor="page6">
              <w:r>
                <w:rPr>
                  <w:rFonts w:ascii="Arial" w:cs="Arial" w:eastAsia="Arial" w:hAnsi="Arial"/>
                  <w:sz w:val="14"/>
                  <w:szCs w:val="14"/>
                  <w:color w:val="auto"/>
                </w:rPr>
                <w:t>Item 1.</w:t>
              </w:r>
            </w:hyperlink>
          </w:p>
        </w:tc>
        <w:tc>
          <w:tcPr>
            <w:tcW w:w="1840" w:type="dxa"/>
            <w:vAlign w:val="bottom"/>
            <w:tcBorders>
              <w:bottom w:val="single" w:sz="8" w:color="0000FF"/>
            </w:tcBorders>
            <w:gridSpan w:val="12"/>
          </w:tcPr>
          <w:p>
            <w:pPr>
              <w:spacing w:after="0"/>
              <w:rPr>
                <w:rFonts w:ascii="Arial" w:cs="Arial" w:eastAsia="Arial" w:hAnsi="Arial"/>
                <w:sz w:val="14"/>
                <w:szCs w:val="14"/>
                <w:color w:val="0000FF"/>
                <w:w w:val="87"/>
              </w:rPr>
            </w:pPr>
            <w:hyperlink w:anchor="page6">
              <w:r>
                <w:rPr>
                  <w:rFonts w:ascii="Arial" w:cs="Arial" w:eastAsia="Arial" w:hAnsi="Arial"/>
                  <w:sz w:val="14"/>
                  <w:szCs w:val="14"/>
                  <w:color w:val="0000FF"/>
                  <w:w w:val="87"/>
                </w:rPr>
                <w:t>Financial Statements (Unaudited)</w:t>
              </w:r>
            </w:hyperlink>
          </w:p>
        </w:tc>
        <w:tc>
          <w:tcPr>
            <w:tcW w:w="7040" w:type="dxa"/>
            <w:vAlign w:val="bottom"/>
            <w:gridSpan w:val="10"/>
          </w:tcPr>
          <w:p>
            <w:pPr>
              <w:spacing w:after="0"/>
              <w:rPr>
                <w:sz w:val="17"/>
                <w:szCs w:val="17"/>
                <w:color w:val="auto"/>
              </w:rPr>
            </w:pPr>
          </w:p>
        </w:tc>
        <w:tc>
          <w:tcPr>
            <w:tcW w:w="1440" w:type="dxa"/>
            <w:vAlign w:val="bottom"/>
          </w:tcPr>
          <w:p>
            <w:pPr>
              <w:jc w:val="center"/>
              <w:spacing w:after="0"/>
              <w:rPr>
                <w:rFonts w:ascii="Arial" w:cs="Arial" w:eastAsia="Arial" w:hAnsi="Arial"/>
                <w:sz w:val="14"/>
                <w:szCs w:val="14"/>
                <w:color w:val="auto"/>
              </w:rPr>
            </w:pPr>
            <w:hyperlink w:anchor="page6">
              <w:r>
                <w:rPr>
                  <w:rFonts w:ascii="Arial" w:cs="Arial" w:eastAsia="Arial" w:hAnsi="Arial"/>
                  <w:sz w:val="14"/>
                  <w:szCs w:val="14"/>
                  <w:color w:val="auto"/>
                </w:rPr>
                <w:t>6</w:t>
              </w:r>
            </w:hyperlink>
          </w:p>
        </w:tc>
        <w:tc>
          <w:tcPr>
            <w:tcW w:w="40" w:type="dxa"/>
            <w:vAlign w:val="bottom"/>
          </w:tcPr>
          <w:p>
            <w:pPr>
              <w:spacing w:after="0"/>
              <w:rPr>
                <w:sz w:val="17"/>
                <w:szCs w:val="17"/>
                <w:color w:val="auto"/>
              </w:rPr>
            </w:pPr>
          </w:p>
        </w:tc>
      </w:tr>
      <w:tr>
        <w:trPr>
          <w:trHeight w:val="153"/>
        </w:trPr>
        <w:tc>
          <w:tcPr>
            <w:tcW w:w="920" w:type="dxa"/>
            <w:vAlign w:val="bottom"/>
          </w:tcPr>
          <w:p>
            <w:pPr>
              <w:spacing w:after="0"/>
              <w:rPr>
                <w:sz w:val="13"/>
                <w:szCs w:val="13"/>
                <w:color w:val="auto"/>
              </w:rPr>
            </w:pPr>
          </w:p>
        </w:tc>
        <w:tc>
          <w:tcPr>
            <w:tcW w:w="4700" w:type="dxa"/>
            <w:vAlign w:val="bottom"/>
            <w:tcBorders>
              <w:bottom w:val="single" w:sz="8" w:color="0000FF"/>
            </w:tcBorders>
            <w:gridSpan w:val="16"/>
          </w:tcPr>
          <w:p>
            <w:pPr>
              <w:spacing w:after="0" w:line="153" w:lineRule="exact"/>
              <w:rPr>
                <w:rFonts w:ascii="Arial" w:cs="Arial" w:eastAsia="Arial" w:hAnsi="Arial"/>
                <w:sz w:val="14"/>
                <w:szCs w:val="14"/>
                <w:color w:val="0000FF"/>
                <w:w w:val="85"/>
              </w:rPr>
            </w:pPr>
            <w:hyperlink w:anchor="page6">
              <w:r>
                <w:rPr>
                  <w:rFonts w:ascii="Arial" w:cs="Arial" w:eastAsia="Arial" w:hAnsi="Arial"/>
                  <w:sz w:val="14"/>
                  <w:szCs w:val="14"/>
                  <w:color w:val="0000FF"/>
                  <w:w w:val="85"/>
                </w:rPr>
                <w:t>Condensed Consolidated Balance Sheets as of October 31, 2021 and January 31, 2021</w:t>
              </w:r>
            </w:hyperlink>
          </w:p>
        </w:tc>
        <w:tc>
          <w:tcPr>
            <w:tcW w:w="4180" w:type="dxa"/>
            <w:vAlign w:val="bottom"/>
            <w:gridSpan w:val="6"/>
          </w:tcPr>
          <w:p>
            <w:pPr>
              <w:spacing w:after="0"/>
              <w:rPr>
                <w:sz w:val="13"/>
                <w:szCs w:val="13"/>
                <w:color w:val="auto"/>
              </w:rPr>
            </w:pPr>
          </w:p>
        </w:tc>
        <w:tc>
          <w:tcPr>
            <w:tcW w:w="1440" w:type="dxa"/>
            <w:vAlign w:val="bottom"/>
          </w:tcPr>
          <w:p>
            <w:pPr>
              <w:jc w:val="center"/>
              <w:spacing w:after="0" w:line="153" w:lineRule="exact"/>
              <w:rPr>
                <w:rFonts w:ascii="Arial" w:cs="Arial" w:eastAsia="Arial" w:hAnsi="Arial"/>
                <w:sz w:val="14"/>
                <w:szCs w:val="14"/>
                <w:color w:val="auto"/>
              </w:rPr>
            </w:pPr>
            <w:hyperlink w:anchor="page6">
              <w:r>
                <w:rPr>
                  <w:rFonts w:ascii="Arial" w:cs="Arial" w:eastAsia="Arial" w:hAnsi="Arial"/>
                  <w:sz w:val="14"/>
                  <w:szCs w:val="14"/>
                  <w:color w:val="auto"/>
                </w:rPr>
                <w:t>6</w:t>
              </w:r>
            </w:hyperlink>
          </w:p>
        </w:tc>
        <w:tc>
          <w:tcPr>
            <w:tcW w:w="40" w:type="dxa"/>
            <w:vAlign w:val="bottom"/>
          </w:tcPr>
          <w:p>
            <w:pPr>
              <w:spacing w:after="0"/>
              <w:rPr>
                <w:sz w:val="13"/>
                <w:szCs w:val="13"/>
                <w:color w:val="auto"/>
              </w:rPr>
            </w:pPr>
          </w:p>
        </w:tc>
      </w:tr>
      <w:tr>
        <w:trPr>
          <w:trHeight w:val="317"/>
        </w:trPr>
        <w:tc>
          <w:tcPr>
            <w:tcW w:w="920" w:type="dxa"/>
            <w:vAlign w:val="bottom"/>
          </w:tcPr>
          <w:p>
            <w:pPr>
              <w:spacing w:after="0"/>
              <w:rPr>
                <w:sz w:val="24"/>
                <w:szCs w:val="24"/>
                <w:color w:val="auto"/>
              </w:rPr>
            </w:pPr>
          </w:p>
        </w:tc>
        <w:tc>
          <w:tcPr>
            <w:tcW w:w="6400" w:type="dxa"/>
            <w:vAlign w:val="bottom"/>
            <w:tcBorders>
              <w:bottom w:val="single" w:sz="8" w:color="0000FF"/>
            </w:tcBorders>
            <w:gridSpan w:val="19"/>
          </w:tcPr>
          <w:p>
            <w:pPr>
              <w:spacing w:after="0"/>
              <w:rPr>
                <w:rFonts w:ascii="Arial" w:cs="Arial" w:eastAsia="Arial" w:hAnsi="Arial"/>
                <w:sz w:val="14"/>
                <w:szCs w:val="14"/>
                <w:color w:val="0000FF"/>
                <w:w w:val="87"/>
              </w:rPr>
            </w:pPr>
            <w:hyperlink w:anchor="page6">
              <w:r>
                <w:rPr>
                  <w:rFonts w:ascii="Arial" w:cs="Arial" w:eastAsia="Arial" w:hAnsi="Arial"/>
                  <w:sz w:val="14"/>
                  <w:szCs w:val="14"/>
                  <w:color w:val="0000FF"/>
                  <w:w w:val="87"/>
                </w:rPr>
                <w:t>Condensed Consolidated Statements of Operations for the Three and Nine Months Ended October 31, 2021 and 2020</w:t>
              </w:r>
            </w:hyperlink>
          </w:p>
        </w:tc>
        <w:tc>
          <w:tcPr>
            <w:tcW w:w="2480" w:type="dxa"/>
            <w:vAlign w:val="bottom"/>
            <w:gridSpan w:val="3"/>
          </w:tcPr>
          <w:p>
            <w:pPr>
              <w:spacing w:after="0"/>
              <w:rPr>
                <w:sz w:val="24"/>
                <w:szCs w:val="24"/>
                <w:color w:val="auto"/>
              </w:rPr>
            </w:pPr>
          </w:p>
        </w:tc>
        <w:tc>
          <w:tcPr>
            <w:tcW w:w="1440" w:type="dxa"/>
            <w:vAlign w:val="bottom"/>
          </w:tcPr>
          <w:p>
            <w:pPr>
              <w:jc w:val="center"/>
              <w:spacing w:after="0"/>
              <w:rPr>
                <w:rFonts w:ascii="Arial" w:cs="Arial" w:eastAsia="Arial" w:hAnsi="Arial"/>
                <w:sz w:val="14"/>
                <w:szCs w:val="14"/>
                <w:color w:val="auto"/>
              </w:rPr>
            </w:pPr>
            <w:hyperlink w:anchor="page6">
              <w:r>
                <w:rPr>
                  <w:rFonts w:ascii="Arial" w:cs="Arial" w:eastAsia="Arial" w:hAnsi="Arial"/>
                  <w:sz w:val="14"/>
                  <w:szCs w:val="14"/>
                  <w:color w:val="auto"/>
                </w:rPr>
                <w:t>7</w:t>
              </w:r>
            </w:hyperlink>
          </w:p>
        </w:tc>
        <w:tc>
          <w:tcPr>
            <w:tcW w:w="40" w:type="dxa"/>
            <w:vAlign w:val="bottom"/>
          </w:tcPr>
          <w:p>
            <w:pPr>
              <w:spacing w:after="0"/>
              <w:rPr>
                <w:sz w:val="24"/>
                <w:szCs w:val="24"/>
                <w:color w:val="auto"/>
              </w:rPr>
            </w:pPr>
          </w:p>
        </w:tc>
      </w:tr>
      <w:tr>
        <w:trPr>
          <w:trHeight w:val="317"/>
        </w:trPr>
        <w:tc>
          <w:tcPr>
            <w:tcW w:w="920" w:type="dxa"/>
            <w:vAlign w:val="bottom"/>
          </w:tcPr>
          <w:p>
            <w:pPr>
              <w:spacing w:after="0"/>
              <w:rPr>
                <w:sz w:val="24"/>
                <w:szCs w:val="24"/>
                <w:color w:val="auto"/>
              </w:rPr>
            </w:pPr>
          </w:p>
        </w:tc>
        <w:tc>
          <w:tcPr>
            <w:tcW w:w="7100" w:type="dxa"/>
            <w:vAlign w:val="bottom"/>
            <w:tcBorders>
              <w:bottom w:val="single" w:sz="8" w:color="0000FF"/>
            </w:tcBorders>
            <w:gridSpan w:val="21"/>
          </w:tcPr>
          <w:p>
            <w:pPr>
              <w:spacing w:after="0"/>
              <w:rPr>
                <w:rFonts w:ascii="Arial" w:cs="Arial" w:eastAsia="Arial" w:hAnsi="Arial"/>
                <w:sz w:val="14"/>
                <w:szCs w:val="14"/>
                <w:color w:val="0000FF"/>
                <w:w w:val="87"/>
              </w:rPr>
            </w:pPr>
            <w:hyperlink w:anchor="page7">
              <w:r>
                <w:rPr>
                  <w:rFonts w:ascii="Arial" w:cs="Arial" w:eastAsia="Arial" w:hAnsi="Arial"/>
                  <w:sz w:val="14"/>
                  <w:szCs w:val="14"/>
                  <w:color w:val="0000FF"/>
                  <w:w w:val="87"/>
                </w:rPr>
                <w:t>Condensed Consolidated Statements of Comprehensive Income for the Three and Nine Months Ended October 31, 2021 and 2020</w:t>
              </w:r>
            </w:hyperlink>
          </w:p>
        </w:tc>
        <w:tc>
          <w:tcPr>
            <w:tcW w:w="1780" w:type="dxa"/>
            <w:vAlign w:val="bottom"/>
          </w:tcPr>
          <w:p>
            <w:pPr>
              <w:spacing w:after="0"/>
              <w:rPr>
                <w:sz w:val="24"/>
                <w:szCs w:val="24"/>
                <w:color w:val="auto"/>
              </w:rPr>
            </w:pPr>
          </w:p>
        </w:tc>
        <w:tc>
          <w:tcPr>
            <w:tcW w:w="1440" w:type="dxa"/>
            <w:vAlign w:val="bottom"/>
          </w:tcPr>
          <w:p>
            <w:pPr>
              <w:jc w:val="center"/>
              <w:spacing w:after="0"/>
              <w:rPr>
                <w:rFonts w:ascii="Arial" w:cs="Arial" w:eastAsia="Arial" w:hAnsi="Arial"/>
                <w:sz w:val="14"/>
                <w:szCs w:val="14"/>
                <w:color w:val="auto"/>
              </w:rPr>
            </w:pPr>
            <w:hyperlink w:anchor="page7">
              <w:r>
                <w:rPr>
                  <w:rFonts w:ascii="Arial" w:cs="Arial" w:eastAsia="Arial" w:hAnsi="Arial"/>
                  <w:sz w:val="14"/>
                  <w:szCs w:val="14"/>
                  <w:color w:val="auto"/>
                </w:rPr>
                <w:t>8</w:t>
              </w:r>
            </w:hyperlink>
          </w:p>
        </w:tc>
        <w:tc>
          <w:tcPr>
            <w:tcW w:w="40" w:type="dxa"/>
            <w:vAlign w:val="bottom"/>
          </w:tcPr>
          <w:p>
            <w:pPr>
              <w:spacing w:after="0"/>
              <w:rPr>
                <w:sz w:val="24"/>
                <w:szCs w:val="24"/>
                <w:color w:val="auto"/>
              </w:rPr>
            </w:pPr>
          </w:p>
        </w:tc>
      </w:tr>
      <w:tr>
        <w:trPr>
          <w:trHeight w:val="317"/>
        </w:trPr>
        <w:tc>
          <w:tcPr>
            <w:tcW w:w="920" w:type="dxa"/>
            <w:vAlign w:val="bottom"/>
          </w:tcPr>
          <w:p>
            <w:pPr>
              <w:spacing w:after="0"/>
              <w:rPr>
                <w:sz w:val="24"/>
                <w:szCs w:val="24"/>
                <w:color w:val="auto"/>
              </w:rPr>
            </w:pPr>
          </w:p>
        </w:tc>
        <w:tc>
          <w:tcPr>
            <w:tcW w:w="8880" w:type="dxa"/>
            <w:vAlign w:val="bottom"/>
            <w:gridSpan w:val="22"/>
          </w:tcPr>
          <w:p>
            <w:pPr>
              <w:spacing w:after="0"/>
              <w:rPr>
                <w:rFonts w:ascii="Arial" w:cs="Arial" w:eastAsia="Arial" w:hAnsi="Arial"/>
                <w:sz w:val="14"/>
                <w:szCs w:val="14"/>
                <w:color w:val="0000FF"/>
              </w:rPr>
            </w:pPr>
            <w:hyperlink w:anchor="page8">
              <w:r>
                <w:rPr>
                  <w:rFonts w:ascii="Arial" w:cs="Arial" w:eastAsia="Arial" w:hAnsi="Arial"/>
                  <w:sz w:val="14"/>
                  <w:szCs w:val="14"/>
                  <w:color w:val="0000FF"/>
                </w:rPr>
                <w:t>Condensed Consolidated Statements of Stockholders’ Equity for the Three and Nine Months Ended October 31, 2021 and 2020</w:t>
              </w:r>
            </w:hyperlink>
          </w:p>
        </w:tc>
        <w:tc>
          <w:tcPr>
            <w:tcW w:w="1440" w:type="dxa"/>
            <w:vAlign w:val="bottom"/>
          </w:tcPr>
          <w:p>
            <w:pPr>
              <w:jc w:val="center"/>
              <w:spacing w:after="0"/>
              <w:rPr>
                <w:rFonts w:ascii="Arial" w:cs="Arial" w:eastAsia="Arial" w:hAnsi="Arial"/>
                <w:sz w:val="14"/>
                <w:szCs w:val="14"/>
                <w:color w:val="auto"/>
              </w:rPr>
            </w:pPr>
            <w:hyperlink w:anchor="page8">
              <w:r>
                <w:rPr>
                  <w:rFonts w:ascii="Arial" w:cs="Arial" w:eastAsia="Arial" w:hAnsi="Arial"/>
                  <w:sz w:val="14"/>
                  <w:szCs w:val="14"/>
                  <w:color w:val="auto"/>
                </w:rPr>
                <w:t>9</w:t>
              </w:r>
            </w:hyperlink>
          </w:p>
        </w:tc>
        <w:tc>
          <w:tcPr>
            <w:tcW w:w="40" w:type="dxa"/>
            <w:vAlign w:val="bottom"/>
          </w:tcPr>
          <w:p>
            <w:pPr>
              <w:spacing w:after="0"/>
              <w:rPr>
                <w:sz w:val="24"/>
                <w:szCs w:val="24"/>
                <w:color w:val="auto"/>
              </w:rPr>
            </w:pPr>
          </w:p>
        </w:tc>
      </w:tr>
      <w:tr>
        <w:trPr>
          <w:trHeight w:val="153"/>
        </w:trPr>
        <w:tc>
          <w:tcPr>
            <w:tcW w:w="9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18"/>
          </w:tcPr>
          <w:p>
            <w:pPr>
              <w:spacing w:after="0" w:line="153" w:lineRule="exact"/>
              <w:rPr>
                <w:rFonts w:ascii="Arial" w:cs="Arial" w:eastAsia="Arial" w:hAnsi="Arial"/>
                <w:sz w:val="14"/>
                <w:szCs w:val="14"/>
                <w:color w:val="0000FF"/>
                <w:w w:val="87"/>
              </w:rPr>
            </w:pPr>
            <w:hyperlink w:anchor="page10">
              <w:r>
                <w:rPr>
                  <w:rFonts w:ascii="Arial" w:cs="Arial" w:eastAsia="Arial" w:hAnsi="Arial"/>
                  <w:sz w:val="14"/>
                  <w:szCs w:val="14"/>
                  <w:color w:val="0000FF"/>
                  <w:w w:val="87"/>
                </w:rPr>
                <w:t>Condensed Consolidated Statements of Cash Flows for the Nine Months Ended October 31, 2021 and 2020</w:t>
              </w:r>
            </w:hyperlink>
          </w:p>
        </w:tc>
        <w:tc>
          <w:tcPr>
            <w:tcW w:w="1080" w:type="dxa"/>
            <w:vAlign w:val="bottom"/>
            <w:tcBorders>
              <w:top w:val="single" w:sz="8" w:color="0000FF"/>
            </w:tcBorders>
            <w:gridSpan w:val="2"/>
          </w:tcPr>
          <w:p>
            <w:pPr>
              <w:spacing w:after="0"/>
              <w:rPr>
                <w:sz w:val="13"/>
                <w:szCs w:val="13"/>
                <w:color w:val="auto"/>
              </w:rPr>
            </w:pPr>
          </w:p>
        </w:tc>
        <w:tc>
          <w:tcPr>
            <w:tcW w:w="1940" w:type="dxa"/>
            <w:vAlign w:val="bottom"/>
            <w:gridSpan w:val="2"/>
          </w:tcPr>
          <w:p>
            <w:pPr>
              <w:spacing w:after="0"/>
              <w:rPr>
                <w:sz w:val="13"/>
                <w:szCs w:val="13"/>
                <w:color w:val="auto"/>
              </w:rPr>
            </w:pPr>
          </w:p>
        </w:tc>
        <w:tc>
          <w:tcPr>
            <w:tcW w:w="1440" w:type="dxa"/>
            <w:vAlign w:val="bottom"/>
          </w:tcPr>
          <w:p>
            <w:pPr>
              <w:jc w:val="center"/>
              <w:spacing w:after="0" w:line="153" w:lineRule="exact"/>
              <w:rPr>
                <w:rFonts w:ascii="Arial" w:cs="Arial" w:eastAsia="Arial" w:hAnsi="Arial"/>
                <w:sz w:val="14"/>
                <w:szCs w:val="14"/>
                <w:color w:val="auto"/>
                <w:w w:val="76"/>
              </w:rPr>
            </w:pPr>
            <w:hyperlink w:anchor="page10">
              <w:r>
                <w:rPr>
                  <w:rFonts w:ascii="Arial" w:cs="Arial" w:eastAsia="Arial" w:hAnsi="Arial"/>
                  <w:sz w:val="14"/>
                  <w:szCs w:val="14"/>
                  <w:color w:val="auto"/>
                  <w:w w:val="76"/>
                </w:rPr>
                <w:t>11</w:t>
              </w:r>
            </w:hyperlink>
          </w:p>
        </w:tc>
        <w:tc>
          <w:tcPr>
            <w:tcW w:w="40" w:type="dxa"/>
            <w:vAlign w:val="bottom"/>
          </w:tcPr>
          <w:p>
            <w:pPr>
              <w:spacing w:after="0"/>
              <w:rPr>
                <w:sz w:val="13"/>
                <w:szCs w:val="13"/>
                <w:color w:val="auto"/>
              </w:rPr>
            </w:pPr>
          </w:p>
        </w:tc>
      </w:tr>
      <w:tr>
        <w:trPr>
          <w:trHeight w:val="153"/>
        </w:trPr>
        <w:tc>
          <w:tcPr>
            <w:tcW w:w="920" w:type="dxa"/>
            <w:vAlign w:val="bottom"/>
          </w:tcPr>
          <w:p>
            <w:pPr>
              <w:spacing w:after="0"/>
              <w:rPr>
                <w:sz w:val="13"/>
                <w:szCs w:val="13"/>
                <w:color w:val="auto"/>
              </w:rPr>
            </w:pPr>
          </w:p>
        </w:tc>
        <w:tc>
          <w:tcPr>
            <w:tcW w:w="8880" w:type="dxa"/>
            <w:vAlign w:val="bottom"/>
            <w:gridSpan w:val="22"/>
          </w:tcPr>
          <w:p>
            <w:pPr>
              <w:spacing w:after="0" w:line="153" w:lineRule="exact"/>
              <w:rPr>
                <w:rFonts w:ascii="Arial" w:cs="Arial" w:eastAsia="Arial" w:hAnsi="Arial"/>
                <w:sz w:val="14"/>
                <w:szCs w:val="14"/>
                <w:color w:val="0000FF"/>
              </w:rPr>
            </w:pPr>
            <w:hyperlink w:anchor="page11">
              <w:r>
                <w:rPr>
                  <w:rFonts w:ascii="Arial" w:cs="Arial" w:eastAsia="Arial" w:hAnsi="Arial"/>
                  <w:sz w:val="14"/>
                  <w:szCs w:val="14"/>
                  <w:color w:val="0000FF"/>
                </w:rPr>
                <w:t>Notes to Condensed Consolidated Financial Statements</w:t>
              </w:r>
            </w:hyperlink>
          </w:p>
        </w:tc>
        <w:tc>
          <w:tcPr>
            <w:tcW w:w="1440" w:type="dxa"/>
            <w:vAlign w:val="bottom"/>
          </w:tcPr>
          <w:p>
            <w:pPr>
              <w:jc w:val="center"/>
              <w:spacing w:after="0" w:line="153" w:lineRule="exact"/>
              <w:rPr>
                <w:rFonts w:ascii="Arial" w:cs="Arial" w:eastAsia="Arial" w:hAnsi="Arial"/>
                <w:sz w:val="14"/>
                <w:szCs w:val="14"/>
                <w:color w:val="auto"/>
                <w:w w:val="76"/>
              </w:rPr>
            </w:pPr>
            <w:hyperlink w:anchor="page11">
              <w:r>
                <w:rPr>
                  <w:rFonts w:ascii="Arial" w:cs="Arial" w:eastAsia="Arial" w:hAnsi="Arial"/>
                  <w:sz w:val="14"/>
                  <w:szCs w:val="14"/>
                  <w:color w:val="auto"/>
                  <w:w w:val="76"/>
                </w:rPr>
                <w:t>12</w:t>
              </w:r>
            </w:hyperlink>
          </w:p>
        </w:tc>
        <w:tc>
          <w:tcPr>
            <w:tcW w:w="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3"/>
        </w:trPr>
        <w:tc>
          <w:tcPr>
            <w:tcW w:w="920" w:type="dxa"/>
            <w:vAlign w:val="bottom"/>
          </w:tcPr>
          <w:p>
            <w:pPr>
              <w:ind w:left="60"/>
              <w:spacing w:after="0" w:line="153" w:lineRule="exact"/>
              <w:rPr>
                <w:rFonts w:ascii="Arial" w:cs="Arial" w:eastAsia="Arial" w:hAnsi="Arial"/>
                <w:sz w:val="14"/>
                <w:szCs w:val="14"/>
                <w:color w:val="auto"/>
              </w:rPr>
            </w:pPr>
            <w:hyperlink w:anchor="page24">
              <w:r>
                <w:rPr>
                  <w:rFonts w:ascii="Arial" w:cs="Arial" w:eastAsia="Arial" w:hAnsi="Arial"/>
                  <w:sz w:val="14"/>
                  <w:szCs w:val="14"/>
                  <w:color w:val="auto"/>
                </w:rPr>
                <w:t>Item 2.</w:t>
              </w:r>
            </w:hyperlink>
          </w:p>
        </w:tc>
        <w:tc>
          <w:tcPr>
            <w:tcW w:w="8880" w:type="dxa"/>
            <w:vAlign w:val="bottom"/>
            <w:gridSpan w:val="22"/>
          </w:tcPr>
          <w:p>
            <w:pPr>
              <w:spacing w:after="0" w:line="153" w:lineRule="exact"/>
              <w:rPr>
                <w:rFonts w:ascii="Arial" w:cs="Arial" w:eastAsia="Arial" w:hAnsi="Arial"/>
                <w:sz w:val="14"/>
                <w:szCs w:val="14"/>
                <w:color w:val="0000FF"/>
              </w:rPr>
            </w:pPr>
            <w:hyperlink w:anchor="page24">
              <w:r>
                <w:rPr>
                  <w:rFonts w:ascii="Arial" w:cs="Arial" w:eastAsia="Arial" w:hAnsi="Arial"/>
                  <w:sz w:val="14"/>
                  <w:szCs w:val="14"/>
                  <w:color w:val="0000FF"/>
                </w:rPr>
                <w:t>Management’s Discussion and Analysis of Financial Condition and Results of Operations</w:t>
              </w:r>
            </w:hyperlink>
          </w:p>
        </w:tc>
        <w:tc>
          <w:tcPr>
            <w:tcW w:w="1440" w:type="dxa"/>
            <w:vAlign w:val="bottom"/>
          </w:tcPr>
          <w:p>
            <w:pPr>
              <w:jc w:val="center"/>
              <w:spacing w:after="0" w:line="153" w:lineRule="exact"/>
              <w:rPr>
                <w:rFonts w:ascii="Arial" w:cs="Arial" w:eastAsia="Arial" w:hAnsi="Arial"/>
                <w:sz w:val="14"/>
                <w:szCs w:val="14"/>
                <w:color w:val="auto"/>
                <w:w w:val="76"/>
              </w:rPr>
            </w:pPr>
            <w:hyperlink w:anchor="page24">
              <w:r>
                <w:rPr>
                  <w:rFonts w:ascii="Arial" w:cs="Arial" w:eastAsia="Arial" w:hAnsi="Arial"/>
                  <w:sz w:val="14"/>
                  <w:szCs w:val="14"/>
                  <w:color w:val="auto"/>
                  <w:w w:val="76"/>
                </w:rPr>
                <w:t>24</w:t>
              </w:r>
            </w:hyperlink>
          </w:p>
        </w:tc>
        <w:tc>
          <w:tcPr>
            <w:tcW w:w="40" w:type="dxa"/>
            <w:vAlign w:val="bottom"/>
          </w:tcPr>
          <w:p>
            <w:pPr>
              <w:spacing w:after="0"/>
              <w:rPr>
                <w:sz w:val="13"/>
                <w:szCs w:val="13"/>
                <w:color w:val="auto"/>
              </w:rPr>
            </w:pPr>
          </w:p>
        </w:tc>
      </w:tr>
      <w:tr>
        <w:trPr>
          <w:trHeight w:val="153"/>
        </w:trPr>
        <w:tc>
          <w:tcPr>
            <w:tcW w:w="920" w:type="dxa"/>
            <w:vAlign w:val="bottom"/>
          </w:tcPr>
          <w:p>
            <w:pPr>
              <w:ind w:left="60"/>
              <w:spacing w:after="0" w:line="153" w:lineRule="exact"/>
              <w:rPr>
                <w:rFonts w:ascii="Arial" w:cs="Arial" w:eastAsia="Arial" w:hAnsi="Arial"/>
                <w:sz w:val="14"/>
                <w:szCs w:val="14"/>
                <w:color w:val="auto"/>
              </w:rPr>
            </w:pPr>
            <w:hyperlink w:anchor="page36">
              <w:r>
                <w:rPr>
                  <w:rFonts w:ascii="Arial" w:cs="Arial" w:eastAsia="Arial" w:hAnsi="Arial"/>
                  <w:sz w:val="14"/>
                  <w:szCs w:val="14"/>
                  <w:color w:val="auto"/>
                </w:rPr>
                <w:t>Item 3.</w:t>
              </w:r>
            </w:hyperlink>
          </w:p>
        </w:tc>
        <w:tc>
          <w:tcPr>
            <w:tcW w:w="3320" w:type="dxa"/>
            <w:vAlign w:val="bottom"/>
            <w:tcBorders>
              <w:top w:val="single" w:sz="8" w:color="0000FF"/>
              <w:bottom w:val="single" w:sz="8" w:color="0000FF"/>
            </w:tcBorders>
            <w:gridSpan w:val="15"/>
          </w:tcPr>
          <w:p>
            <w:pPr>
              <w:spacing w:after="0" w:line="153" w:lineRule="exact"/>
              <w:rPr>
                <w:rFonts w:ascii="Arial" w:cs="Arial" w:eastAsia="Arial" w:hAnsi="Arial"/>
                <w:sz w:val="14"/>
                <w:szCs w:val="14"/>
                <w:color w:val="0000FF"/>
                <w:w w:val="90"/>
              </w:rPr>
            </w:pPr>
            <w:hyperlink w:anchor="page36">
              <w:r>
                <w:rPr>
                  <w:rFonts w:ascii="Arial" w:cs="Arial" w:eastAsia="Arial" w:hAnsi="Arial"/>
                  <w:sz w:val="14"/>
                  <w:szCs w:val="14"/>
                  <w:color w:val="0000FF"/>
                  <w:w w:val="90"/>
                </w:rPr>
                <w:t>Quantitative and Qualitative Disclosures About Market Risk</w:t>
              </w:r>
            </w:hyperlink>
          </w:p>
        </w:tc>
        <w:tc>
          <w:tcPr>
            <w:tcW w:w="1560" w:type="dxa"/>
            <w:vAlign w:val="bottom"/>
            <w:tcBorders>
              <w:top w:val="single" w:sz="8" w:color="0000FF"/>
            </w:tcBorders>
            <w:gridSpan w:val="2"/>
          </w:tcPr>
          <w:p>
            <w:pPr>
              <w:spacing w:after="0"/>
              <w:rPr>
                <w:sz w:val="13"/>
                <w:szCs w:val="13"/>
                <w:color w:val="auto"/>
              </w:rPr>
            </w:pPr>
          </w:p>
        </w:tc>
        <w:tc>
          <w:tcPr>
            <w:tcW w:w="4000" w:type="dxa"/>
            <w:vAlign w:val="bottom"/>
            <w:gridSpan w:val="5"/>
          </w:tcPr>
          <w:p>
            <w:pPr>
              <w:spacing w:after="0"/>
              <w:rPr>
                <w:sz w:val="13"/>
                <w:szCs w:val="13"/>
                <w:color w:val="auto"/>
              </w:rPr>
            </w:pPr>
          </w:p>
        </w:tc>
        <w:tc>
          <w:tcPr>
            <w:tcW w:w="1440" w:type="dxa"/>
            <w:vAlign w:val="bottom"/>
          </w:tcPr>
          <w:p>
            <w:pPr>
              <w:jc w:val="center"/>
              <w:spacing w:after="0" w:line="153" w:lineRule="exact"/>
              <w:rPr>
                <w:rFonts w:ascii="Arial" w:cs="Arial" w:eastAsia="Arial" w:hAnsi="Arial"/>
                <w:sz w:val="14"/>
                <w:szCs w:val="14"/>
                <w:color w:val="auto"/>
                <w:w w:val="76"/>
              </w:rPr>
            </w:pPr>
            <w:hyperlink w:anchor="page36">
              <w:r>
                <w:rPr>
                  <w:rFonts w:ascii="Arial" w:cs="Arial" w:eastAsia="Arial" w:hAnsi="Arial"/>
                  <w:sz w:val="14"/>
                  <w:szCs w:val="14"/>
                  <w:color w:val="auto"/>
                  <w:w w:val="76"/>
                </w:rPr>
                <w:t>36</w:t>
              </w:r>
            </w:hyperlink>
          </w:p>
        </w:tc>
        <w:tc>
          <w:tcPr>
            <w:tcW w:w="40" w:type="dxa"/>
            <w:vAlign w:val="bottom"/>
          </w:tcPr>
          <w:p>
            <w:pPr>
              <w:spacing w:after="0"/>
              <w:rPr>
                <w:sz w:val="13"/>
                <w:szCs w:val="13"/>
                <w:color w:val="auto"/>
              </w:rPr>
            </w:pPr>
          </w:p>
        </w:tc>
      </w:tr>
      <w:tr>
        <w:trPr>
          <w:trHeight w:val="153"/>
        </w:trPr>
        <w:tc>
          <w:tcPr>
            <w:tcW w:w="920" w:type="dxa"/>
            <w:vAlign w:val="bottom"/>
          </w:tcPr>
          <w:p>
            <w:pPr>
              <w:ind w:left="60"/>
              <w:spacing w:after="0" w:line="153" w:lineRule="exact"/>
              <w:rPr>
                <w:rFonts w:ascii="Arial" w:cs="Arial" w:eastAsia="Arial" w:hAnsi="Arial"/>
                <w:sz w:val="14"/>
                <w:szCs w:val="14"/>
                <w:color w:val="auto"/>
              </w:rPr>
            </w:pPr>
            <w:hyperlink w:anchor="page36">
              <w:r>
                <w:rPr>
                  <w:rFonts w:ascii="Arial" w:cs="Arial" w:eastAsia="Arial" w:hAnsi="Arial"/>
                  <w:sz w:val="14"/>
                  <w:szCs w:val="14"/>
                  <w:color w:val="auto"/>
                </w:rPr>
                <w:t>Item 4.</w:t>
              </w:r>
            </w:hyperlink>
          </w:p>
        </w:tc>
        <w:tc>
          <w:tcPr>
            <w:tcW w:w="1360" w:type="dxa"/>
            <w:vAlign w:val="bottom"/>
            <w:tcBorders>
              <w:bottom w:val="single" w:sz="8" w:color="0000FF"/>
            </w:tcBorders>
            <w:gridSpan w:val="8"/>
          </w:tcPr>
          <w:p>
            <w:pPr>
              <w:spacing w:after="0" w:line="153" w:lineRule="exact"/>
              <w:rPr>
                <w:rFonts w:ascii="Arial" w:cs="Arial" w:eastAsia="Arial" w:hAnsi="Arial"/>
                <w:sz w:val="14"/>
                <w:szCs w:val="14"/>
                <w:color w:val="0000FF"/>
                <w:w w:val="86"/>
              </w:rPr>
            </w:pPr>
            <w:hyperlink w:anchor="page36">
              <w:r>
                <w:rPr>
                  <w:rFonts w:ascii="Arial" w:cs="Arial" w:eastAsia="Arial" w:hAnsi="Arial"/>
                  <w:sz w:val="14"/>
                  <w:szCs w:val="14"/>
                  <w:color w:val="0000FF"/>
                  <w:w w:val="86"/>
                </w:rPr>
                <w:t>Controls and Procedures</w:t>
              </w:r>
            </w:hyperlink>
          </w:p>
        </w:tc>
        <w:tc>
          <w:tcPr>
            <w:tcW w:w="7520" w:type="dxa"/>
            <w:vAlign w:val="bottom"/>
            <w:gridSpan w:val="14"/>
          </w:tcPr>
          <w:p>
            <w:pPr>
              <w:spacing w:after="0"/>
              <w:rPr>
                <w:sz w:val="13"/>
                <w:szCs w:val="13"/>
                <w:color w:val="auto"/>
              </w:rPr>
            </w:pPr>
          </w:p>
        </w:tc>
        <w:tc>
          <w:tcPr>
            <w:tcW w:w="1440" w:type="dxa"/>
            <w:vAlign w:val="bottom"/>
          </w:tcPr>
          <w:p>
            <w:pPr>
              <w:jc w:val="center"/>
              <w:spacing w:after="0" w:line="153" w:lineRule="exact"/>
              <w:rPr>
                <w:rFonts w:ascii="Arial" w:cs="Arial" w:eastAsia="Arial" w:hAnsi="Arial"/>
                <w:sz w:val="14"/>
                <w:szCs w:val="14"/>
                <w:color w:val="auto"/>
                <w:w w:val="76"/>
              </w:rPr>
            </w:pPr>
            <w:hyperlink w:anchor="page36">
              <w:r>
                <w:rPr>
                  <w:rFonts w:ascii="Arial" w:cs="Arial" w:eastAsia="Arial" w:hAnsi="Arial"/>
                  <w:sz w:val="14"/>
                  <w:szCs w:val="14"/>
                  <w:color w:val="auto"/>
                  <w:w w:val="76"/>
                </w:rPr>
                <w:t>36</w:t>
              </w:r>
            </w:hyperlink>
          </w:p>
        </w:tc>
        <w:tc>
          <w:tcPr>
            <w:tcW w:w="40" w:type="dxa"/>
            <w:vAlign w:val="bottom"/>
          </w:tcPr>
          <w:p>
            <w:pPr>
              <w:spacing w:after="0"/>
              <w:rPr>
                <w:sz w:val="13"/>
                <w:szCs w:val="13"/>
                <w:color w:val="auto"/>
              </w:rPr>
            </w:pPr>
          </w:p>
        </w:tc>
      </w:tr>
      <w:tr>
        <w:trPr>
          <w:trHeight w:val="194"/>
        </w:trPr>
        <w:tc>
          <w:tcPr>
            <w:tcW w:w="920" w:type="dxa"/>
            <w:vAlign w:val="bottom"/>
          </w:tcPr>
          <w:p>
            <w:pPr>
              <w:spacing w:after="0"/>
              <w:rPr>
                <w:sz w:val="16"/>
                <w:szCs w:val="16"/>
                <w:color w:val="auto"/>
              </w:rPr>
            </w:pPr>
          </w:p>
        </w:tc>
        <w:tc>
          <w:tcPr>
            <w:tcW w:w="8880" w:type="dxa"/>
            <w:vAlign w:val="bottom"/>
            <w:gridSpan w:val="22"/>
          </w:tcPr>
          <w:p>
            <w:pPr>
              <w:spacing w:after="0"/>
              <w:rPr>
                <w:rFonts w:ascii="Arial" w:cs="Arial" w:eastAsia="Arial" w:hAnsi="Arial"/>
                <w:sz w:val="14"/>
                <w:szCs w:val="14"/>
                <w:color w:val="0000FF"/>
              </w:rPr>
            </w:pPr>
            <w:hyperlink w:anchor="page37">
              <w:r>
                <w:rPr>
                  <w:rFonts w:ascii="Arial" w:cs="Arial" w:eastAsia="Arial" w:hAnsi="Arial"/>
                  <w:sz w:val="14"/>
                  <w:szCs w:val="14"/>
                  <w:color w:val="0000FF"/>
                </w:rPr>
                <w:t>PART II – Other Information</w:t>
              </w:r>
            </w:hyperlink>
          </w:p>
        </w:tc>
        <w:tc>
          <w:tcPr>
            <w:tcW w:w="1440" w:type="dxa"/>
            <w:vAlign w:val="bottom"/>
          </w:tcPr>
          <w:p>
            <w:pPr>
              <w:jc w:val="center"/>
              <w:spacing w:after="0"/>
              <w:rPr>
                <w:rFonts w:ascii="Arial" w:cs="Arial" w:eastAsia="Arial" w:hAnsi="Arial"/>
                <w:sz w:val="14"/>
                <w:szCs w:val="14"/>
                <w:color w:val="auto"/>
                <w:w w:val="76"/>
              </w:rPr>
            </w:pPr>
            <w:hyperlink w:anchor="page37">
              <w:r>
                <w:rPr>
                  <w:rFonts w:ascii="Arial" w:cs="Arial" w:eastAsia="Arial" w:hAnsi="Arial"/>
                  <w:sz w:val="14"/>
                  <w:szCs w:val="14"/>
                  <w:color w:val="auto"/>
                  <w:w w:val="76"/>
                </w:rPr>
                <w:t>38</w:t>
              </w:r>
            </w:hyperlink>
          </w:p>
        </w:tc>
        <w:tc>
          <w:tcPr>
            <w:tcW w:w="40" w:type="dxa"/>
            <w:vAlign w:val="bottom"/>
          </w:tcPr>
          <w:p>
            <w:pPr>
              <w:spacing w:after="0"/>
              <w:rPr>
                <w:sz w:val="16"/>
                <w:szCs w:val="16"/>
                <w:color w:val="auto"/>
              </w:rPr>
            </w:pPr>
          </w:p>
        </w:tc>
      </w:tr>
      <w:tr>
        <w:trPr>
          <w:trHeight w:val="194"/>
        </w:trPr>
        <w:tc>
          <w:tcPr>
            <w:tcW w:w="920" w:type="dxa"/>
            <w:vAlign w:val="bottom"/>
          </w:tcPr>
          <w:p>
            <w:pPr>
              <w:ind w:left="60"/>
              <w:spacing w:after="0"/>
              <w:rPr>
                <w:rFonts w:ascii="Arial" w:cs="Arial" w:eastAsia="Arial" w:hAnsi="Arial"/>
                <w:sz w:val="14"/>
                <w:szCs w:val="14"/>
                <w:color w:val="auto"/>
              </w:rPr>
            </w:pPr>
            <w:hyperlink w:anchor="page38">
              <w:r>
                <w:rPr>
                  <w:rFonts w:ascii="Arial" w:cs="Arial" w:eastAsia="Arial" w:hAnsi="Arial"/>
                  <w:sz w:val="14"/>
                  <w:szCs w:val="14"/>
                  <w:color w:val="auto"/>
                </w:rPr>
                <w:t>Item 1.</w:t>
              </w:r>
            </w:hyperlink>
          </w:p>
        </w:tc>
        <w:tc>
          <w:tcPr>
            <w:tcW w:w="1020" w:type="dxa"/>
            <w:vAlign w:val="bottom"/>
            <w:tcBorders>
              <w:top w:val="single" w:sz="8" w:color="0000FF"/>
              <w:bottom w:val="single" w:sz="8" w:color="0000FF"/>
            </w:tcBorders>
            <w:gridSpan w:val="6"/>
          </w:tcPr>
          <w:p>
            <w:pPr>
              <w:spacing w:after="0"/>
              <w:rPr>
                <w:rFonts w:ascii="Arial" w:cs="Arial" w:eastAsia="Arial" w:hAnsi="Arial"/>
                <w:sz w:val="14"/>
                <w:szCs w:val="14"/>
                <w:color w:val="0000FF"/>
                <w:w w:val="86"/>
              </w:rPr>
            </w:pPr>
            <w:hyperlink w:anchor="page38">
              <w:r>
                <w:rPr>
                  <w:rFonts w:ascii="Arial" w:cs="Arial" w:eastAsia="Arial" w:hAnsi="Arial"/>
                  <w:sz w:val="14"/>
                  <w:szCs w:val="14"/>
                  <w:color w:val="0000FF"/>
                  <w:w w:val="86"/>
                </w:rPr>
                <w:t>Legal Proceedings</w:t>
              </w:r>
            </w:hyperlink>
          </w:p>
        </w:tc>
        <w:tc>
          <w:tcPr>
            <w:tcW w:w="560" w:type="dxa"/>
            <w:vAlign w:val="bottom"/>
            <w:tcBorders>
              <w:top w:val="single" w:sz="8" w:color="0000FF"/>
            </w:tcBorders>
            <w:gridSpan w:val="3"/>
          </w:tcPr>
          <w:p>
            <w:pPr>
              <w:spacing w:after="0"/>
              <w:rPr>
                <w:sz w:val="16"/>
                <w:szCs w:val="16"/>
                <w:color w:val="auto"/>
              </w:rPr>
            </w:pPr>
          </w:p>
        </w:tc>
        <w:tc>
          <w:tcPr>
            <w:tcW w:w="7300" w:type="dxa"/>
            <w:vAlign w:val="bottom"/>
            <w:gridSpan w:val="13"/>
          </w:tcPr>
          <w:p>
            <w:pPr>
              <w:spacing w:after="0"/>
              <w:rPr>
                <w:sz w:val="16"/>
                <w:szCs w:val="16"/>
                <w:color w:val="auto"/>
              </w:rPr>
            </w:pPr>
          </w:p>
        </w:tc>
        <w:tc>
          <w:tcPr>
            <w:tcW w:w="1440" w:type="dxa"/>
            <w:vAlign w:val="bottom"/>
          </w:tcPr>
          <w:p>
            <w:pPr>
              <w:jc w:val="center"/>
              <w:spacing w:after="0"/>
              <w:rPr>
                <w:rFonts w:ascii="Arial" w:cs="Arial" w:eastAsia="Arial" w:hAnsi="Arial"/>
                <w:sz w:val="14"/>
                <w:szCs w:val="14"/>
                <w:color w:val="auto"/>
                <w:w w:val="76"/>
              </w:rPr>
            </w:pPr>
            <w:hyperlink w:anchor="page38">
              <w:r>
                <w:rPr>
                  <w:rFonts w:ascii="Arial" w:cs="Arial" w:eastAsia="Arial" w:hAnsi="Arial"/>
                  <w:sz w:val="14"/>
                  <w:szCs w:val="14"/>
                  <w:color w:val="auto"/>
                  <w:w w:val="76"/>
                </w:rPr>
                <w:t>38</w:t>
              </w:r>
            </w:hyperlink>
          </w:p>
        </w:tc>
        <w:tc>
          <w:tcPr>
            <w:tcW w:w="40" w:type="dxa"/>
            <w:vAlign w:val="bottom"/>
          </w:tcPr>
          <w:p>
            <w:pPr>
              <w:spacing w:after="0"/>
              <w:rPr>
                <w:sz w:val="16"/>
                <w:szCs w:val="16"/>
                <w:color w:val="auto"/>
              </w:rPr>
            </w:pPr>
          </w:p>
        </w:tc>
      </w:tr>
      <w:tr>
        <w:trPr>
          <w:trHeight w:val="153"/>
        </w:trPr>
        <w:tc>
          <w:tcPr>
            <w:tcW w:w="920" w:type="dxa"/>
            <w:vAlign w:val="bottom"/>
          </w:tcPr>
          <w:p>
            <w:pPr>
              <w:ind w:left="60"/>
              <w:spacing w:after="0" w:line="153" w:lineRule="exact"/>
              <w:rPr>
                <w:rFonts w:ascii="Arial" w:cs="Arial" w:eastAsia="Arial" w:hAnsi="Arial"/>
                <w:sz w:val="14"/>
                <w:szCs w:val="14"/>
                <w:color w:val="auto"/>
              </w:rPr>
            </w:pPr>
            <w:hyperlink w:anchor="page38">
              <w:r>
                <w:rPr>
                  <w:rFonts w:ascii="Arial" w:cs="Arial" w:eastAsia="Arial" w:hAnsi="Arial"/>
                  <w:sz w:val="14"/>
                  <w:szCs w:val="14"/>
                  <w:color w:val="auto"/>
                </w:rPr>
                <w:t>Item 1A</w:t>
              </w:r>
            </w:hyperlink>
          </w:p>
        </w:tc>
        <w:tc>
          <w:tcPr>
            <w:tcW w:w="700" w:type="dxa"/>
            <w:vAlign w:val="bottom"/>
            <w:tcBorders>
              <w:bottom w:val="single" w:sz="8" w:color="0000FF"/>
            </w:tcBorders>
            <w:gridSpan w:val="4"/>
          </w:tcPr>
          <w:p>
            <w:pPr>
              <w:spacing w:after="0" w:line="153" w:lineRule="exact"/>
              <w:rPr>
                <w:rFonts w:ascii="Arial" w:cs="Arial" w:eastAsia="Arial" w:hAnsi="Arial"/>
                <w:sz w:val="14"/>
                <w:szCs w:val="14"/>
                <w:color w:val="0000FF"/>
                <w:w w:val="87"/>
              </w:rPr>
            </w:pPr>
            <w:hyperlink w:anchor="page38">
              <w:r>
                <w:rPr>
                  <w:rFonts w:ascii="Arial" w:cs="Arial" w:eastAsia="Arial" w:hAnsi="Arial"/>
                  <w:sz w:val="14"/>
                  <w:szCs w:val="14"/>
                  <w:color w:val="0000FF"/>
                  <w:w w:val="87"/>
                </w:rPr>
                <w:t>Risk Factors</w:t>
              </w:r>
            </w:hyperlink>
          </w:p>
        </w:tc>
        <w:tc>
          <w:tcPr>
            <w:tcW w:w="8180" w:type="dxa"/>
            <w:vAlign w:val="bottom"/>
            <w:gridSpan w:val="18"/>
          </w:tcPr>
          <w:p>
            <w:pPr>
              <w:spacing w:after="0"/>
              <w:rPr>
                <w:sz w:val="13"/>
                <w:szCs w:val="13"/>
                <w:color w:val="auto"/>
              </w:rPr>
            </w:pPr>
          </w:p>
        </w:tc>
        <w:tc>
          <w:tcPr>
            <w:tcW w:w="1440" w:type="dxa"/>
            <w:vAlign w:val="bottom"/>
          </w:tcPr>
          <w:p>
            <w:pPr>
              <w:jc w:val="center"/>
              <w:spacing w:after="0" w:line="153" w:lineRule="exact"/>
              <w:rPr>
                <w:rFonts w:ascii="Arial" w:cs="Arial" w:eastAsia="Arial" w:hAnsi="Arial"/>
                <w:sz w:val="14"/>
                <w:szCs w:val="14"/>
                <w:color w:val="auto"/>
                <w:w w:val="76"/>
              </w:rPr>
            </w:pPr>
            <w:hyperlink w:anchor="page38">
              <w:r>
                <w:rPr>
                  <w:rFonts w:ascii="Arial" w:cs="Arial" w:eastAsia="Arial" w:hAnsi="Arial"/>
                  <w:sz w:val="14"/>
                  <w:szCs w:val="14"/>
                  <w:color w:val="auto"/>
                  <w:w w:val="76"/>
                </w:rPr>
                <w:t>38</w:t>
              </w:r>
            </w:hyperlink>
          </w:p>
        </w:tc>
        <w:tc>
          <w:tcPr>
            <w:tcW w:w="40" w:type="dxa"/>
            <w:vAlign w:val="bottom"/>
          </w:tcPr>
          <w:p>
            <w:pPr>
              <w:spacing w:after="0"/>
              <w:rPr>
                <w:sz w:val="13"/>
                <w:szCs w:val="13"/>
                <w:color w:val="auto"/>
              </w:rPr>
            </w:pPr>
          </w:p>
        </w:tc>
      </w:tr>
      <w:tr>
        <w:trPr>
          <w:trHeight w:val="153"/>
        </w:trPr>
        <w:tc>
          <w:tcPr>
            <w:tcW w:w="920" w:type="dxa"/>
            <w:vAlign w:val="bottom"/>
          </w:tcPr>
          <w:p>
            <w:pPr>
              <w:ind w:left="60"/>
              <w:spacing w:after="0" w:line="153" w:lineRule="exact"/>
              <w:rPr>
                <w:rFonts w:ascii="Arial" w:cs="Arial" w:eastAsia="Arial" w:hAnsi="Arial"/>
                <w:sz w:val="14"/>
                <w:szCs w:val="14"/>
                <w:color w:val="auto"/>
              </w:rPr>
            </w:pPr>
            <w:hyperlink w:anchor="page69">
              <w:r>
                <w:rPr>
                  <w:rFonts w:ascii="Arial" w:cs="Arial" w:eastAsia="Arial" w:hAnsi="Arial"/>
                  <w:sz w:val="14"/>
                  <w:szCs w:val="14"/>
                  <w:color w:val="auto"/>
                </w:rPr>
                <w:t>Item 2.</w:t>
              </w:r>
            </w:hyperlink>
          </w:p>
        </w:tc>
        <w:tc>
          <w:tcPr>
            <w:tcW w:w="3300" w:type="dxa"/>
            <w:vAlign w:val="bottom"/>
            <w:tcBorders>
              <w:bottom w:val="single" w:sz="8" w:color="0000FF"/>
            </w:tcBorders>
            <w:gridSpan w:val="14"/>
          </w:tcPr>
          <w:p>
            <w:pPr>
              <w:spacing w:after="0" w:line="153" w:lineRule="exact"/>
              <w:rPr>
                <w:rFonts w:ascii="Arial" w:cs="Arial" w:eastAsia="Arial" w:hAnsi="Arial"/>
                <w:sz w:val="14"/>
                <w:szCs w:val="14"/>
                <w:color w:val="0000FF"/>
                <w:w w:val="86"/>
              </w:rPr>
            </w:pPr>
            <w:hyperlink w:anchor="page69">
              <w:r>
                <w:rPr>
                  <w:rFonts w:ascii="Arial" w:cs="Arial" w:eastAsia="Arial" w:hAnsi="Arial"/>
                  <w:sz w:val="14"/>
                  <w:szCs w:val="14"/>
                  <w:color w:val="0000FF"/>
                  <w:w w:val="86"/>
                </w:rPr>
                <w:t>Unregistered Sales of Equity Securities and Use of Proceeds</w:t>
              </w:r>
            </w:hyperlink>
          </w:p>
        </w:tc>
        <w:tc>
          <w:tcPr>
            <w:tcW w:w="5580" w:type="dxa"/>
            <w:vAlign w:val="bottom"/>
            <w:gridSpan w:val="8"/>
          </w:tcPr>
          <w:p>
            <w:pPr>
              <w:spacing w:after="0"/>
              <w:rPr>
                <w:sz w:val="13"/>
                <w:szCs w:val="13"/>
                <w:color w:val="auto"/>
              </w:rPr>
            </w:pPr>
          </w:p>
        </w:tc>
        <w:tc>
          <w:tcPr>
            <w:tcW w:w="1440" w:type="dxa"/>
            <w:vAlign w:val="bottom"/>
          </w:tcPr>
          <w:p>
            <w:pPr>
              <w:jc w:val="center"/>
              <w:spacing w:after="0" w:line="153" w:lineRule="exact"/>
              <w:rPr>
                <w:rFonts w:ascii="Arial" w:cs="Arial" w:eastAsia="Arial" w:hAnsi="Arial"/>
                <w:sz w:val="14"/>
                <w:szCs w:val="14"/>
                <w:color w:val="auto"/>
                <w:w w:val="76"/>
              </w:rPr>
            </w:pPr>
            <w:hyperlink w:anchor="page69">
              <w:r>
                <w:rPr>
                  <w:rFonts w:ascii="Arial" w:cs="Arial" w:eastAsia="Arial" w:hAnsi="Arial"/>
                  <w:sz w:val="14"/>
                  <w:szCs w:val="14"/>
                  <w:color w:val="auto"/>
                  <w:w w:val="76"/>
                </w:rPr>
                <w:t>69</w:t>
              </w:r>
            </w:hyperlink>
          </w:p>
        </w:tc>
        <w:tc>
          <w:tcPr>
            <w:tcW w:w="40" w:type="dxa"/>
            <w:vAlign w:val="bottom"/>
          </w:tcPr>
          <w:p>
            <w:pPr>
              <w:spacing w:after="0"/>
              <w:rPr>
                <w:sz w:val="13"/>
                <w:szCs w:val="13"/>
                <w:color w:val="auto"/>
              </w:rPr>
            </w:pPr>
          </w:p>
        </w:tc>
      </w:tr>
      <w:tr>
        <w:trPr>
          <w:trHeight w:val="153"/>
        </w:trPr>
        <w:tc>
          <w:tcPr>
            <w:tcW w:w="920" w:type="dxa"/>
            <w:vAlign w:val="bottom"/>
          </w:tcPr>
          <w:p>
            <w:pPr>
              <w:ind w:left="60"/>
              <w:spacing w:after="0" w:line="153" w:lineRule="exact"/>
              <w:rPr>
                <w:rFonts w:ascii="Arial" w:cs="Arial" w:eastAsia="Arial" w:hAnsi="Arial"/>
                <w:sz w:val="14"/>
                <w:szCs w:val="14"/>
                <w:color w:val="auto"/>
              </w:rPr>
            </w:pPr>
            <w:hyperlink w:anchor="page69">
              <w:r>
                <w:rPr>
                  <w:rFonts w:ascii="Arial" w:cs="Arial" w:eastAsia="Arial" w:hAnsi="Arial"/>
                  <w:sz w:val="14"/>
                  <w:szCs w:val="14"/>
                  <w:color w:val="auto"/>
                </w:rPr>
                <w:t>Item 3.</w:t>
              </w:r>
            </w:hyperlink>
          </w:p>
        </w:tc>
        <w:tc>
          <w:tcPr>
            <w:tcW w:w="8880" w:type="dxa"/>
            <w:vAlign w:val="bottom"/>
            <w:gridSpan w:val="22"/>
          </w:tcPr>
          <w:p>
            <w:pPr>
              <w:spacing w:after="0" w:line="153" w:lineRule="exact"/>
              <w:rPr>
                <w:rFonts w:ascii="Arial" w:cs="Arial" w:eastAsia="Arial" w:hAnsi="Arial"/>
                <w:sz w:val="14"/>
                <w:szCs w:val="14"/>
                <w:color w:val="0000FF"/>
              </w:rPr>
            </w:pPr>
            <w:hyperlink w:anchor="page69">
              <w:r>
                <w:rPr>
                  <w:rFonts w:ascii="Arial" w:cs="Arial" w:eastAsia="Arial" w:hAnsi="Arial"/>
                  <w:sz w:val="14"/>
                  <w:szCs w:val="14"/>
                  <w:color w:val="0000FF"/>
                </w:rPr>
                <w:t>Defaults Upon Senior Securities</w:t>
              </w:r>
            </w:hyperlink>
          </w:p>
        </w:tc>
        <w:tc>
          <w:tcPr>
            <w:tcW w:w="1440" w:type="dxa"/>
            <w:vAlign w:val="bottom"/>
          </w:tcPr>
          <w:p>
            <w:pPr>
              <w:jc w:val="center"/>
              <w:spacing w:after="0" w:line="153" w:lineRule="exact"/>
              <w:rPr>
                <w:rFonts w:ascii="Arial" w:cs="Arial" w:eastAsia="Arial" w:hAnsi="Arial"/>
                <w:sz w:val="14"/>
                <w:szCs w:val="14"/>
                <w:color w:val="auto"/>
                <w:w w:val="76"/>
              </w:rPr>
            </w:pPr>
            <w:hyperlink w:anchor="page69">
              <w:r>
                <w:rPr>
                  <w:rFonts w:ascii="Arial" w:cs="Arial" w:eastAsia="Arial" w:hAnsi="Arial"/>
                  <w:sz w:val="14"/>
                  <w:szCs w:val="14"/>
                  <w:color w:val="auto"/>
                  <w:w w:val="76"/>
                </w:rPr>
                <w:t>69</w:t>
              </w:r>
            </w:hyperlink>
          </w:p>
        </w:tc>
        <w:tc>
          <w:tcPr>
            <w:tcW w:w="40" w:type="dxa"/>
            <w:vAlign w:val="bottom"/>
          </w:tcPr>
          <w:p>
            <w:pPr>
              <w:spacing w:after="0"/>
              <w:rPr>
                <w:sz w:val="13"/>
                <w:szCs w:val="13"/>
                <w:color w:val="auto"/>
              </w:rPr>
            </w:pPr>
          </w:p>
        </w:tc>
      </w:tr>
      <w:tr>
        <w:trPr>
          <w:trHeight w:val="153"/>
        </w:trPr>
        <w:tc>
          <w:tcPr>
            <w:tcW w:w="920" w:type="dxa"/>
            <w:vAlign w:val="bottom"/>
          </w:tcPr>
          <w:p>
            <w:pPr>
              <w:ind w:left="60"/>
              <w:spacing w:after="0" w:line="153" w:lineRule="exact"/>
              <w:rPr>
                <w:rFonts w:ascii="Arial" w:cs="Arial" w:eastAsia="Arial" w:hAnsi="Arial"/>
                <w:sz w:val="14"/>
                <w:szCs w:val="14"/>
                <w:color w:val="auto"/>
              </w:rPr>
            </w:pPr>
            <w:hyperlink w:anchor="page69">
              <w:r>
                <w:rPr>
                  <w:rFonts w:ascii="Arial" w:cs="Arial" w:eastAsia="Arial" w:hAnsi="Arial"/>
                  <w:sz w:val="14"/>
                  <w:szCs w:val="14"/>
                  <w:color w:val="auto"/>
                </w:rPr>
                <w:t>Item 4.</w:t>
              </w:r>
            </w:hyperlink>
          </w:p>
        </w:tc>
        <w:tc>
          <w:tcPr>
            <w:tcW w:w="1760" w:type="dxa"/>
            <w:vAlign w:val="bottom"/>
            <w:tcBorders>
              <w:top w:val="single" w:sz="8" w:color="0000FF"/>
            </w:tcBorders>
            <w:gridSpan w:val="11"/>
          </w:tcPr>
          <w:p>
            <w:pPr>
              <w:spacing w:after="0" w:line="153" w:lineRule="exact"/>
              <w:rPr>
                <w:rFonts w:ascii="Arial" w:cs="Arial" w:eastAsia="Arial" w:hAnsi="Arial"/>
                <w:sz w:val="14"/>
                <w:szCs w:val="14"/>
                <w:color w:val="0000FF"/>
              </w:rPr>
            </w:pPr>
            <w:hyperlink w:anchor="page69">
              <w:r>
                <w:rPr>
                  <w:rFonts w:ascii="Arial" w:cs="Arial" w:eastAsia="Arial" w:hAnsi="Arial"/>
                  <w:sz w:val="14"/>
                  <w:szCs w:val="14"/>
                  <w:color w:val="0000FF"/>
                </w:rPr>
                <w:t>Mine Safety Disclosures</w:t>
              </w:r>
            </w:hyperlink>
          </w:p>
        </w:tc>
        <w:tc>
          <w:tcPr>
            <w:tcW w:w="7120" w:type="dxa"/>
            <w:vAlign w:val="bottom"/>
            <w:gridSpan w:val="11"/>
          </w:tcPr>
          <w:p>
            <w:pPr>
              <w:spacing w:after="0"/>
              <w:rPr>
                <w:sz w:val="13"/>
                <w:szCs w:val="13"/>
                <w:color w:val="auto"/>
              </w:rPr>
            </w:pPr>
          </w:p>
        </w:tc>
        <w:tc>
          <w:tcPr>
            <w:tcW w:w="1440" w:type="dxa"/>
            <w:vAlign w:val="bottom"/>
          </w:tcPr>
          <w:p>
            <w:pPr>
              <w:jc w:val="center"/>
              <w:spacing w:after="0" w:line="153" w:lineRule="exact"/>
              <w:rPr>
                <w:rFonts w:ascii="Arial" w:cs="Arial" w:eastAsia="Arial" w:hAnsi="Arial"/>
                <w:sz w:val="14"/>
                <w:szCs w:val="14"/>
                <w:color w:val="auto"/>
                <w:w w:val="76"/>
              </w:rPr>
            </w:pPr>
            <w:hyperlink w:anchor="page69">
              <w:r>
                <w:rPr>
                  <w:rFonts w:ascii="Arial" w:cs="Arial" w:eastAsia="Arial" w:hAnsi="Arial"/>
                  <w:sz w:val="14"/>
                  <w:szCs w:val="14"/>
                  <w:color w:val="auto"/>
                  <w:w w:val="76"/>
                </w:rPr>
                <w:t>69</w:t>
              </w:r>
            </w:hyperlink>
          </w:p>
        </w:tc>
        <w:tc>
          <w:tcPr>
            <w:tcW w:w="40" w:type="dxa"/>
            <w:vAlign w:val="bottom"/>
          </w:tcPr>
          <w:p>
            <w:pPr>
              <w:spacing w:after="0"/>
              <w:rPr>
                <w:sz w:val="13"/>
                <w:szCs w:val="13"/>
                <w:color w:val="auto"/>
              </w:rPr>
            </w:pPr>
          </w:p>
        </w:tc>
      </w:tr>
      <w:tr>
        <w:trPr>
          <w:trHeight w:val="153"/>
        </w:trPr>
        <w:tc>
          <w:tcPr>
            <w:tcW w:w="920" w:type="dxa"/>
            <w:vAlign w:val="bottom"/>
          </w:tcPr>
          <w:p>
            <w:pPr>
              <w:ind w:left="60"/>
              <w:spacing w:after="0" w:line="153" w:lineRule="exact"/>
              <w:rPr>
                <w:rFonts w:ascii="Arial" w:cs="Arial" w:eastAsia="Arial" w:hAnsi="Arial"/>
                <w:sz w:val="14"/>
                <w:szCs w:val="14"/>
                <w:color w:val="auto"/>
              </w:rPr>
            </w:pPr>
            <w:hyperlink w:anchor="page69">
              <w:r>
                <w:rPr>
                  <w:rFonts w:ascii="Arial" w:cs="Arial" w:eastAsia="Arial" w:hAnsi="Arial"/>
                  <w:sz w:val="14"/>
                  <w:szCs w:val="14"/>
                  <w:color w:val="auto"/>
                </w:rPr>
                <w:t>Item 5.</w:t>
              </w:r>
            </w:hyperlink>
          </w:p>
        </w:tc>
        <w:tc>
          <w:tcPr>
            <w:tcW w:w="1340" w:type="dxa"/>
            <w:vAlign w:val="bottom"/>
            <w:tcBorders>
              <w:top w:val="single" w:sz="8" w:color="0000FF"/>
            </w:tcBorders>
            <w:gridSpan w:val="7"/>
          </w:tcPr>
          <w:p>
            <w:pPr>
              <w:spacing w:after="0" w:line="153" w:lineRule="exact"/>
              <w:rPr>
                <w:rFonts w:ascii="Arial" w:cs="Arial" w:eastAsia="Arial" w:hAnsi="Arial"/>
                <w:sz w:val="14"/>
                <w:szCs w:val="14"/>
                <w:color w:val="0000FF"/>
              </w:rPr>
            </w:pPr>
            <w:hyperlink w:anchor="page69">
              <w:r>
                <w:rPr>
                  <w:rFonts w:ascii="Arial" w:cs="Arial" w:eastAsia="Arial" w:hAnsi="Arial"/>
                  <w:sz w:val="14"/>
                  <w:szCs w:val="14"/>
                  <w:color w:val="0000FF"/>
                </w:rPr>
                <w:t>Other Information</w:t>
              </w:r>
            </w:hyperlink>
          </w:p>
        </w:tc>
        <w:tc>
          <w:tcPr>
            <w:tcW w:w="7540" w:type="dxa"/>
            <w:vAlign w:val="bottom"/>
            <w:gridSpan w:val="15"/>
          </w:tcPr>
          <w:p>
            <w:pPr>
              <w:spacing w:after="0"/>
              <w:rPr>
                <w:sz w:val="13"/>
                <w:szCs w:val="13"/>
                <w:color w:val="auto"/>
              </w:rPr>
            </w:pPr>
          </w:p>
        </w:tc>
        <w:tc>
          <w:tcPr>
            <w:tcW w:w="1440" w:type="dxa"/>
            <w:vAlign w:val="bottom"/>
          </w:tcPr>
          <w:p>
            <w:pPr>
              <w:jc w:val="center"/>
              <w:spacing w:after="0" w:line="153" w:lineRule="exact"/>
              <w:rPr>
                <w:rFonts w:ascii="Arial" w:cs="Arial" w:eastAsia="Arial" w:hAnsi="Arial"/>
                <w:sz w:val="14"/>
                <w:szCs w:val="14"/>
                <w:color w:val="auto"/>
                <w:w w:val="76"/>
              </w:rPr>
            </w:pPr>
            <w:hyperlink w:anchor="page69">
              <w:r>
                <w:rPr>
                  <w:rFonts w:ascii="Arial" w:cs="Arial" w:eastAsia="Arial" w:hAnsi="Arial"/>
                  <w:sz w:val="14"/>
                  <w:szCs w:val="14"/>
                  <w:color w:val="auto"/>
                  <w:w w:val="76"/>
                </w:rPr>
                <w:t>69</w:t>
              </w:r>
            </w:hyperlink>
          </w:p>
        </w:tc>
        <w:tc>
          <w:tcPr>
            <w:tcW w:w="40" w:type="dxa"/>
            <w:vAlign w:val="bottom"/>
          </w:tcPr>
          <w:p>
            <w:pPr>
              <w:spacing w:after="0"/>
              <w:rPr>
                <w:sz w:val="13"/>
                <w:szCs w:val="13"/>
                <w:color w:val="auto"/>
              </w:rPr>
            </w:pPr>
          </w:p>
        </w:tc>
      </w:tr>
      <w:tr>
        <w:trPr>
          <w:trHeight w:val="153"/>
        </w:trPr>
        <w:tc>
          <w:tcPr>
            <w:tcW w:w="920" w:type="dxa"/>
            <w:vAlign w:val="bottom"/>
          </w:tcPr>
          <w:p>
            <w:pPr>
              <w:ind w:left="60"/>
              <w:spacing w:after="0" w:line="153" w:lineRule="exact"/>
              <w:rPr>
                <w:rFonts w:ascii="Arial" w:cs="Arial" w:eastAsia="Arial" w:hAnsi="Arial"/>
                <w:sz w:val="14"/>
                <w:szCs w:val="14"/>
                <w:color w:val="auto"/>
              </w:rPr>
            </w:pPr>
            <w:hyperlink w:anchor="page69">
              <w:r>
                <w:rPr>
                  <w:rFonts w:ascii="Arial" w:cs="Arial" w:eastAsia="Arial" w:hAnsi="Arial"/>
                  <w:sz w:val="14"/>
                  <w:szCs w:val="14"/>
                  <w:color w:val="auto"/>
                </w:rPr>
                <w:t>Item 6.</w:t>
              </w:r>
            </w:hyperlink>
          </w:p>
        </w:tc>
        <w:tc>
          <w:tcPr>
            <w:tcW w:w="1000" w:type="dxa"/>
            <w:vAlign w:val="bottom"/>
            <w:tcBorders>
              <w:top w:val="single" w:sz="8" w:color="0000FF"/>
            </w:tcBorders>
            <w:gridSpan w:val="5"/>
          </w:tcPr>
          <w:p>
            <w:pPr>
              <w:spacing w:after="0" w:line="153" w:lineRule="exact"/>
              <w:rPr>
                <w:rFonts w:ascii="Arial" w:cs="Arial" w:eastAsia="Arial" w:hAnsi="Arial"/>
                <w:sz w:val="14"/>
                <w:szCs w:val="14"/>
                <w:color w:val="0000FF"/>
              </w:rPr>
            </w:pPr>
            <w:hyperlink w:anchor="page69">
              <w:r>
                <w:rPr>
                  <w:rFonts w:ascii="Arial" w:cs="Arial" w:eastAsia="Arial" w:hAnsi="Arial"/>
                  <w:sz w:val="14"/>
                  <w:szCs w:val="14"/>
                  <w:color w:val="0000FF"/>
                </w:rPr>
                <w:t>Exhibits</w:t>
              </w:r>
            </w:hyperlink>
          </w:p>
        </w:tc>
        <w:tc>
          <w:tcPr>
            <w:tcW w:w="7880" w:type="dxa"/>
            <w:vAlign w:val="bottom"/>
            <w:gridSpan w:val="17"/>
          </w:tcPr>
          <w:p>
            <w:pPr>
              <w:spacing w:after="0"/>
              <w:rPr>
                <w:sz w:val="13"/>
                <w:szCs w:val="13"/>
                <w:color w:val="auto"/>
              </w:rPr>
            </w:pPr>
          </w:p>
        </w:tc>
        <w:tc>
          <w:tcPr>
            <w:tcW w:w="1440" w:type="dxa"/>
            <w:vAlign w:val="bottom"/>
          </w:tcPr>
          <w:p>
            <w:pPr>
              <w:jc w:val="center"/>
              <w:spacing w:after="0" w:line="153" w:lineRule="exact"/>
              <w:rPr>
                <w:rFonts w:ascii="Arial" w:cs="Arial" w:eastAsia="Arial" w:hAnsi="Arial"/>
                <w:sz w:val="14"/>
                <w:szCs w:val="14"/>
                <w:color w:val="auto"/>
                <w:w w:val="76"/>
              </w:rPr>
            </w:pPr>
            <w:hyperlink w:anchor="page69">
              <w:r>
                <w:rPr>
                  <w:rFonts w:ascii="Arial" w:cs="Arial" w:eastAsia="Arial" w:hAnsi="Arial"/>
                  <w:sz w:val="14"/>
                  <w:szCs w:val="14"/>
                  <w:color w:val="auto"/>
                  <w:w w:val="76"/>
                </w:rPr>
                <w:t>70</w:t>
              </w:r>
            </w:hyperlink>
          </w:p>
        </w:tc>
        <w:tc>
          <w:tcPr>
            <w:tcW w:w="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300" w:type="dxa"/>
            <w:vAlign w:val="bottom"/>
            <w:gridSpan w:val="1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3"/>
        </w:trPr>
        <w:tc>
          <w:tcPr>
            <w:tcW w:w="920" w:type="dxa"/>
            <w:vAlign w:val="bottom"/>
          </w:tcPr>
          <w:p>
            <w:pPr>
              <w:spacing w:after="0"/>
              <w:rPr>
                <w:sz w:val="13"/>
                <w:szCs w:val="13"/>
                <w:color w:val="auto"/>
              </w:rPr>
            </w:pPr>
          </w:p>
        </w:tc>
        <w:tc>
          <w:tcPr>
            <w:tcW w:w="8880" w:type="dxa"/>
            <w:vAlign w:val="bottom"/>
            <w:gridSpan w:val="22"/>
          </w:tcPr>
          <w:p>
            <w:pPr>
              <w:spacing w:after="0" w:line="153" w:lineRule="exact"/>
              <w:rPr>
                <w:rFonts w:ascii="Arial" w:cs="Arial" w:eastAsia="Arial" w:hAnsi="Arial"/>
                <w:sz w:val="14"/>
                <w:szCs w:val="14"/>
                <w:color w:val="0000FF"/>
              </w:rPr>
            </w:pPr>
            <w:hyperlink w:anchor="page70">
              <w:r>
                <w:rPr>
                  <w:rFonts w:ascii="Arial" w:cs="Arial" w:eastAsia="Arial" w:hAnsi="Arial"/>
                  <w:sz w:val="14"/>
                  <w:szCs w:val="14"/>
                  <w:color w:val="0000FF"/>
                </w:rPr>
                <w:t>Signatures</w:t>
              </w:r>
            </w:hyperlink>
          </w:p>
        </w:tc>
        <w:tc>
          <w:tcPr>
            <w:tcW w:w="1440" w:type="dxa"/>
            <w:vAlign w:val="bottom"/>
          </w:tcPr>
          <w:p>
            <w:pPr>
              <w:jc w:val="center"/>
              <w:spacing w:after="0" w:line="153" w:lineRule="exact"/>
              <w:rPr>
                <w:rFonts w:ascii="Arial" w:cs="Arial" w:eastAsia="Arial" w:hAnsi="Arial"/>
                <w:sz w:val="14"/>
                <w:szCs w:val="14"/>
                <w:color w:val="auto"/>
                <w:w w:val="76"/>
              </w:rPr>
            </w:pPr>
            <w:hyperlink w:anchor="page70">
              <w:r>
                <w:rPr>
                  <w:rFonts w:ascii="Arial" w:cs="Arial" w:eastAsia="Arial" w:hAnsi="Arial"/>
                  <w:sz w:val="14"/>
                  <w:szCs w:val="14"/>
                  <w:color w:val="auto"/>
                  <w:w w:val="76"/>
                </w:rPr>
                <w:t>71</w:t>
              </w:r>
            </w:hyperlink>
          </w:p>
        </w:tc>
        <w:tc>
          <w:tcPr>
            <w:tcW w:w="40" w:type="dxa"/>
            <w:vAlign w:val="bottom"/>
          </w:tcPr>
          <w:p>
            <w:pPr>
              <w:spacing w:after="0"/>
              <w:rPr>
                <w:sz w:val="13"/>
                <w:szCs w:val="13"/>
                <w:color w:val="auto"/>
              </w:rPr>
            </w:pPr>
          </w:p>
        </w:tc>
      </w:tr>
      <w:tr>
        <w:trPr>
          <w:trHeight w:val="846"/>
        </w:trPr>
        <w:tc>
          <w:tcPr>
            <w:tcW w:w="920" w:type="dxa"/>
            <w:vAlign w:val="bottom"/>
          </w:tcPr>
          <w:p>
            <w:pPr>
              <w:spacing w:after="0"/>
              <w:rPr>
                <w:sz w:val="24"/>
                <w:szCs w:val="24"/>
                <w:color w:val="auto"/>
              </w:rPr>
            </w:pPr>
          </w:p>
        </w:tc>
        <w:tc>
          <w:tcPr>
            <w:tcW w:w="580" w:type="dxa"/>
            <w:vAlign w:val="bottom"/>
            <w:tcBorders>
              <w:top w:val="single" w:sz="8" w:color="0000FF"/>
            </w:tcBorders>
            <w:gridSpan w:val="3"/>
          </w:tcPr>
          <w:p>
            <w:pPr>
              <w:spacing w:after="0"/>
              <w:rPr>
                <w:sz w:val="24"/>
                <w:szCs w:val="24"/>
                <w:color w:val="auto"/>
              </w:rPr>
            </w:pPr>
          </w:p>
        </w:tc>
        <w:tc>
          <w:tcPr>
            <w:tcW w:w="4300" w:type="dxa"/>
            <w:vAlign w:val="bottom"/>
            <w:gridSpan w:val="14"/>
          </w:tcPr>
          <w:p>
            <w:pPr>
              <w:jc w:val="center"/>
              <w:ind w:left="3932"/>
              <w:spacing w:after="0"/>
              <w:rPr>
                <w:sz w:val="20"/>
                <w:szCs w:val="20"/>
                <w:color w:val="auto"/>
              </w:rPr>
            </w:pPr>
            <w:r>
              <w:rPr>
                <w:rFonts w:ascii="Arial" w:cs="Arial" w:eastAsia="Arial" w:hAnsi="Arial"/>
                <w:sz w:val="14"/>
                <w:szCs w:val="14"/>
                <w:color w:val="auto"/>
                <w:w w:val="76"/>
              </w:rPr>
              <w:t>2</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3"/>
        </w:trPr>
        <w:tc>
          <w:tcPr>
            <w:tcW w:w="9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-24765</wp:posOffset>
            </wp:positionV>
            <wp:extent cx="3175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-24765</wp:posOffset>
            </wp:positionV>
            <wp:extent cx="3175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86" w:lineRule="exact"/>
        <w:rPr>
          <w:sz w:val="20"/>
          <w:szCs w:val="20"/>
          <w:color w:val="auto"/>
        </w:rPr>
      </w:pPr>
    </w:p>
    <w:p>
      <w:pPr>
        <w:jc w:val="both"/>
        <w:ind w:firstLine="367"/>
        <w:spacing w:after="0" w:line="289" w:lineRule="auto"/>
        <w:rPr>
          <w:sz w:val="20"/>
          <w:szCs w:val="20"/>
          <w:color w:val="auto"/>
        </w:rPr>
      </w:pPr>
      <w:r>
        <w:rPr>
          <w:rFonts w:ascii="Arial" w:cs="Arial" w:eastAsia="Arial" w:hAnsi="Arial"/>
          <w:sz w:val="12"/>
          <w:szCs w:val="12"/>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platform; our plans, objectives, expectations and intentions with respect to the combined company; the anticipated timing of closing of the proposed acquisition; our product strategy; our efforts to enhance the security and privacy of our platform; the potential impacts of the COVID-19 pandemic and related public health measures on our business, the business of our customers, suppliers and channel partners, and the economy;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210"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40"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67"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35"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RISK FACTORS</w:t>
      </w:r>
    </w:p>
    <w:p>
      <w:pPr>
        <w:spacing w:after="0" w:line="86"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spacing w:after="0" w:line="58" w:lineRule="exact"/>
        <w:rPr>
          <w:sz w:val="20"/>
          <w:szCs w:val="20"/>
          <w:color w:val="auto"/>
        </w:rPr>
      </w:pPr>
    </w:p>
    <w:p>
      <w:pPr>
        <w:ind w:left="500" w:hanging="131"/>
        <w:spacing w:after="0" w:line="261"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57" w:lineRule="exact"/>
        <w:rPr>
          <w:rFonts w:ascii="Arial" w:cs="Arial" w:eastAsia="Arial" w:hAnsi="Arial"/>
          <w:sz w:val="14"/>
          <w:szCs w:val="14"/>
          <w:color w:val="auto"/>
        </w:rPr>
      </w:pPr>
    </w:p>
    <w:p>
      <w:pPr>
        <w:jc w:val="both"/>
        <w:ind w:left="500" w:hanging="131"/>
        <w:spacing w:after="0" w:line="252"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Beginning in the fiscal quarter ended April 30, 2020, we faced unprecedented usage of our communications platform largely due to the COVID-19 pandemic. We expect our user growth rate to slow or decline once the impact of the COVID-19 pandemic tapers, particularly as vaccines become widely available and distributed, and users return to work or school or are otherwise no longer subject to limitations on in-person meetings.</w:t>
      </w:r>
    </w:p>
    <w:p>
      <w:pPr>
        <w:spacing w:after="0" w:line="64" w:lineRule="exact"/>
        <w:rPr>
          <w:rFonts w:ascii="Arial" w:cs="Arial" w:eastAsia="Arial" w:hAnsi="Arial"/>
          <w:sz w:val="14"/>
          <w:szCs w:val="14"/>
          <w:color w:val="auto"/>
        </w:rPr>
      </w:pPr>
    </w:p>
    <w:p>
      <w:pPr>
        <w:ind w:left="500" w:hanging="131"/>
        <w:spacing w:after="0" w:line="261"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57" w:lineRule="exact"/>
        <w:rPr>
          <w:rFonts w:ascii="Arial" w:cs="Arial" w:eastAsia="Arial" w:hAnsi="Arial"/>
          <w:sz w:val="14"/>
          <w:szCs w:val="14"/>
          <w:color w:val="auto"/>
        </w:rPr>
      </w:pPr>
    </w:p>
    <w:p>
      <w:pPr>
        <w:ind w:left="480" w:hanging="11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operate in competitive markets, and we must continue to compete effectively.</w:t>
      </w:r>
    </w:p>
    <w:p>
      <w:pPr>
        <w:spacing w:after="0" w:line="83" w:lineRule="exact"/>
        <w:rPr>
          <w:rFonts w:ascii="Arial" w:cs="Arial" w:eastAsia="Arial" w:hAnsi="Arial"/>
          <w:sz w:val="14"/>
          <w:szCs w:val="14"/>
          <w:color w:val="auto"/>
        </w:rPr>
      </w:pPr>
    </w:p>
    <w:p>
      <w:pPr>
        <w:ind w:left="480" w:hanging="11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not be able to sustain our revenue growth rate in the future, and we expect our revenue growth rate to generally decline in future periods.</w:t>
      </w:r>
    </w:p>
    <w:p>
      <w:pPr>
        <w:spacing w:after="0" w:line="83" w:lineRule="exact"/>
        <w:rPr>
          <w:rFonts w:ascii="Arial" w:cs="Arial" w:eastAsia="Arial" w:hAnsi="Arial"/>
          <w:sz w:val="14"/>
          <w:szCs w:val="14"/>
          <w:color w:val="auto"/>
        </w:rPr>
      </w:pPr>
    </w:p>
    <w:p>
      <w:pPr>
        <w:ind w:left="500" w:hanging="131"/>
        <w:spacing w:after="0" w:line="261"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7" w:lineRule="exact"/>
        <w:rPr>
          <w:rFonts w:ascii="Arial" w:cs="Arial" w:eastAsia="Arial" w:hAnsi="Arial"/>
          <w:sz w:val="14"/>
          <w:szCs w:val="14"/>
          <w:color w:val="auto"/>
        </w:rPr>
      </w:pPr>
    </w:p>
    <w:p>
      <w:pPr>
        <w:ind w:left="480" w:hanging="11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we increase sales to large organizations, our sales cycles could lengthen, and we could experience greater deployment challenges.</w:t>
      </w:r>
    </w:p>
    <w:p>
      <w:pPr>
        <w:spacing w:after="0" w:line="83" w:lineRule="exact"/>
        <w:rPr>
          <w:rFonts w:ascii="Arial" w:cs="Arial" w:eastAsia="Arial" w:hAnsi="Arial"/>
          <w:sz w:val="14"/>
          <w:szCs w:val="14"/>
          <w:color w:val="auto"/>
        </w:rPr>
      </w:pPr>
    </w:p>
    <w:p>
      <w:pPr>
        <w:ind w:left="500" w:hanging="131"/>
        <w:spacing w:after="0" w:line="261"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generate revenue from sales of subscriptions to our platform, and any decline in demand for our platform or for communications and collaboration technologies in general would harm our business.</w:t>
      </w:r>
    </w:p>
    <w:p>
      <w:pPr>
        <w:spacing w:after="0" w:line="57" w:lineRule="exact"/>
        <w:rPr>
          <w:rFonts w:ascii="Arial" w:cs="Arial" w:eastAsia="Arial" w:hAnsi="Arial"/>
          <w:sz w:val="14"/>
          <w:szCs w:val="14"/>
          <w:color w:val="auto"/>
        </w:rPr>
      </w:pPr>
    </w:p>
    <w:p>
      <w:pPr>
        <w:ind w:left="480" w:hanging="11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experienced net losses in the past, and we expect to increase our expenses in the future, which could prevent us from maintaining profitability.</w:t>
      </w:r>
    </w:p>
    <w:p>
      <w:pPr>
        <w:spacing w:after="0" w:line="83" w:lineRule="exact"/>
        <w:rPr>
          <w:rFonts w:ascii="Arial" w:cs="Arial" w:eastAsia="Arial" w:hAnsi="Arial"/>
          <w:sz w:val="14"/>
          <w:szCs w:val="14"/>
          <w:color w:val="auto"/>
        </w:rPr>
      </w:pPr>
    </w:p>
    <w:p>
      <w:pPr>
        <w:ind w:left="480" w:hanging="11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not be able to respond to rapid technological changes, extend our platform or develop new features.</w:t>
      </w:r>
    </w:p>
    <w:p>
      <w:pPr>
        <w:spacing w:after="0" w:line="83" w:lineRule="exact"/>
        <w:rPr>
          <w:rFonts w:ascii="Arial" w:cs="Arial" w:eastAsia="Arial" w:hAnsi="Arial"/>
          <w:sz w:val="14"/>
          <w:szCs w:val="14"/>
          <w:color w:val="auto"/>
        </w:rPr>
      </w:pPr>
    </w:p>
    <w:p>
      <w:pPr>
        <w:jc w:val="both"/>
        <w:ind w:left="500" w:hanging="131"/>
        <w:spacing w:after="0" w:line="314" w:lineRule="auto"/>
        <w:tabs>
          <w:tab w:leader="none" w:pos="496"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29" w:lineRule="exact"/>
        <w:rPr>
          <w:rFonts w:ascii="Arial" w:cs="Arial" w:eastAsia="Arial" w:hAnsi="Arial"/>
          <w:sz w:val="12"/>
          <w:szCs w:val="12"/>
          <w:color w:val="auto"/>
        </w:rPr>
      </w:pPr>
    </w:p>
    <w:p>
      <w:pPr>
        <w:ind w:left="480" w:hanging="11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a limited operating history at the current scale of our business, which makes it difficult to evaluate our prospects and future results of operations.</w:t>
      </w:r>
    </w:p>
    <w:p>
      <w:pPr>
        <w:spacing w:after="0" w:line="83" w:lineRule="exact"/>
        <w:rPr>
          <w:rFonts w:ascii="Arial" w:cs="Arial" w:eastAsia="Arial" w:hAnsi="Arial"/>
          <w:sz w:val="14"/>
          <w:szCs w:val="14"/>
          <w:color w:val="auto"/>
        </w:rPr>
      </w:pPr>
    </w:p>
    <w:p>
      <w:pPr>
        <w:ind w:left="500" w:hanging="131"/>
        <w:spacing w:after="0" w:line="261"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57" w:lineRule="exact"/>
        <w:rPr>
          <w:rFonts w:ascii="Arial" w:cs="Arial" w:eastAsia="Arial" w:hAnsi="Arial"/>
          <w:sz w:val="14"/>
          <w:szCs w:val="14"/>
          <w:color w:val="auto"/>
        </w:rPr>
      </w:pPr>
    </w:p>
    <w:p>
      <w:pPr>
        <w:ind w:left="480" w:hanging="11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were to lose the services of our Chief Executive Officer or other members of our senior management team, we may not be able to execute our business strategy.</w:t>
      </w:r>
    </w:p>
    <w:p>
      <w:pPr>
        <w:spacing w:after="0" w:line="83" w:lineRule="exact"/>
        <w:rPr>
          <w:rFonts w:ascii="Arial" w:cs="Arial" w:eastAsia="Arial" w:hAnsi="Arial"/>
          <w:sz w:val="14"/>
          <w:szCs w:val="14"/>
          <w:color w:val="auto"/>
        </w:rPr>
      </w:pPr>
    </w:p>
    <w:p>
      <w:pPr>
        <w:ind w:left="480" w:hanging="111"/>
        <w:spacing w:after="0"/>
        <w:tabs>
          <w:tab w:leader="none" w:pos="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have significant and expanding operations outside the United States, which may subject us to increased business, regulatory and economic risks that could harm our business.</w:t>
      </w:r>
    </w:p>
    <w:p>
      <w:pPr>
        <w:spacing w:after="0" w:line="106" w:lineRule="exact"/>
        <w:rPr>
          <w:rFonts w:ascii="Arial" w:cs="Arial" w:eastAsia="Arial" w:hAnsi="Arial"/>
          <w:sz w:val="12"/>
          <w:szCs w:val="12"/>
          <w:color w:val="auto"/>
        </w:rPr>
      </w:pPr>
    </w:p>
    <w:p>
      <w:pPr>
        <w:ind w:left="500" w:hanging="131"/>
        <w:spacing w:after="0" w:line="345" w:lineRule="auto"/>
        <w:tabs>
          <w:tab w:leader="none" w:pos="496"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11" w:lineRule="exact"/>
        <w:rPr>
          <w:rFonts w:ascii="Arial" w:cs="Arial" w:eastAsia="Arial" w:hAnsi="Arial"/>
          <w:sz w:val="12"/>
          <w:szCs w:val="12"/>
          <w:color w:val="auto"/>
        </w:rPr>
      </w:pPr>
    </w:p>
    <w:p>
      <w:pPr>
        <w:ind w:left="500" w:hanging="131"/>
        <w:spacing w:after="0" w:line="261"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ind w:left="500" w:hanging="131"/>
        <w:spacing w:after="0" w:line="345" w:lineRule="auto"/>
        <w:tabs>
          <w:tab w:leader="none" w:pos="496"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I—Financial Information</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FINANCIAL STATEMENTS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ZOOM VIDEO COMMUNICATIONS,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78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As of</w:t>
            </w: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7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gridSpan w:val="2"/>
          </w:tcPr>
          <w:p>
            <w:pPr>
              <w:jc w:val="center"/>
              <w:ind w:right="400"/>
              <w:spacing w:after="0" w:line="97" w:lineRule="exact"/>
              <w:rPr>
                <w:sz w:val="20"/>
                <w:szCs w:val="20"/>
                <w:color w:val="auto"/>
              </w:rPr>
            </w:pPr>
            <w:r>
              <w:rPr>
                <w:rFonts w:ascii="Arial" w:cs="Arial" w:eastAsia="Arial" w:hAnsi="Arial"/>
                <w:sz w:val="11"/>
                <w:szCs w:val="11"/>
                <w:b w:val="1"/>
                <w:bCs w:val="1"/>
                <w:color w:val="auto"/>
                <w:w w:val="92"/>
              </w:rPr>
              <w:t>October 31,</w:t>
            </w:r>
          </w:p>
        </w:tc>
        <w:tc>
          <w:tcPr>
            <w:tcW w:w="300" w:type="dxa"/>
            <w:vAlign w:val="bottom"/>
          </w:tcPr>
          <w:p>
            <w:pPr>
              <w:spacing w:after="0"/>
              <w:rPr>
                <w:sz w:val="8"/>
                <w:szCs w:val="8"/>
                <w:color w:val="auto"/>
              </w:rPr>
            </w:pPr>
          </w:p>
        </w:tc>
        <w:tc>
          <w:tcPr>
            <w:tcW w:w="1340" w:type="dxa"/>
            <w:vAlign w:val="bottom"/>
          </w:tcPr>
          <w:p>
            <w:pPr>
              <w:jc w:val="right"/>
              <w:ind w:right="499"/>
              <w:spacing w:after="0" w:line="97" w:lineRule="exact"/>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42"/>
        </w:trPr>
        <w:tc>
          <w:tcPr>
            <w:tcW w:w="78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239"/>
              <w:spacing w:after="0"/>
              <w:rPr>
                <w:sz w:val="20"/>
                <w:szCs w:val="20"/>
                <w:color w:val="auto"/>
              </w:rPr>
            </w:pPr>
            <w:r>
              <w:rPr>
                <w:rFonts w:ascii="Arial" w:cs="Arial" w:eastAsia="Arial" w:hAnsi="Arial"/>
                <w:sz w:val="11"/>
                <w:szCs w:val="11"/>
                <w:b w:val="1"/>
                <w:bCs w:val="1"/>
                <w:color w:val="auto"/>
                <w:w w:val="81"/>
              </w:rPr>
              <w:t>2021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54"/>
        </w:trPr>
        <w:tc>
          <w:tcPr>
            <w:tcW w:w="7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center"/>
              <w:ind w:right="400"/>
              <w:spacing w:after="0"/>
              <w:rPr>
                <w:sz w:val="20"/>
                <w:szCs w:val="20"/>
                <w:color w:val="auto"/>
              </w:rPr>
            </w:pPr>
            <w:r>
              <w:rPr>
                <w:rFonts w:ascii="Arial" w:cs="Arial" w:eastAsia="Arial" w:hAnsi="Arial"/>
                <w:sz w:val="12"/>
                <w:szCs w:val="12"/>
                <w:color w:val="auto"/>
                <w:w w:val="92"/>
              </w:rPr>
              <w:t>(unaudited)</w:t>
            </w: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840" w:type="dxa"/>
            <w:vAlign w:val="bottom"/>
          </w:tcPr>
          <w:p>
            <w:pPr>
              <w:spacing w:after="0"/>
              <w:rPr>
                <w:sz w:val="20"/>
                <w:szCs w:val="20"/>
                <w:color w:val="auto"/>
              </w:rPr>
            </w:pPr>
            <w:r>
              <w:rPr>
                <w:rFonts w:ascii="Arial" w:cs="Arial" w:eastAsia="Arial" w:hAnsi="Arial"/>
                <w:sz w:val="12"/>
                <w:szCs w:val="12"/>
                <w:color w:val="auto"/>
              </w:rPr>
              <w:t>Current assets:</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1,322,435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2,240,303</w:t>
            </w:r>
          </w:p>
        </w:tc>
        <w:tc>
          <w:tcPr>
            <w:tcW w:w="0" w:type="dxa"/>
            <w:vAlign w:val="bottom"/>
          </w:tcPr>
          <w:p>
            <w:pPr>
              <w:spacing w:after="0"/>
              <w:rPr>
                <w:sz w:val="1"/>
                <w:szCs w:val="1"/>
                <w:color w:val="auto"/>
              </w:rPr>
            </w:pPr>
          </w:p>
        </w:tc>
      </w:tr>
      <w:tr>
        <w:trPr>
          <w:trHeight w:val="161"/>
        </w:trPr>
        <w:tc>
          <w:tcPr>
            <w:tcW w:w="7840" w:type="dxa"/>
            <w:vAlign w:val="bottom"/>
          </w:tcPr>
          <w:p>
            <w:pPr>
              <w:ind w:left="160"/>
              <w:spacing w:after="0"/>
              <w:rPr>
                <w:sz w:val="20"/>
                <w:szCs w:val="20"/>
                <w:color w:val="auto"/>
              </w:rPr>
            </w:pPr>
            <w:r>
              <w:rPr>
                <w:rFonts w:ascii="Arial" w:cs="Arial" w:eastAsia="Arial" w:hAnsi="Arial"/>
                <w:sz w:val="12"/>
                <w:szCs w:val="12"/>
                <w:color w:val="auto"/>
              </w:rPr>
              <w:t>Marketable securities</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4,095,520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2,004,410</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receivable, net of allowances of $34,078 and $36,844 as of October 31, 2021 and January 31, 2021, respectively</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377,874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294,703</w:t>
            </w:r>
          </w:p>
        </w:tc>
        <w:tc>
          <w:tcPr>
            <w:tcW w:w="0" w:type="dxa"/>
            <w:vAlign w:val="bottom"/>
          </w:tcPr>
          <w:p>
            <w:pPr>
              <w:spacing w:after="0"/>
              <w:rPr>
                <w:sz w:val="1"/>
                <w:szCs w:val="1"/>
                <w:color w:val="auto"/>
              </w:rPr>
            </w:pPr>
          </w:p>
        </w:tc>
      </w:tr>
      <w:tr>
        <w:trPr>
          <w:trHeight w:val="161"/>
        </w:trPr>
        <w:tc>
          <w:tcPr>
            <w:tcW w:w="7840" w:type="dxa"/>
            <w:vAlign w:val="bottom"/>
          </w:tcPr>
          <w:p>
            <w:pPr>
              <w:ind w:left="160"/>
              <w:spacing w:after="0"/>
              <w:rPr>
                <w:sz w:val="20"/>
                <w:szCs w:val="20"/>
                <w:color w:val="auto"/>
              </w:rPr>
            </w:pPr>
            <w:r>
              <w:rPr>
                <w:rFonts w:ascii="Arial" w:cs="Arial" w:eastAsia="Arial" w:hAnsi="Arial"/>
                <w:sz w:val="12"/>
                <w:szCs w:val="12"/>
                <w:color w:val="auto"/>
              </w:rPr>
              <w:t>Deferred contract acquisition costs, current</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177,966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136,630</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138,921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116,819</w:t>
            </w:r>
          </w:p>
        </w:tc>
        <w:tc>
          <w:tcPr>
            <w:tcW w:w="0" w:type="dxa"/>
            <w:vAlign w:val="bottom"/>
          </w:tcPr>
          <w:p>
            <w:pPr>
              <w:spacing w:after="0"/>
              <w:rPr>
                <w:sz w:val="1"/>
                <w:szCs w:val="1"/>
                <w:color w:val="auto"/>
              </w:rPr>
            </w:pPr>
          </w:p>
        </w:tc>
      </w:tr>
      <w:tr>
        <w:trPr>
          <w:trHeight w:val="151"/>
        </w:trPr>
        <w:tc>
          <w:tcPr>
            <w:tcW w:w="7840" w:type="dxa"/>
            <w:vAlign w:val="bottom"/>
          </w:tcPr>
          <w:p>
            <w:pPr>
              <w:ind w:left="340"/>
              <w:spacing w:after="0"/>
              <w:rPr>
                <w:sz w:val="20"/>
                <w:szCs w:val="20"/>
                <w:color w:val="auto"/>
              </w:rPr>
            </w:pPr>
            <w:r>
              <w:rPr>
                <w:rFonts w:ascii="Arial" w:cs="Arial" w:eastAsia="Arial" w:hAnsi="Arial"/>
                <w:sz w:val="12"/>
                <w:szCs w:val="12"/>
                <w:color w:val="auto"/>
              </w:rPr>
              <w:t>Total current assets</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6,112,716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4,792,865</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Deferred contract acquisition costs, noncurrent</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155,541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157,262</w:t>
            </w:r>
          </w:p>
        </w:tc>
        <w:tc>
          <w:tcPr>
            <w:tcW w:w="0" w:type="dxa"/>
            <w:vAlign w:val="bottom"/>
          </w:tcPr>
          <w:p>
            <w:pPr>
              <w:spacing w:after="0"/>
              <w:rPr>
                <w:sz w:val="1"/>
                <w:szCs w:val="1"/>
                <w:color w:val="auto"/>
              </w:rPr>
            </w:pPr>
          </w:p>
        </w:tc>
      </w:tr>
      <w:tr>
        <w:trPr>
          <w:trHeight w:val="161"/>
        </w:trPr>
        <w:tc>
          <w:tcPr>
            <w:tcW w:w="784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212,655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149,924</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right-of-use assets</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88,335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97,649</w:t>
            </w:r>
          </w:p>
        </w:tc>
        <w:tc>
          <w:tcPr>
            <w:tcW w:w="0" w:type="dxa"/>
            <w:vAlign w:val="bottom"/>
          </w:tcPr>
          <w:p>
            <w:pPr>
              <w:spacing w:after="0"/>
              <w:rPr>
                <w:sz w:val="1"/>
                <w:szCs w:val="1"/>
                <w:color w:val="auto"/>
              </w:rPr>
            </w:pPr>
          </w:p>
        </w:tc>
      </w:tr>
      <w:tr>
        <w:trPr>
          <w:trHeight w:val="161"/>
        </w:trPr>
        <w:tc>
          <w:tcPr>
            <w:tcW w:w="7840" w:type="dxa"/>
            <w:vAlign w:val="bottom"/>
          </w:tcPr>
          <w:p>
            <w:pPr>
              <w:spacing w:after="0"/>
              <w:rPr>
                <w:sz w:val="20"/>
                <w:szCs w:val="20"/>
                <w:color w:val="auto"/>
              </w:rPr>
            </w:pPr>
            <w:r>
              <w:rPr>
                <w:rFonts w:ascii="Arial" w:cs="Arial" w:eastAsia="Arial" w:hAnsi="Arial"/>
                <w:sz w:val="12"/>
                <w:szCs w:val="12"/>
                <w:color w:val="auto"/>
              </w:rPr>
              <w:t>Strategic investments</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299,750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18,668</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24,340</w:t>
            </w:r>
          </w:p>
        </w:tc>
        <w:tc>
          <w:tcPr>
            <w:tcW w:w="0" w:type="dxa"/>
            <w:vAlign w:val="bottom"/>
          </w:tcPr>
          <w:p>
            <w:pPr>
              <w:spacing w:after="0"/>
              <w:rPr>
                <w:sz w:val="1"/>
                <w:szCs w:val="1"/>
                <w:color w:val="auto"/>
              </w:rPr>
            </w:pPr>
          </w:p>
        </w:tc>
      </w:tr>
      <w:tr>
        <w:trPr>
          <w:trHeight w:val="161"/>
        </w:trPr>
        <w:tc>
          <w:tcPr>
            <w:tcW w:w="7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 noncurrent</w:t>
            </w: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83,727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57,285</w:t>
            </w:r>
          </w:p>
        </w:tc>
        <w:tc>
          <w:tcPr>
            <w:tcW w:w="0" w:type="dxa"/>
            <w:vAlign w:val="bottom"/>
          </w:tcPr>
          <w:p>
            <w:pPr>
              <w:spacing w:after="0"/>
              <w:rPr>
                <w:sz w:val="1"/>
                <w:szCs w:val="1"/>
                <w:color w:val="auto"/>
              </w:rPr>
            </w:pPr>
          </w:p>
        </w:tc>
      </w:tr>
      <w:tr>
        <w:trPr>
          <w:trHeight w:val="178"/>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6,978,971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5,297,993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8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4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300" w:type="dxa"/>
            <w:vAlign w:val="bottom"/>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20,064</w:t>
            </w:r>
          </w:p>
        </w:tc>
        <w:tc>
          <w:tcPr>
            <w:tcW w:w="100" w:type="dxa"/>
            <w:vAlign w:val="bottom"/>
          </w:tcPr>
          <w:p>
            <w:pPr>
              <w:spacing w:after="0"/>
              <w:rPr>
                <w:sz w:val="13"/>
                <w:szCs w:val="13"/>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8,664</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509,874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393,018</w:t>
            </w:r>
          </w:p>
        </w:tc>
        <w:tc>
          <w:tcPr>
            <w:tcW w:w="0" w:type="dxa"/>
            <w:vAlign w:val="bottom"/>
          </w:tcPr>
          <w:p>
            <w:pPr>
              <w:spacing w:after="0"/>
              <w:rPr>
                <w:sz w:val="1"/>
                <w:szCs w:val="1"/>
                <w:color w:val="auto"/>
              </w:rPr>
            </w:pPr>
          </w:p>
        </w:tc>
      </w:tr>
      <w:tr>
        <w:trPr>
          <w:trHeight w:val="161"/>
        </w:trPr>
        <w:tc>
          <w:tcPr>
            <w:tcW w:w="78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Deferred revenue, current</w:t>
            </w: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1,161,442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858,284</w:t>
            </w:r>
          </w:p>
        </w:tc>
        <w:tc>
          <w:tcPr>
            <w:tcW w:w="0" w:type="dxa"/>
            <w:vAlign w:val="bottom"/>
          </w:tcPr>
          <w:p>
            <w:pPr>
              <w:spacing w:after="0"/>
              <w:rPr>
                <w:sz w:val="1"/>
                <w:szCs w:val="1"/>
                <w:color w:val="auto"/>
              </w:rPr>
            </w:pPr>
          </w:p>
        </w:tc>
      </w:tr>
      <w:tr>
        <w:trPr>
          <w:trHeight w:val="156"/>
        </w:trPr>
        <w:tc>
          <w:tcPr>
            <w:tcW w:w="784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Total current liabilities</w:t>
            </w: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1,691,380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1,259,966</w:t>
            </w:r>
          </w:p>
        </w:tc>
        <w:tc>
          <w:tcPr>
            <w:tcW w:w="0" w:type="dxa"/>
            <w:vAlign w:val="bottom"/>
          </w:tcPr>
          <w:p>
            <w:pPr>
              <w:spacing w:after="0"/>
              <w:rPr>
                <w:sz w:val="1"/>
                <w:szCs w:val="1"/>
                <w:color w:val="auto"/>
              </w:rPr>
            </w:pPr>
          </w:p>
        </w:tc>
      </w:tr>
      <w:tr>
        <w:trPr>
          <w:trHeight w:val="161"/>
        </w:trPr>
        <w:tc>
          <w:tcPr>
            <w:tcW w:w="7840" w:type="dxa"/>
            <w:vAlign w:val="bottom"/>
          </w:tcPr>
          <w:p>
            <w:pPr>
              <w:spacing w:after="0"/>
              <w:rPr>
                <w:sz w:val="20"/>
                <w:szCs w:val="20"/>
                <w:color w:val="auto"/>
              </w:rPr>
            </w:pPr>
            <w:r>
              <w:rPr>
                <w:rFonts w:ascii="Arial" w:cs="Arial" w:eastAsia="Arial" w:hAnsi="Arial"/>
                <w:sz w:val="12"/>
                <w:szCs w:val="12"/>
                <w:color w:val="auto"/>
              </w:rPr>
              <w:t>Deferred revenue, noncurrent</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24,677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25,211</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 noncurrent</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79,319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90,415</w:t>
            </w:r>
          </w:p>
        </w:tc>
        <w:tc>
          <w:tcPr>
            <w:tcW w:w="0" w:type="dxa"/>
            <w:vAlign w:val="bottom"/>
          </w:tcPr>
          <w:p>
            <w:pPr>
              <w:spacing w:after="0"/>
              <w:rPr>
                <w:sz w:val="1"/>
                <w:szCs w:val="1"/>
                <w:color w:val="auto"/>
              </w:rPr>
            </w:pPr>
          </w:p>
        </w:tc>
      </w:tr>
      <w:tr>
        <w:trPr>
          <w:trHeight w:val="161"/>
        </w:trPr>
        <w:tc>
          <w:tcPr>
            <w:tcW w:w="7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 noncurrent</w:t>
            </w: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69,910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61,634</w:t>
            </w:r>
          </w:p>
        </w:tc>
        <w:tc>
          <w:tcPr>
            <w:tcW w:w="0" w:type="dxa"/>
            <w:vAlign w:val="bottom"/>
          </w:tcPr>
          <w:p>
            <w:pPr>
              <w:spacing w:after="0"/>
              <w:rPr>
                <w:sz w:val="1"/>
                <w:szCs w:val="1"/>
                <w:color w:val="auto"/>
              </w:rPr>
            </w:pPr>
          </w:p>
        </w:tc>
      </w:tr>
      <w:tr>
        <w:trPr>
          <w:trHeight w:val="156"/>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3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1,865,286</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1,437,226</w:t>
            </w:r>
          </w:p>
        </w:tc>
        <w:tc>
          <w:tcPr>
            <w:tcW w:w="0" w:type="dxa"/>
            <w:vAlign w:val="bottom"/>
          </w:tcPr>
          <w:p>
            <w:pPr>
              <w:spacing w:after="0"/>
              <w:rPr>
                <w:sz w:val="1"/>
                <w:szCs w:val="1"/>
                <w:color w:val="auto"/>
              </w:rPr>
            </w:pPr>
          </w:p>
        </w:tc>
      </w:tr>
      <w:tr>
        <w:trPr>
          <w:trHeight w:val="141"/>
        </w:trPr>
        <w:tc>
          <w:tcPr>
            <w:tcW w:w="7840" w:type="dxa"/>
            <w:vAlign w:val="bottom"/>
          </w:tcPr>
          <w:p>
            <w:pPr>
              <w:spacing w:after="0"/>
              <w:rPr>
                <w:sz w:val="20"/>
                <w:szCs w:val="20"/>
                <w:color w:val="auto"/>
              </w:rPr>
            </w:pPr>
            <w:r>
              <w:rPr>
                <w:rFonts w:ascii="Arial" w:cs="Arial" w:eastAsia="Arial" w:hAnsi="Arial"/>
                <w:sz w:val="12"/>
                <w:szCs w:val="12"/>
                <w:color w:val="auto"/>
              </w:rPr>
              <w:t>Commitments and contingencies (Note 7)</w:t>
            </w: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40" w:type="dxa"/>
            <w:vAlign w:val="bottom"/>
          </w:tcPr>
          <w:p>
            <w:pPr>
              <w:ind w:left="240"/>
              <w:spacing w:after="0" w:line="126" w:lineRule="exact"/>
              <w:rPr>
                <w:sz w:val="20"/>
                <w:szCs w:val="20"/>
                <w:color w:val="auto"/>
              </w:rPr>
            </w:pPr>
            <w:r>
              <w:rPr>
                <w:rFonts w:ascii="Arial" w:cs="Arial" w:eastAsia="Arial" w:hAnsi="Arial"/>
                <w:sz w:val="12"/>
                <w:szCs w:val="12"/>
                <w:color w:val="auto"/>
                <w:w w:val="97"/>
              </w:rPr>
              <w:t>Preferred stock, $0.001 par value per share, 200,000,000 shares authorized as of October 31, 2021 and January 31, 2021; zero shares issued and</w:t>
            </w:r>
          </w:p>
        </w:tc>
        <w:tc>
          <w:tcPr>
            <w:tcW w:w="300" w:type="dxa"/>
            <w:vAlign w:val="bottom"/>
          </w:tcPr>
          <w:p>
            <w:pPr>
              <w:spacing w:after="0"/>
              <w:rPr>
                <w:sz w:val="10"/>
                <w:szCs w:val="10"/>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7840" w:type="dxa"/>
            <w:vAlign w:val="bottom"/>
          </w:tcPr>
          <w:p>
            <w:pPr>
              <w:ind w:left="240"/>
              <w:spacing w:after="0"/>
              <w:rPr>
                <w:sz w:val="20"/>
                <w:szCs w:val="20"/>
                <w:color w:val="auto"/>
              </w:rPr>
            </w:pPr>
            <w:r>
              <w:rPr>
                <w:rFonts w:ascii="Arial" w:cs="Arial" w:eastAsia="Arial" w:hAnsi="Arial"/>
                <w:sz w:val="12"/>
                <w:szCs w:val="12"/>
                <w:color w:val="auto"/>
              </w:rPr>
              <w:t>outstanding as of October 31, 2021 and January 31, 2021</w:t>
            </w:r>
          </w:p>
        </w:tc>
        <w:tc>
          <w:tcPr>
            <w:tcW w:w="3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84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w w:val="94"/>
              </w:rPr>
              <w:t>Common stock, $0.001 par value per share, 2,000,000,000 Class A shares authorized as of October 31, 2021 and January 31, 2021; 242,019,615 and</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840" w:type="dxa"/>
            <w:vAlign w:val="bottom"/>
            <w:shd w:val="clear" w:color="auto" w:fill="CCEEFF"/>
          </w:tcPr>
          <w:p>
            <w:pPr>
              <w:ind w:left="240"/>
              <w:spacing w:after="0" w:line="122" w:lineRule="exact"/>
              <w:rPr>
                <w:sz w:val="20"/>
                <w:szCs w:val="20"/>
                <w:color w:val="auto"/>
              </w:rPr>
            </w:pPr>
            <w:r>
              <w:rPr>
                <w:rFonts w:ascii="Arial" w:cs="Arial" w:eastAsia="Arial" w:hAnsi="Arial"/>
                <w:sz w:val="12"/>
                <w:szCs w:val="12"/>
                <w:color w:val="auto"/>
                <w:w w:val="95"/>
              </w:rPr>
              <w:t>215,737,924 shares issued and outstanding as of October 31, 2021 and January 31, 2021, respectively; 300,000,000 Class B shares authorized as of</w:t>
            </w:r>
          </w:p>
        </w:tc>
        <w:tc>
          <w:tcPr>
            <w:tcW w:w="3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840" w:type="dxa"/>
            <w:vAlign w:val="bottom"/>
            <w:shd w:val="clear" w:color="auto" w:fill="CCEEFF"/>
          </w:tcPr>
          <w:p>
            <w:pPr>
              <w:ind w:left="240"/>
              <w:spacing w:after="0" w:line="122" w:lineRule="exact"/>
              <w:rPr>
                <w:sz w:val="20"/>
                <w:szCs w:val="20"/>
                <w:color w:val="auto"/>
              </w:rPr>
            </w:pPr>
            <w:r>
              <w:rPr>
                <w:rFonts w:ascii="Arial" w:cs="Arial" w:eastAsia="Arial" w:hAnsi="Arial"/>
                <w:sz w:val="12"/>
                <w:szCs w:val="12"/>
                <w:color w:val="auto"/>
                <w:w w:val="97"/>
              </w:rPr>
              <w:t>October 31, 2021 and January 31, 2021; 55,917,342 and 77,811,299 shares issued and outstanding as of October 31, 2021 and January 31, 2021,</w:t>
            </w:r>
          </w:p>
        </w:tc>
        <w:tc>
          <w:tcPr>
            <w:tcW w:w="30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297</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respectively</w:t>
            </w:r>
          </w:p>
        </w:tc>
        <w:tc>
          <w:tcPr>
            <w:tcW w:w="300" w:type="dxa"/>
            <w:vAlign w:val="bottom"/>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840" w:type="dxa"/>
            <w:vAlign w:val="bottom"/>
          </w:tcPr>
          <w:p>
            <w:pPr>
              <w:ind w:left="240"/>
              <w:spacing w:after="0"/>
              <w:rPr>
                <w:sz w:val="20"/>
                <w:szCs w:val="20"/>
                <w:color w:val="auto"/>
              </w:rPr>
            </w:pPr>
            <w:r>
              <w:rPr>
                <w:rFonts w:ascii="Arial" w:cs="Arial" w:eastAsia="Arial" w:hAnsi="Arial"/>
                <w:sz w:val="12"/>
                <w:szCs w:val="12"/>
                <w:color w:val="auto"/>
              </w:rPr>
              <w:t>Additional paid-in capital</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3,561,050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3,187,168</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(loss) income</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839</w:t>
            </w:r>
          </w:p>
        </w:tc>
        <w:tc>
          <w:tcPr>
            <w:tcW w:w="0" w:type="dxa"/>
            <w:vAlign w:val="bottom"/>
          </w:tcPr>
          <w:p>
            <w:pPr>
              <w:spacing w:after="0"/>
              <w:rPr>
                <w:sz w:val="1"/>
                <w:szCs w:val="1"/>
                <w:color w:val="auto"/>
              </w:rPr>
            </w:pPr>
          </w:p>
        </w:tc>
      </w:tr>
      <w:tr>
        <w:trPr>
          <w:trHeight w:val="161"/>
        </w:trPr>
        <w:tc>
          <w:tcPr>
            <w:tcW w:w="78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Retained earnings</w:t>
            </w: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1,557,466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672,468</w:t>
            </w:r>
          </w:p>
        </w:tc>
        <w:tc>
          <w:tcPr>
            <w:tcW w:w="0" w:type="dxa"/>
            <w:vAlign w:val="bottom"/>
          </w:tcPr>
          <w:p>
            <w:pPr>
              <w:spacing w:after="0"/>
              <w:rPr>
                <w:sz w:val="1"/>
                <w:szCs w:val="1"/>
                <w:color w:val="auto"/>
              </w:rPr>
            </w:pPr>
          </w:p>
        </w:tc>
      </w:tr>
      <w:tr>
        <w:trPr>
          <w:trHeight w:val="156"/>
        </w:trPr>
        <w:tc>
          <w:tcPr>
            <w:tcW w:w="7840" w:type="dxa"/>
            <w:vAlign w:val="bottom"/>
            <w:shd w:val="clear" w:color="auto" w:fill="CCEEFF"/>
          </w:tcPr>
          <w:p>
            <w:pPr>
              <w:spacing w:after="0"/>
              <w:rPr>
                <w:sz w:val="20"/>
                <w:szCs w:val="20"/>
                <w:color w:val="auto"/>
              </w:rPr>
            </w:pPr>
            <w:r>
              <w:rPr>
                <w:rFonts w:ascii="Arial" w:cs="Arial" w:eastAsia="Arial" w:hAnsi="Arial"/>
                <w:sz w:val="12"/>
                <w:szCs w:val="12"/>
                <w:color w:val="auto"/>
              </w:rPr>
              <w:t>Total stockholders’ equity</w:t>
            </w:r>
          </w:p>
        </w:tc>
        <w:tc>
          <w:tcPr>
            <w:tcW w:w="3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5,113,685</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3,860,767</w:t>
            </w:r>
          </w:p>
        </w:tc>
        <w:tc>
          <w:tcPr>
            <w:tcW w:w="0" w:type="dxa"/>
            <w:vAlign w:val="bottom"/>
          </w:tcPr>
          <w:p>
            <w:pPr>
              <w:spacing w:after="0"/>
              <w:rPr>
                <w:sz w:val="1"/>
                <w:szCs w:val="1"/>
                <w:color w:val="auto"/>
              </w:rPr>
            </w:pPr>
          </w:p>
        </w:tc>
      </w:tr>
      <w:tr>
        <w:trPr>
          <w:trHeight w:val="151"/>
        </w:trPr>
        <w:tc>
          <w:tcPr>
            <w:tcW w:w="7840" w:type="dxa"/>
            <w:vAlign w:val="bottom"/>
          </w:tcPr>
          <w:p>
            <w:pPr>
              <w:spacing w:after="0"/>
              <w:rPr>
                <w:sz w:val="20"/>
                <w:szCs w:val="20"/>
                <w:color w:val="auto"/>
              </w:rPr>
            </w:pPr>
            <w:r>
              <w:rPr>
                <w:rFonts w:ascii="Arial" w:cs="Arial" w:eastAsia="Arial" w:hAnsi="Arial"/>
                <w:sz w:val="12"/>
                <w:szCs w:val="12"/>
                <w:color w:val="auto"/>
              </w:rPr>
              <w:t>Total liabilities and stockholders’ equity</w:t>
            </w:r>
          </w:p>
        </w:tc>
        <w:tc>
          <w:tcPr>
            <w:tcW w:w="3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6,978,971</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5,297,993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80" w:type="dxa"/>
            <w:vAlign w:val="bottom"/>
            <w:gridSpan w:val="5"/>
          </w:tcPr>
          <w:p>
            <w:pPr>
              <w:ind w:left="520"/>
              <w:spacing w:after="0"/>
              <w:rPr>
                <w:sz w:val="20"/>
                <w:szCs w:val="20"/>
                <w:color w:val="auto"/>
              </w:rPr>
            </w:pPr>
            <w:r>
              <w:rPr>
                <w:rFonts w:ascii="Arial" w:cs="Arial" w:eastAsia="Arial" w:hAnsi="Arial"/>
                <w:sz w:val="11"/>
                <w:szCs w:val="11"/>
                <w:b w:val="1"/>
                <w:bCs w:val="1"/>
                <w:color w:val="auto"/>
              </w:rPr>
              <w:t>Three Months Ended October 31,</w:t>
            </w:r>
          </w:p>
        </w:tc>
        <w:tc>
          <w:tcPr>
            <w:tcW w:w="400" w:type="dxa"/>
            <w:vAlign w:val="bottom"/>
          </w:tcPr>
          <w:p>
            <w:pPr>
              <w:spacing w:after="0"/>
              <w:rPr>
                <w:sz w:val="12"/>
                <w:szCs w:val="12"/>
                <w:color w:val="auto"/>
              </w:rPr>
            </w:pPr>
          </w:p>
        </w:tc>
        <w:tc>
          <w:tcPr>
            <w:tcW w:w="206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 October 31,</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40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w w:val="81"/>
              </w:rPr>
              <w:t>2020</w:t>
            </w:r>
          </w:p>
        </w:tc>
        <w:tc>
          <w:tcPr>
            <w:tcW w:w="0" w:type="dxa"/>
            <w:vAlign w:val="bottom"/>
          </w:tcPr>
          <w:p>
            <w:pPr>
              <w:spacing w:after="0"/>
              <w:rPr>
                <w:sz w:val="1"/>
                <w:szCs w:val="1"/>
                <w:color w:val="auto"/>
              </w:rPr>
            </w:pPr>
          </w:p>
        </w:tc>
      </w:tr>
      <w:tr>
        <w:trPr>
          <w:trHeight w:val="165"/>
        </w:trPr>
        <w:tc>
          <w:tcPr>
            <w:tcW w:w="440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Revenue</w:t>
            </w: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1,050,756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777,196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3,028,488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1,768,883</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270,957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258,727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797,207</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554,705</w:t>
            </w:r>
          </w:p>
        </w:tc>
        <w:tc>
          <w:tcPr>
            <w:tcW w:w="0" w:type="dxa"/>
            <w:vAlign w:val="bottom"/>
          </w:tcPr>
          <w:p>
            <w:pPr>
              <w:spacing w:after="0"/>
              <w:rPr>
                <w:sz w:val="1"/>
                <w:szCs w:val="1"/>
                <w:color w:val="auto"/>
              </w:rPr>
            </w:pPr>
          </w:p>
        </w:tc>
      </w:tr>
      <w:tr>
        <w:trPr>
          <w:trHeight w:val="164"/>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Gross profit</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779,799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518,469</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2,231,281</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1,214,178</w:t>
            </w:r>
          </w:p>
        </w:tc>
        <w:tc>
          <w:tcPr>
            <w:tcW w:w="0" w:type="dxa"/>
            <w:vAlign w:val="bottom"/>
          </w:tcPr>
          <w:p>
            <w:pPr>
              <w:spacing w:after="0"/>
              <w:rPr>
                <w:sz w:val="1"/>
                <w:szCs w:val="1"/>
                <w:color w:val="auto"/>
              </w:rPr>
            </w:pPr>
          </w:p>
        </w:tc>
      </w:tr>
      <w:tr>
        <w:trPr>
          <w:trHeight w:val="153"/>
        </w:trPr>
        <w:tc>
          <w:tcPr>
            <w:tcW w:w="4400" w:type="dxa"/>
            <w:vAlign w:val="bottom"/>
          </w:tcPr>
          <w:p>
            <w:pPr>
              <w:ind w:left="20"/>
              <w:spacing w:after="0" w:line="153" w:lineRule="exact"/>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Research and development</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98,508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42,582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245,994</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111,705</w:t>
            </w:r>
          </w:p>
        </w:tc>
        <w:tc>
          <w:tcPr>
            <w:tcW w:w="0" w:type="dxa"/>
            <w:vAlign w:val="bottom"/>
          </w:tcPr>
          <w:p>
            <w:pPr>
              <w:spacing w:after="0"/>
              <w:rPr>
                <w:sz w:val="1"/>
                <w:szCs w:val="1"/>
                <w:color w:val="auto"/>
              </w:rPr>
            </w:pPr>
          </w:p>
        </w:tc>
      </w:tr>
      <w:tr>
        <w:trPr>
          <w:trHeight w:val="173"/>
        </w:trPr>
        <w:tc>
          <w:tcPr>
            <w:tcW w:w="4400" w:type="dxa"/>
            <w:vAlign w:val="bottom"/>
          </w:tcPr>
          <w:p>
            <w:pPr>
              <w:ind w:left="160"/>
              <w:spacing w:after="0"/>
              <w:rPr>
                <w:sz w:val="20"/>
                <w:szCs w:val="20"/>
                <w:color w:val="auto"/>
              </w:rPr>
            </w:pPr>
            <w:r>
              <w:rPr>
                <w:rFonts w:ascii="Arial" w:cs="Arial" w:eastAsia="Arial" w:hAnsi="Arial"/>
                <w:sz w:val="14"/>
                <w:szCs w:val="14"/>
                <w:color w:val="auto"/>
              </w:rPr>
              <w:t>Sales and marketing</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293,698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190,157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810,544</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470,886</w:t>
            </w:r>
          </w:p>
        </w:tc>
        <w:tc>
          <w:tcPr>
            <w:tcW w:w="0" w:type="dxa"/>
            <w:vAlign w:val="bottom"/>
          </w:tcPr>
          <w:p>
            <w:pPr>
              <w:spacing w:after="0"/>
              <w:rPr>
                <w:sz w:val="1"/>
                <w:szCs w:val="1"/>
                <w:color w:val="auto"/>
              </w:rPr>
            </w:pPr>
          </w:p>
        </w:tc>
      </w:tr>
      <w:tr>
        <w:trPr>
          <w:trHeight w:val="174"/>
        </w:trPr>
        <w:tc>
          <w:tcPr>
            <w:tcW w:w="4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General and administrative</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96,736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93,488</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362,971</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227,856</w:t>
            </w:r>
          </w:p>
        </w:tc>
        <w:tc>
          <w:tcPr>
            <w:tcW w:w="0" w:type="dxa"/>
            <w:vAlign w:val="bottom"/>
          </w:tcPr>
          <w:p>
            <w:pPr>
              <w:spacing w:after="0"/>
              <w:rPr>
                <w:sz w:val="1"/>
                <w:szCs w:val="1"/>
                <w:color w:val="auto"/>
              </w:rPr>
            </w:pPr>
          </w:p>
        </w:tc>
      </w:tr>
      <w:tr>
        <w:trPr>
          <w:trHeight w:val="164"/>
        </w:trPr>
        <w:tc>
          <w:tcPr>
            <w:tcW w:w="4400" w:type="dxa"/>
            <w:vAlign w:val="bottom"/>
            <w:tcBorders>
              <w:bottom w:val="single" w:sz="8" w:color="CCEEFF"/>
            </w:tcBorders>
          </w:tcPr>
          <w:p>
            <w:pPr>
              <w:ind w:left="360"/>
              <w:spacing w:after="0" w:line="153" w:lineRule="exact"/>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488,942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326,227</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1,419,509</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810,447</w:t>
            </w:r>
          </w:p>
        </w:tc>
        <w:tc>
          <w:tcPr>
            <w:tcW w:w="0" w:type="dxa"/>
            <w:vAlign w:val="bottom"/>
          </w:tcPr>
          <w:p>
            <w:pPr>
              <w:spacing w:after="0"/>
              <w:rPr>
                <w:sz w:val="1"/>
                <w:szCs w:val="1"/>
                <w:color w:val="auto"/>
              </w:rPr>
            </w:pPr>
          </w:p>
        </w:tc>
      </w:tr>
      <w:tr>
        <w:trPr>
          <w:trHeight w:val="164"/>
        </w:trPr>
        <w:tc>
          <w:tcPr>
            <w:tcW w:w="4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Income from operations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290,857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192,242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811,772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403,731</w:t>
            </w:r>
          </w:p>
        </w:tc>
        <w:tc>
          <w:tcPr>
            <w:tcW w:w="0" w:type="dxa"/>
            <w:vAlign w:val="bottom"/>
          </w:tcPr>
          <w:p>
            <w:pPr>
              <w:spacing w:after="0"/>
              <w:rPr>
                <w:sz w:val="1"/>
                <w:szCs w:val="1"/>
                <w:color w:val="auto"/>
              </w:rPr>
            </w:pPr>
          </w:p>
        </w:tc>
      </w:tr>
      <w:tr>
        <w:trPr>
          <w:trHeight w:val="173"/>
        </w:trPr>
        <w:tc>
          <w:tcPr>
            <w:tcW w:w="4400" w:type="dxa"/>
            <w:vAlign w:val="bottom"/>
          </w:tcPr>
          <w:p>
            <w:pPr>
              <w:ind w:left="20"/>
              <w:spacing w:after="0"/>
              <w:rPr>
                <w:sz w:val="20"/>
                <w:szCs w:val="20"/>
                <w:color w:val="auto"/>
              </w:rPr>
            </w:pPr>
            <w:r>
              <w:rPr>
                <w:rFonts w:ascii="Arial" w:cs="Arial" w:eastAsia="Arial" w:hAnsi="Arial"/>
                <w:sz w:val="14"/>
                <w:szCs w:val="14"/>
                <w:color w:val="auto"/>
              </w:rPr>
              <w:t>Gains on strategic investments, net</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122,421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154,497</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2,538</w:t>
            </w:r>
          </w:p>
        </w:tc>
        <w:tc>
          <w:tcPr>
            <w:tcW w:w="0" w:type="dxa"/>
            <w:vAlign w:val="bottom"/>
          </w:tcPr>
          <w:p>
            <w:pPr>
              <w:spacing w:after="0"/>
              <w:rPr>
                <w:sz w:val="1"/>
                <w:szCs w:val="1"/>
                <w:color w:val="auto"/>
              </w:rPr>
            </w:pPr>
          </w:p>
        </w:tc>
      </w:tr>
      <w:tr>
        <w:trPr>
          <w:trHeight w:val="174"/>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and other, net</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(2,995)</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(3,171)</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7,112</w:t>
            </w:r>
          </w:p>
        </w:tc>
        <w:tc>
          <w:tcPr>
            <w:tcW w:w="0" w:type="dxa"/>
            <w:vAlign w:val="bottom"/>
          </w:tcPr>
          <w:p>
            <w:pPr>
              <w:spacing w:after="0"/>
              <w:rPr>
                <w:sz w:val="1"/>
                <w:szCs w:val="1"/>
                <w:color w:val="auto"/>
              </w:rPr>
            </w:pPr>
          </w:p>
        </w:tc>
      </w:tr>
      <w:tr>
        <w:trPr>
          <w:trHeight w:val="164"/>
        </w:trPr>
        <w:tc>
          <w:tcPr>
            <w:tcW w:w="4400" w:type="dxa"/>
            <w:vAlign w:val="bottom"/>
          </w:tcPr>
          <w:p>
            <w:pPr>
              <w:ind w:left="20"/>
              <w:spacing w:after="0" w:line="153" w:lineRule="exact"/>
              <w:rPr>
                <w:sz w:val="20"/>
                <w:szCs w:val="20"/>
                <w:color w:val="auto"/>
              </w:rPr>
            </w:pPr>
            <w:r>
              <w:rPr>
                <w:rFonts w:ascii="Arial" w:cs="Arial" w:eastAsia="Arial" w:hAnsi="Arial"/>
                <w:sz w:val="14"/>
                <w:szCs w:val="14"/>
                <w:color w:val="auto"/>
              </w:rPr>
              <w:t>Income before provision for (benefit from) income taxes</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410,283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194,021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963,098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413,381</w:t>
            </w:r>
          </w:p>
        </w:tc>
        <w:tc>
          <w:tcPr>
            <w:tcW w:w="0" w:type="dxa"/>
            <w:vAlign w:val="bottom"/>
          </w:tcPr>
          <w:p>
            <w:pPr>
              <w:spacing w:after="0"/>
              <w:rPr>
                <w:sz w:val="1"/>
                <w:szCs w:val="1"/>
                <w:color w:val="auto"/>
              </w:rPr>
            </w:pPr>
          </w:p>
        </w:tc>
      </w:tr>
      <w:tr>
        <w:trPr>
          <w:trHeight w:val="174"/>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78,100</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164"/>
        </w:trPr>
        <w:tc>
          <w:tcPr>
            <w:tcW w:w="4400" w:type="dxa"/>
            <w:vAlign w:val="bottom"/>
          </w:tcPr>
          <w:p>
            <w:pPr>
              <w:ind w:left="20"/>
              <w:spacing w:after="0" w:line="153" w:lineRule="exact"/>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340,383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198,642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884,998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411,706</w:t>
            </w:r>
          </w:p>
        </w:tc>
        <w:tc>
          <w:tcPr>
            <w:tcW w:w="0" w:type="dxa"/>
            <w:vAlign w:val="bottom"/>
          </w:tcPr>
          <w:p>
            <w:pPr>
              <w:spacing w:after="0"/>
              <w:rPr>
                <w:sz w:val="1"/>
                <w:szCs w:val="1"/>
                <w:color w:val="auto"/>
              </w:rPr>
            </w:pPr>
          </w:p>
        </w:tc>
      </w:tr>
      <w:tr>
        <w:trPr>
          <w:trHeight w:val="174"/>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Undistributed earnings attributable to participating securities</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64"/>
        </w:trPr>
        <w:tc>
          <w:tcPr>
            <w:tcW w:w="4400" w:type="dxa"/>
            <w:vAlign w:val="bottom"/>
          </w:tcPr>
          <w:p>
            <w:pPr>
              <w:ind w:left="20"/>
              <w:spacing w:after="0" w:line="153" w:lineRule="exact"/>
              <w:rPr>
                <w:sz w:val="20"/>
                <w:szCs w:val="20"/>
                <w:color w:val="auto"/>
              </w:rPr>
            </w:pPr>
            <w:r>
              <w:rPr>
                <w:rFonts w:ascii="Arial" w:cs="Arial" w:eastAsia="Arial" w:hAnsi="Arial"/>
                <w:sz w:val="14"/>
                <w:szCs w:val="14"/>
                <w:color w:val="auto"/>
              </w:rPr>
              <w:t>Net income attributable to common stockholders</w:t>
            </w: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340,271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198,440</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884,568</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411,175</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400" w:type="dxa"/>
            <w:vAlign w:val="bottom"/>
            <w:tcBorders>
              <w:bottom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color w:val="auto"/>
              </w:rPr>
              <w:t>Net income per share attributable to common stockholders:</w:t>
            </w:r>
          </w:p>
        </w:tc>
        <w:tc>
          <w:tcPr>
            <w:tcW w:w="40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00" w:type="dxa"/>
            <w:vAlign w:val="bottom"/>
          </w:tcPr>
          <w:p>
            <w:pPr>
              <w:ind w:left="18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0" w:type="dxa"/>
            <w:vAlign w:val="bottom"/>
            <w:tcBorders>
              <w:bottom w:val="single" w:sz="8" w:color="CCEEFF"/>
            </w:tcBorders>
            <w:shd w:val="clear" w:color="auto" w:fill="CCEEFF"/>
          </w:tcPr>
          <w:p>
            <w:pPr>
              <w:ind w:left="180"/>
              <w:spacing w:after="0" w:line="153" w:lineRule="exact"/>
              <w:rPr>
                <w:sz w:val="20"/>
                <w:szCs w:val="20"/>
                <w:color w:val="auto"/>
              </w:rPr>
            </w:pPr>
            <w:r>
              <w:rPr>
                <w:rFonts w:ascii="Arial" w:cs="Arial" w:eastAsia="Arial" w:hAnsi="Arial"/>
                <w:sz w:val="14"/>
                <w:szCs w:val="14"/>
                <w:color w:val="auto"/>
              </w:rPr>
              <w:t>Diluted</w:t>
            </w:r>
          </w:p>
        </w:tc>
        <w:tc>
          <w:tcPr>
            <w:tcW w:w="400" w:type="dxa"/>
            <w:vAlign w:val="bottom"/>
            <w:tcBorders>
              <w:bottom w:val="single" w:sz="8" w:color="auto"/>
            </w:tcBorders>
            <w:shd w:val="clear" w:color="auto" w:fill="CCEEFF"/>
          </w:tcPr>
          <w:p>
            <w:pPr>
              <w:jc w:val="right"/>
              <w:ind w:right="232"/>
              <w:spacing w:after="0" w:line="154"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2"/>
              <w:spacing w:after="0" w:line="154"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auto"/>
              </w:rPr>
              <w:t>0.66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32"/>
              <w:spacing w:after="0" w:line="154"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2"/>
              <w:spacing w:after="0" w:line="154"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line="113" w:lineRule="exact"/>
              <w:rPr>
                <w:sz w:val="20"/>
                <w:szCs w:val="20"/>
                <w:color w:val="auto"/>
              </w:rPr>
            </w:pPr>
            <w:r>
              <w:rPr>
                <w:rFonts w:ascii="Arial" w:cs="Arial" w:eastAsia="Arial" w:hAnsi="Arial"/>
                <w:sz w:val="12"/>
                <w:szCs w:val="12"/>
                <w:color w:val="auto"/>
              </w:rPr>
              <w:t>Weighted-average shares used in computing net income per share attributable to</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44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400" w:type="dxa"/>
            <w:vAlign w:val="bottom"/>
          </w:tcPr>
          <w:p>
            <w:pPr>
              <w:ind w:left="20"/>
              <w:spacing w:after="0"/>
              <w:rPr>
                <w:sz w:val="20"/>
                <w:szCs w:val="20"/>
                <w:color w:val="auto"/>
              </w:rPr>
            </w:pPr>
            <w:r>
              <w:rPr>
                <w:rFonts w:ascii="Arial" w:cs="Arial" w:eastAsia="Arial" w:hAnsi="Arial"/>
                <w:sz w:val="14"/>
                <w:szCs w:val="14"/>
                <w:color w:val="auto"/>
              </w:rPr>
              <w:t>common stockholders: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297,375,011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284,783,006</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295,647,626</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282,564,481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Diluted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400" w:type="dxa"/>
            <w:vAlign w:val="bottom"/>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305,939,624</w:t>
            </w: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299,258,765</w:t>
            </w: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305,726,733</w:t>
            </w: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297,605,941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INCOME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80" w:type="dxa"/>
            <w:vAlign w:val="bottom"/>
            <w:gridSpan w:val="5"/>
          </w:tcPr>
          <w:p>
            <w:pPr>
              <w:ind w:left="520"/>
              <w:spacing w:after="0"/>
              <w:rPr>
                <w:sz w:val="20"/>
                <w:szCs w:val="20"/>
                <w:color w:val="auto"/>
              </w:rPr>
            </w:pPr>
            <w:r>
              <w:rPr>
                <w:rFonts w:ascii="Arial" w:cs="Arial" w:eastAsia="Arial" w:hAnsi="Arial"/>
                <w:sz w:val="11"/>
                <w:szCs w:val="11"/>
                <w:b w:val="1"/>
                <w:bCs w:val="1"/>
                <w:color w:val="auto"/>
              </w:rPr>
              <w:t>Three Months Ended October 31,</w:t>
            </w:r>
          </w:p>
        </w:tc>
        <w:tc>
          <w:tcPr>
            <w:tcW w:w="400" w:type="dxa"/>
            <w:vAlign w:val="bottom"/>
          </w:tcPr>
          <w:p>
            <w:pPr>
              <w:spacing w:after="0"/>
              <w:rPr>
                <w:sz w:val="12"/>
                <w:szCs w:val="12"/>
                <w:color w:val="auto"/>
              </w:rPr>
            </w:pPr>
          </w:p>
        </w:tc>
        <w:tc>
          <w:tcPr>
            <w:tcW w:w="206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 October 31,</w:t>
            </w:r>
          </w:p>
        </w:tc>
        <w:tc>
          <w:tcPr>
            <w:tcW w:w="940" w:type="dxa"/>
            <w:vAlign w:val="bottom"/>
          </w:tcPr>
          <w:p>
            <w:pPr>
              <w:spacing w:after="0"/>
              <w:rPr>
                <w:sz w:val="12"/>
                <w:szCs w:val="12"/>
                <w:color w:val="auto"/>
              </w:rPr>
            </w:pPr>
          </w:p>
        </w:tc>
      </w:tr>
      <w:tr>
        <w:trPr>
          <w:trHeight w:val="136"/>
        </w:trPr>
        <w:tc>
          <w:tcPr>
            <w:tcW w:w="440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1"/>
                <w:szCs w:val="11"/>
                <w:b w:val="1"/>
                <w:bCs w:val="1"/>
                <w:color w:val="auto"/>
                <w:w w:val="81"/>
              </w:rPr>
              <w:t>2020</w:t>
            </w:r>
          </w:p>
        </w:tc>
      </w:tr>
      <w:tr>
        <w:trPr>
          <w:trHeight w:val="165"/>
        </w:trPr>
        <w:tc>
          <w:tcPr>
            <w:tcW w:w="440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340,383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198,642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884,998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411,706</w:t>
            </w:r>
          </w:p>
        </w:tc>
      </w:tr>
      <w:tr>
        <w:trPr>
          <w:trHeight w:val="173"/>
        </w:trPr>
        <w:tc>
          <w:tcPr>
            <w:tcW w:w="440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4"/>
        </w:trPr>
        <w:tc>
          <w:tcPr>
            <w:tcW w:w="44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0"/>
              </w:rPr>
              <w:t>Unrealized (loss) gain on available-for-sale marketable securities, net of tax</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(5,275)</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(5,967)</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w:t>
            </w:r>
          </w:p>
        </w:tc>
      </w:tr>
      <w:tr>
        <w:trPr>
          <w:trHeight w:val="164"/>
        </w:trPr>
        <w:tc>
          <w:tcPr>
            <w:tcW w:w="4400" w:type="dxa"/>
            <w:vAlign w:val="bottom"/>
          </w:tcPr>
          <w:p>
            <w:pPr>
              <w:ind w:left="20"/>
              <w:spacing w:after="0" w:line="153" w:lineRule="exact"/>
              <w:rPr>
                <w:sz w:val="20"/>
                <w:szCs w:val="20"/>
                <w:color w:val="auto"/>
              </w:rPr>
            </w:pPr>
            <w:r>
              <w:rPr>
                <w:rFonts w:ascii="Arial" w:cs="Arial" w:eastAsia="Arial" w:hAnsi="Arial"/>
                <w:sz w:val="14"/>
                <w:szCs w:val="14"/>
                <w:color w:val="auto"/>
              </w:rPr>
              <w:t>Comprehensive income</w:t>
            </w:r>
          </w:p>
        </w:tc>
        <w:tc>
          <w:tcPr>
            <w:tcW w:w="4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335,108</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197,187</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879,031</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412,214</w:t>
            </w:r>
          </w:p>
        </w:tc>
      </w:tr>
      <w:tr>
        <w:trPr>
          <w:trHeight w:val="20"/>
        </w:trPr>
        <w:tc>
          <w:tcPr>
            <w:tcW w:w="4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22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w w:val="95"/>
              </w:rPr>
              <w:t>Three Months Ended October 31, 2021</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1"/>
                <w:szCs w:val="11"/>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center"/>
              <w:ind w:right="127"/>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2"/>
        </w:trPr>
        <w:tc>
          <w:tcPr>
            <w:tcW w:w="4220" w:type="dxa"/>
            <w:vAlign w:val="bottom"/>
          </w:tcPr>
          <w:p>
            <w:pPr>
              <w:spacing w:after="0"/>
              <w:rPr>
                <w:sz w:val="8"/>
                <w:szCs w:val="8"/>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22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tcPr>
          <w:p>
            <w:pPr>
              <w:jc w:val="center"/>
              <w:ind w:right="240"/>
              <w:spacing w:after="0" w:line="78" w:lineRule="exact"/>
              <w:rPr>
                <w:sz w:val="20"/>
                <w:szCs w:val="20"/>
                <w:color w:val="auto"/>
              </w:rPr>
            </w:pPr>
            <w:r>
              <w:rPr>
                <w:rFonts w:ascii="Arial" w:cs="Arial" w:eastAsia="Arial" w:hAnsi="Arial"/>
                <w:sz w:val="8"/>
                <w:szCs w:val="8"/>
                <w:b w:val="1"/>
                <w:bCs w:val="1"/>
                <w:color w:val="auto"/>
              </w:rPr>
              <w:t>Paid-In</w:t>
            </w:r>
          </w:p>
        </w:tc>
        <w:tc>
          <w:tcPr>
            <w:tcW w:w="80" w:type="dxa"/>
            <w:vAlign w:val="bottom"/>
          </w:tcPr>
          <w:p>
            <w:pPr>
              <w:spacing w:after="0"/>
              <w:rPr>
                <w:sz w:val="6"/>
                <w:szCs w:val="6"/>
                <w:color w:val="auto"/>
              </w:rPr>
            </w:pPr>
          </w:p>
        </w:tc>
        <w:tc>
          <w:tcPr>
            <w:tcW w:w="1340" w:type="dxa"/>
            <w:vAlign w:val="bottom"/>
            <w:gridSpan w:val="2"/>
          </w:tcPr>
          <w:p>
            <w:pPr>
              <w:jc w:val="center"/>
              <w:ind w:right="180"/>
              <w:spacing w:after="0" w:line="78" w:lineRule="exact"/>
              <w:rPr>
                <w:sz w:val="20"/>
                <w:szCs w:val="20"/>
                <w:color w:val="auto"/>
              </w:rPr>
            </w:pPr>
            <w:r>
              <w:rPr>
                <w:rFonts w:ascii="Arial" w:cs="Arial" w:eastAsia="Arial" w:hAnsi="Arial"/>
                <w:sz w:val="8"/>
                <w:szCs w:val="8"/>
                <w:b w:val="1"/>
                <w:bCs w:val="1"/>
                <w:color w:val="auto"/>
              </w:rPr>
              <w:t>Comprehensive</w:t>
            </w: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jc w:val="center"/>
              <w:ind w:right="127"/>
              <w:spacing w:after="0" w:line="78"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1140" w:type="dxa"/>
            <w:vAlign w:val="bottom"/>
            <w:gridSpan w:val="2"/>
          </w:tcPr>
          <w:p>
            <w:pPr>
              <w:ind w:left="38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Retained Earnings</w:t>
            </w:r>
          </w:p>
        </w:tc>
        <w:tc>
          <w:tcPr>
            <w:tcW w:w="180" w:type="dxa"/>
            <w:vAlign w:val="bottom"/>
          </w:tcPr>
          <w:p>
            <w:pPr>
              <w:spacing w:after="0"/>
              <w:rPr>
                <w:sz w:val="12"/>
                <w:szCs w:val="12"/>
                <w:color w:val="auto"/>
              </w:rPr>
            </w:pPr>
          </w:p>
        </w:tc>
        <w:tc>
          <w:tcPr>
            <w:tcW w:w="1100" w:type="dxa"/>
            <w:vAlign w:val="bottom"/>
          </w:tcPr>
          <w:p>
            <w:pPr>
              <w:jc w:val="center"/>
              <w:ind w:right="127"/>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4"/>
        </w:trPr>
        <w:tc>
          <w:tcPr>
            <w:tcW w:w="4220" w:type="dxa"/>
            <w:vAlign w:val="bottom"/>
            <w:tcBorders>
              <w:top w:val="single" w:sz="8" w:color="CCEEFF"/>
            </w:tcBorders>
            <w:shd w:val="clear" w:color="auto" w:fill="CCEEFF"/>
          </w:tcPr>
          <w:p>
            <w:pPr>
              <w:ind w:left="20"/>
              <w:spacing w:after="0" w:line="118" w:lineRule="exact"/>
              <w:rPr>
                <w:sz w:val="20"/>
                <w:szCs w:val="20"/>
                <w:color w:val="auto"/>
              </w:rPr>
            </w:pPr>
            <w:r>
              <w:rPr>
                <w:rFonts w:ascii="Arial" w:cs="Arial" w:eastAsia="Arial" w:hAnsi="Arial"/>
                <w:sz w:val="11"/>
                <w:szCs w:val="11"/>
                <w:color w:val="auto"/>
              </w:rPr>
              <w:t>Balance as of July 31, 2021</w:t>
            </w:r>
          </w:p>
        </w:tc>
        <w:tc>
          <w:tcPr>
            <w:tcW w:w="10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297,027,323</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296</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3,440,222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1,217,083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4,657,748</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612,056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3,125</w:t>
            </w:r>
          </w:p>
        </w:tc>
        <w:tc>
          <w:tcPr>
            <w:tcW w:w="0" w:type="dxa"/>
            <w:vAlign w:val="bottom"/>
          </w:tcPr>
          <w:p>
            <w:pPr>
              <w:spacing w:after="0"/>
              <w:rPr>
                <w:sz w:val="1"/>
                <w:szCs w:val="1"/>
                <w:color w:val="auto"/>
              </w:rPr>
            </w:pPr>
          </w:p>
        </w:tc>
      </w:tr>
      <w:tr>
        <w:trPr>
          <w:trHeight w:val="146"/>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release of restricted stock units</w:t>
            </w: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297,578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117,704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117,704</w:t>
            </w:r>
          </w:p>
        </w:tc>
        <w:tc>
          <w:tcPr>
            <w:tcW w:w="0" w:type="dxa"/>
            <w:vAlign w:val="bottom"/>
          </w:tcPr>
          <w:p>
            <w:pPr>
              <w:spacing w:after="0"/>
              <w:rPr>
                <w:sz w:val="1"/>
                <w:szCs w:val="1"/>
                <w:color w:val="auto"/>
              </w:rPr>
            </w:pPr>
          </w:p>
        </w:tc>
      </w:tr>
      <w:tr>
        <w:trPr>
          <w:trHeight w:val="146"/>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(5,275)</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340,383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340,383</w:t>
            </w:r>
          </w:p>
        </w:tc>
        <w:tc>
          <w:tcPr>
            <w:tcW w:w="0" w:type="dxa"/>
            <w:vAlign w:val="bottom"/>
          </w:tcPr>
          <w:p>
            <w:pPr>
              <w:spacing w:after="0"/>
              <w:rPr>
                <w:sz w:val="1"/>
                <w:szCs w:val="1"/>
                <w:color w:val="auto"/>
              </w:rPr>
            </w:pPr>
          </w:p>
        </w:tc>
      </w:tr>
      <w:tr>
        <w:trPr>
          <w:trHeight w:val="158"/>
        </w:trPr>
        <w:tc>
          <w:tcPr>
            <w:tcW w:w="4220" w:type="dxa"/>
            <w:vAlign w:val="bottom"/>
            <w:tcBorders>
              <w:top w:val="single" w:sz="8" w:color="CCEEFF"/>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color w:val="auto"/>
              </w:rPr>
              <w:t>Balance as of October 31, 2021</w:t>
            </w:r>
          </w:p>
        </w:tc>
        <w:tc>
          <w:tcPr>
            <w:tcW w:w="10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297,936,957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3,561,050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(5,128)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1,557,466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5,113,685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w w:val="95"/>
              </w:rPr>
              <w:t>Three Months Ended October 31, 2020</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19"/>
                <w:szCs w:val="19"/>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center"/>
              <w:ind w:right="127"/>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77"/>
        </w:trPr>
        <w:tc>
          <w:tcPr>
            <w:tcW w:w="422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tcPr>
          <w:p>
            <w:pPr>
              <w:jc w:val="center"/>
              <w:ind w:right="240"/>
              <w:spacing w:after="0" w:line="78" w:lineRule="exact"/>
              <w:rPr>
                <w:sz w:val="20"/>
                <w:szCs w:val="20"/>
                <w:color w:val="auto"/>
              </w:rPr>
            </w:pPr>
            <w:r>
              <w:rPr>
                <w:rFonts w:ascii="Arial" w:cs="Arial" w:eastAsia="Arial" w:hAnsi="Arial"/>
                <w:sz w:val="8"/>
                <w:szCs w:val="8"/>
                <w:b w:val="1"/>
                <w:bCs w:val="1"/>
                <w:color w:val="auto"/>
              </w:rPr>
              <w:t>Paid-In</w:t>
            </w:r>
          </w:p>
        </w:tc>
        <w:tc>
          <w:tcPr>
            <w:tcW w:w="80" w:type="dxa"/>
            <w:vAlign w:val="bottom"/>
          </w:tcPr>
          <w:p>
            <w:pPr>
              <w:spacing w:after="0"/>
              <w:rPr>
                <w:sz w:val="6"/>
                <w:szCs w:val="6"/>
                <w:color w:val="auto"/>
              </w:rPr>
            </w:pPr>
          </w:p>
        </w:tc>
        <w:tc>
          <w:tcPr>
            <w:tcW w:w="1340" w:type="dxa"/>
            <w:vAlign w:val="bottom"/>
            <w:gridSpan w:val="2"/>
          </w:tcPr>
          <w:p>
            <w:pPr>
              <w:jc w:val="center"/>
              <w:ind w:right="180"/>
              <w:spacing w:after="0" w:line="78" w:lineRule="exact"/>
              <w:rPr>
                <w:sz w:val="20"/>
                <w:szCs w:val="20"/>
                <w:color w:val="auto"/>
              </w:rPr>
            </w:pPr>
            <w:r>
              <w:rPr>
                <w:rFonts w:ascii="Arial" w:cs="Arial" w:eastAsia="Arial" w:hAnsi="Arial"/>
                <w:sz w:val="8"/>
                <w:szCs w:val="8"/>
                <w:b w:val="1"/>
                <w:bCs w:val="1"/>
                <w:color w:val="auto"/>
              </w:rPr>
              <w:t>Accumulated Other</w:t>
            </w: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jc w:val="center"/>
              <w:ind w:right="127"/>
              <w:spacing w:after="0" w:line="78"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1140" w:type="dxa"/>
            <w:vAlign w:val="bottom"/>
            <w:gridSpan w:val="2"/>
          </w:tcPr>
          <w:p>
            <w:pPr>
              <w:ind w:left="38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Comprehensive Income</w:t>
            </w:r>
          </w:p>
        </w:tc>
        <w:tc>
          <w:tcPr>
            <w:tcW w:w="10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Retained Earnings</w:t>
            </w:r>
          </w:p>
        </w:tc>
        <w:tc>
          <w:tcPr>
            <w:tcW w:w="180" w:type="dxa"/>
            <w:vAlign w:val="bottom"/>
          </w:tcPr>
          <w:p>
            <w:pPr>
              <w:spacing w:after="0"/>
              <w:rPr>
                <w:sz w:val="12"/>
                <w:szCs w:val="12"/>
                <w:color w:val="auto"/>
              </w:rPr>
            </w:pPr>
          </w:p>
        </w:tc>
        <w:tc>
          <w:tcPr>
            <w:tcW w:w="1100" w:type="dxa"/>
            <w:vAlign w:val="bottom"/>
          </w:tcPr>
          <w:p>
            <w:pPr>
              <w:jc w:val="center"/>
              <w:ind w:right="127"/>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4"/>
        </w:trPr>
        <w:tc>
          <w:tcPr>
            <w:tcW w:w="4220" w:type="dxa"/>
            <w:vAlign w:val="bottom"/>
            <w:tcBorders>
              <w:top w:val="single" w:sz="8" w:color="CCEEFF"/>
            </w:tcBorders>
            <w:shd w:val="clear" w:color="auto" w:fill="CCEEFF"/>
          </w:tcPr>
          <w:p>
            <w:pPr>
              <w:ind w:left="20"/>
              <w:spacing w:after="0" w:line="118" w:lineRule="exact"/>
              <w:rPr>
                <w:sz w:val="20"/>
                <w:szCs w:val="20"/>
                <w:color w:val="auto"/>
              </w:rPr>
            </w:pPr>
            <w:r>
              <w:rPr>
                <w:rFonts w:ascii="Arial" w:cs="Arial" w:eastAsia="Arial" w:hAnsi="Arial"/>
                <w:sz w:val="11"/>
                <w:szCs w:val="11"/>
                <w:color w:val="auto"/>
              </w:rPr>
              <w:t>Balance as of July 31, 2020</w:t>
            </w:r>
          </w:p>
        </w:tc>
        <w:tc>
          <w:tcPr>
            <w:tcW w:w="10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284,342,719</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283</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982,541</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213,216</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1,198,812</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1,333,924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6,609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6,610</w:t>
            </w:r>
          </w:p>
        </w:tc>
        <w:tc>
          <w:tcPr>
            <w:tcW w:w="0" w:type="dxa"/>
            <w:vAlign w:val="bottom"/>
          </w:tcPr>
          <w:p>
            <w:pPr>
              <w:spacing w:after="0"/>
              <w:rPr>
                <w:sz w:val="1"/>
                <w:szCs w:val="1"/>
                <w:color w:val="auto"/>
              </w:rPr>
            </w:pPr>
          </w:p>
        </w:tc>
      </w:tr>
      <w:tr>
        <w:trPr>
          <w:trHeight w:val="146"/>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release of restricted stock units</w:t>
            </w: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268,936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97,309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97,309</w:t>
            </w:r>
          </w:p>
        </w:tc>
        <w:tc>
          <w:tcPr>
            <w:tcW w:w="0" w:type="dxa"/>
            <w:vAlign w:val="bottom"/>
          </w:tcPr>
          <w:p>
            <w:pPr>
              <w:spacing w:after="0"/>
              <w:rPr>
                <w:sz w:val="1"/>
                <w:szCs w:val="1"/>
                <w:color w:val="auto"/>
              </w:rPr>
            </w:pPr>
          </w:p>
        </w:tc>
      </w:tr>
      <w:tr>
        <w:trPr>
          <w:trHeight w:val="146"/>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(1,455)</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198,642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198,642</w:t>
            </w:r>
          </w:p>
        </w:tc>
        <w:tc>
          <w:tcPr>
            <w:tcW w:w="0" w:type="dxa"/>
            <w:vAlign w:val="bottom"/>
          </w:tcPr>
          <w:p>
            <w:pPr>
              <w:spacing w:after="0"/>
              <w:rPr>
                <w:sz w:val="1"/>
                <w:szCs w:val="1"/>
                <w:color w:val="auto"/>
              </w:rPr>
            </w:pPr>
          </w:p>
        </w:tc>
      </w:tr>
      <w:tr>
        <w:trPr>
          <w:trHeight w:val="158"/>
        </w:trPr>
        <w:tc>
          <w:tcPr>
            <w:tcW w:w="4220" w:type="dxa"/>
            <w:vAlign w:val="bottom"/>
            <w:tcBorders>
              <w:top w:val="single" w:sz="8" w:color="CCEEFF"/>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color w:val="auto"/>
              </w:rPr>
              <w:t>Balance as of October 31, 2020</w:t>
            </w:r>
          </w:p>
        </w:tc>
        <w:tc>
          <w:tcPr>
            <w:tcW w:w="10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285,945,579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1,086,459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411,858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1,499,918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22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1"/>
                <w:szCs w:val="11"/>
                <w:b w:val="1"/>
                <w:bCs w:val="1"/>
                <w:color w:val="auto"/>
                <w:w w:val="95"/>
              </w:rPr>
              <w:t>Nine Months Ended October 31, 2021</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1"/>
                <w:szCs w:val="11"/>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220" w:type="dxa"/>
            <w:vAlign w:val="bottom"/>
          </w:tcPr>
          <w:p>
            <w:pPr>
              <w:spacing w:after="0"/>
              <w:rPr>
                <w:sz w:val="8"/>
                <w:szCs w:val="8"/>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22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tcPr>
          <w:p>
            <w:pPr>
              <w:jc w:val="center"/>
              <w:ind w:right="240"/>
              <w:spacing w:after="0" w:line="78" w:lineRule="exact"/>
              <w:rPr>
                <w:sz w:val="20"/>
                <w:szCs w:val="20"/>
                <w:color w:val="auto"/>
              </w:rPr>
            </w:pPr>
            <w:r>
              <w:rPr>
                <w:rFonts w:ascii="Arial" w:cs="Arial" w:eastAsia="Arial" w:hAnsi="Arial"/>
                <w:sz w:val="8"/>
                <w:szCs w:val="8"/>
                <w:b w:val="1"/>
                <w:bCs w:val="1"/>
                <w:color w:val="auto"/>
              </w:rPr>
              <w:t>Paid-In</w:t>
            </w:r>
          </w:p>
        </w:tc>
        <w:tc>
          <w:tcPr>
            <w:tcW w:w="80" w:type="dxa"/>
            <w:vAlign w:val="bottom"/>
          </w:tcPr>
          <w:p>
            <w:pPr>
              <w:spacing w:after="0"/>
              <w:rPr>
                <w:sz w:val="6"/>
                <w:szCs w:val="6"/>
                <w:color w:val="auto"/>
              </w:rPr>
            </w:pPr>
          </w:p>
        </w:tc>
        <w:tc>
          <w:tcPr>
            <w:tcW w:w="1340" w:type="dxa"/>
            <w:vAlign w:val="bottom"/>
            <w:gridSpan w:val="2"/>
          </w:tcPr>
          <w:p>
            <w:pPr>
              <w:jc w:val="center"/>
              <w:ind w:right="180"/>
              <w:spacing w:after="0" w:line="78" w:lineRule="exact"/>
              <w:rPr>
                <w:sz w:val="20"/>
                <w:szCs w:val="20"/>
                <w:color w:val="auto"/>
              </w:rPr>
            </w:pPr>
            <w:r>
              <w:rPr>
                <w:rFonts w:ascii="Arial" w:cs="Arial" w:eastAsia="Arial" w:hAnsi="Arial"/>
                <w:sz w:val="8"/>
                <w:szCs w:val="8"/>
                <w:b w:val="1"/>
                <w:bCs w:val="1"/>
                <w:color w:val="auto"/>
              </w:rPr>
              <w:t>Comprehensive</w:t>
            </w: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jc w:val="center"/>
              <w:ind w:right="47"/>
              <w:spacing w:after="0" w:line="78"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1140" w:type="dxa"/>
            <w:vAlign w:val="bottom"/>
            <w:gridSpan w:val="2"/>
          </w:tcPr>
          <w:p>
            <w:pPr>
              <w:ind w:left="38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Retained Earnings</w:t>
            </w:r>
          </w:p>
        </w:tc>
        <w:tc>
          <w:tcPr>
            <w:tcW w:w="100" w:type="dxa"/>
            <w:vAlign w:val="bottom"/>
          </w:tcPr>
          <w:p>
            <w:pPr>
              <w:spacing w:after="0"/>
              <w:rPr>
                <w:sz w:val="12"/>
                <w:szCs w:val="12"/>
                <w:color w:val="auto"/>
              </w:rPr>
            </w:pPr>
          </w:p>
        </w:tc>
        <w:tc>
          <w:tcPr>
            <w:tcW w:w="1180" w:type="dxa"/>
            <w:vAlign w:val="bottom"/>
          </w:tcPr>
          <w:p>
            <w:pPr>
              <w:jc w:val="center"/>
              <w:ind w:right="67"/>
              <w:spacing w:after="0"/>
              <w:rPr>
                <w:sz w:val="20"/>
                <w:szCs w:val="20"/>
                <w:color w:val="auto"/>
              </w:rPr>
            </w:pPr>
            <w:r>
              <w:rPr>
                <w:rFonts w:ascii="Arial" w:cs="Arial" w:eastAsia="Arial" w:hAnsi="Arial"/>
                <w:sz w:val="11"/>
                <w:szCs w:val="11"/>
                <w:b w:val="1"/>
                <w:bCs w:val="1"/>
                <w:color w:val="auto"/>
                <w:w w:val="89"/>
              </w:rPr>
              <w:t>Stockholders’ Equity</w:t>
            </w:r>
          </w:p>
        </w:tc>
        <w:tc>
          <w:tcPr>
            <w:tcW w:w="0" w:type="dxa"/>
            <w:vAlign w:val="bottom"/>
          </w:tcPr>
          <w:p>
            <w:pPr>
              <w:spacing w:after="0"/>
              <w:rPr>
                <w:sz w:val="1"/>
                <w:szCs w:val="1"/>
                <w:color w:val="auto"/>
              </w:rPr>
            </w:pPr>
          </w:p>
        </w:tc>
      </w:tr>
      <w:tr>
        <w:trPr>
          <w:trHeight w:val="134"/>
        </w:trPr>
        <w:tc>
          <w:tcPr>
            <w:tcW w:w="4220" w:type="dxa"/>
            <w:vAlign w:val="bottom"/>
            <w:tcBorders>
              <w:top w:val="single" w:sz="8" w:color="CCEEFF"/>
            </w:tcBorders>
            <w:shd w:val="clear" w:color="auto" w:fill="CCEEFF"/>
          </w:tcPr>
          <w:p>
            <w:pPr>
              <w:ind w:left="20"/>
              <w:spacing w:after="0" w:line="118" w:lineRule="exact"/>
              <w:rPr>
                <w:sz w:val="20"/>
                <w:szCs w:val="20"/>
                <w:color w:val="auto"/>
              </w:rPr>
            </w:pPr>
            <w:r>
              <w:rPr>
                <w:rFonts w:ascii="Arial" w:cs="Arial" w:eastAsia="Arial" w:hAnsi="Arial"/>
                <w:sz w:val="11"/>
                <w:szCs w:val="11"/>
                <w:color w:val="auto"/>
              </w:rPr>
              <w:t>Balance as of January 31, 2021</w:t>
            </w:r>
          </w:p>
        </w:tc>
        <w:tc>
          <w:tcPr>
            <w:tcW w:w="10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293,549,223</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292</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3,187,168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672,468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3,860,767</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2,205,249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11,359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11,362</w:t>
            </w:r>
          </w:p>
        </w:tc>
        <w:tc>
          <w:tcPr>
            <w:tcW w:w="0" w:type="dxa"/>
            <w:vAlign w:val="bottom"/>
          </w:tcPr>
          <w:p>
            <w:pPr>
              <w:spacing w:after="0"/>
              <w:rPr>
                <w:sz w:val="1"/>
                <w:szCs w:val="1"/>
                <w:color w:val="auto"/>
              </w:rPr>
            </w:pPr>
          </w:p>
        </w:tc>
      </w:tr>
      <w:tr>
        <w:trPr>
          <w:trHeight w:val="146"/>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release of restricted stock units</w:t>
            </w: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1,480,536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Issuance of common stock for employee stock purchase plan</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701,949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37,845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37,846</w:t>
            </w:r>
          </w:p>
        </w:tc>
        <w:tc>
          <w:tcPr>
            <w:tcW w:w="0" w:type="dxa"/>
            <w:vAlign w:val="bottom"/>
          </w:tcPr>
          <w:p>
            <w:pPr>
              <w:spacing w:after="0"/>
              <w:rPr>
                <w:sz w:val="1"/>
                <w:szCs w:val="1"/>
                <w:color w:val="auto"/>
              </w:rPr>
            </w:pPr>
          </w:p>
        </w:tc>
      </w:tr>
      <w:tr>
        <w:trPr>
          <w:trHeight w:val="146"/>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324,678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324,678</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(5,967)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(5,967)</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884,998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884,998</w:t>
            </w:r>
          </w:p>
        </w:tc>
        <w:tc>
          <w:tcPr>
            <w:tcW w:w="0" w:type="dxa"/>
            <w:vAlign w:val="bottom"/>
          </w:tcPr>
          <w:p>
            <w:pPr>
              <w:spacing w:after="0"/>
              <w:rPr>
                <w:sz w:val="1"/>
                <w:szCs w:val="1"/>
                <w:color w:val="auto"/>
              </w:rPr>
            </w:pPr>
          </w:p>
        </w:tc>
      </w:tr>
      <w:tr>
        <w:trPr>
          <w:trHeight w:val="136"/>
        </w:trPr>
        <w:tc>
          <w:tcPr>
            <w:tcW w:w="4220" w:type="dxa"/>
            <w:vAlign w:val="bottom"/>
          </w:tcPr>
          <w:p>
            <w:pPr>
              <w:ind w:left="20"/>
              <w:spacing w:after="0"/>
              <w:rPr>
                <w:sz w:val="20"/>
                <w:szCs w:val="20"/>
                <w:color w:val="auto"/>
              </w:rPr>
            </w:pPr>
            <w:r>
              <w:rPr>
                <w:rFonts w:ascii="Arial" w:cs="Arial" w:eastAsia="Arial" w:hAnsi="Arial"/>
                <w:sz w:val="11"/>
                <w:szCs w:val="11"/>
                <w:color w:val="auto"/>
              </w:rPr>
              <w:t>Balance as of October 31, 2021</w:t>
            </w:r>
          </w:p>
        </w:tc>
        <w:tc>
          <w:tcPr>
            <w:tcW w:w="10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297,936,957</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297</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3,561,050</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(5,128)</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1,557,466</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5,113,685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1"/>
                <w:szCs w:val="11"/>
                <w:b w:val="1"/>
                <w:bCs w:val="1"/>
                <w:color w:val="auto"/>
                <w:w w:val="95"/>
              </w:rPr>
              <w:t>Nine Months Ended October 31, 2020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19"/>
                <w:szCs w:val="19"/>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47"/>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77"/>
        </w:trPr>
        <w:tc>
          <w:tcPr>
            <w:tcW w:w="422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tcPr>
          <w:p>
            <w:pPr>
              <w:jc w:val="center"/>
              <w:ind w:right="240"/>
              <w:spacing w:after="0" w:line="78" w:lineRule="exact"/>
              <w:rPr>
                <w:sz w:val="20"/>
                <w:szCs w:val="20"/>
                <w:color w:val="auto"/>
              </w:rPr>
            </w:pPr>
            <w:r>
              <w:rPr>
                <w:rFonts w:ascii="Arial" w:cs="Arial" w:eastAsia="Arial" w:hAnsi="Arial"/>
                <w:sz w:val="8"/>
                <w:szCs w:val="8"/>
                <w:b w:val="1"/>
                <w:bCs w:val="1"/>
                <w:color w:val="auto"/>
              </w:rPr>
              <w:t>Paid-In</w:t>
            </w:r>
          </w:p>
        </w:tc>
        <w:tc>
          <w:tcPr>
            <w:tcW w:w="80" w:type="dxa"/>
            <w:vAlign w:val="bottom"/>
          </w:tcPr>
          <w:p>
            <w:pPr>
              <w:spacing w:after="0"/>
              <w:rPr>
                <w:sz w:val="6"/>
                <w:szCs w:val="6"/>
                <w:color w:val="auto"/>
              </w:rPr>
            </w:pPr>
          </w:p>
        </w:tc>
        <w:tc>
          <w:tcPr>
            <w:tcW w:w="1340" w:type="dxa"/>
            <w:vAlign w:val="bottom"/>
            <w:gridSpan w:val="2"/>
          </w:tcPr>
          <w:p>
            <w:pPr>
              <w:jc w:val="center"/>
              <w:ind w:right="180"/>
              <w:spacing w:after="0" w:line="78" w:lineRule="exact"/>
              <w:rPr>
                <w:sz w:val="20"/>
                <w:szCs w:val="20"/>
                <w:color w:val="auto"/>
              </w:rPr>
            </w:pPr>
            <w:r>
              <w:rPr>
                <w:rFonts w:ascii="Arial" w:cs="Arial" w:eastAsia="Arial" w:hAnsi="Arial"/>
                <w:sz w:val="8"/>
                <w:szCs w:val="8"/>
                <w:b w:val="1"/>
                <w:bCs w:val="1"/>
                <w:color w:val="auto"/>
              </w:rPr>
              <w:t>Accumulated Other</w:t>
            </w: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jc w:val="center"/>
              <w:ind w:right="47"/>
              <w:spacing w:after="0" w:line="78"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1140" w:type="dxa"/>
            <w:vAlign w:val="bottom"/>
            <w:gridSpan w:val="2"/>
          </w:tcPr>
          <w:p>
            <w:pPr>
              <w:ind w:left="38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Comprehensive Income</w:t>
            </w:r>
          </w:p>
        </w:tc>
        <w:tc>
          <w:tcPr>
            <w:tcW w:w="10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Retained Earnings</w:t>
            </w:r>
          </w:p>
        </w:tc>
        <w:tc>
          <w:tcPr>
            <w:tcW w:w="100" w:type="dxa"/>
            <w:vAlign w:val="bottom"/>
          </w:tcPr>
          <w:p>
            <w:pPr>
              <w:spacing w:after="0"/>
              <w:rPr>
                <w:sz w:val="12"/>
                <w:szCs w:val="12"/>
                <w:color w:val="auto"/>
              </w:rPr>
            </w:pPr>
          </w:p>
        </w:tc>
        <w:tc>
          <w:tcPr>
            <w:tcW w:w="1180" w:type="dxa"/>
            <w:vAlign w:val="bottom"/>
          </w:tcPr>
          <w:p>
            <w:pPr>
              <w:jc w:val="center"/>
              <w:ind w:right="47"/>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4"/>
        </w:trPr>
        <w:tc>
          <w:tcPr>
            <w:tcW w:w="4220" w:type="dxa"/>
            <w:vAlign w:val="bottom"/>
            <w:tcBorders>
              <w:top w:val="single" w:sz="8" w:color="CFF0FC"/>
            </w:tcBorders>
            <w:shd w:val="clear" w:color="auto" w:fill="CFF0FC"/>
          </w:tcPr>
          <w:p>
            <w:pPr>
              <w:ind w:left="20"/>
              <w:spacing w:after="0" w:line="118" w:lineRule="exact"/>
              <w:rPr>
                <w:sz w:val="20"/>
                <w:szCs w:val="20"/>
                <w:color w:val="auto"/>
              </w:rPr>
            </w:pPr>
            <w:r>
              <w:rPr>
                <w:rFonts w:ascii="Arial" w:cs="Arial" w:eastAsia="Arial" w:hAnsi="Arial"/>
                <w:sz w:val="11"/>
                <w:szCs w:val="11"/>
                <w:color w:val="auto"/>
              </w:rPr>
              <w:t>Balance as of January 31, 2020</w:t>
            </w:r>
          </w:p>
        </w:tc>
        <w:tc>
          <w:tcPr>
            <w:tcW w:w="10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278,731,143</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277</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832,705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833,943</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6,164,676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24,285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24,291</w:t>
            </w:r>
          </w:p>
        </w:tc>
        <w:tc>
          <w:tcPr>
            <w:tcW w:w="0" w:type="dxa"/>
            <w:vAlign w:val="bottom"/>
          </w:tcPr>
          <w:p>
            <w:pPr>
              <w:spacing w:after="0"/>
              <w:rPr>
                <w:sz w:val="1"/>
                <w:szCs w:val="1"/>
                <w:color w:val="auto"/>
              </w:rPr>
            </w:pPr>
          </w:p>
        </w:tc>
      </w:tr>
      <w:tr>
        <w:trPr>
          <w:trHeight w:val="146"/>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release of restricted stock units</w:t>
            </w: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443,836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Charitable donation of common stock</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23,312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23,312</w:t>
            </w:r>
          </w:p>
        </w:tc>
        <w:tc>
          <w:tcPr>
            <w:tcW w:w="0" w:type="dxa"/>
            <w:vAlign w:val="bottom"/>
          </w:tcPr>
          <w:p>
            <w:pPr>
              <w:spacing w:after="0"/>
              <w:rPr>
                <w:sz w:val="1"/>
                <w:szCs w:val="1"/>
                <w:color w:val="auto"/>
              </w:rPr>
            </w:pPr>
          </w:p>
        </w:tc>
      </w:tr>
      <w:tr>
        <w:trPr>
          <w:trHeight w:val="146"/>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for employee stock purchase plan</w:t>
            </w: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605,924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20,760</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185,398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185,398</w:t>
            </w:r>
          </w:p>
        </w:tc>
        <w:tc>
          <w:tcPr>
            <w:tcW w:w="0" w:type="dxa"/>
            <w:vAlign w:val="bottom"/>
          </w:tcPr>
          <w:p>
            <w:pPr>
              <w:spacing w:after="0"/>
              <w:rPr>
                <w:sz w:val="1"/>
                <w:szCs w:val="1"/>
                <w:color w:val="auto"/>
              </w:rPr>
            </w:pPr>
          </w:p>
        </w:tc>
      </w:tr>
      <w:tr>
        <w:trPr>
          <w:trHeight w:val="146"/>
        </w:trPr>
        <w:tc>
          <w:tcPr>
            <w:tcW w:w="4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w:t>
            </w:r>
          </w:p>
        </w:tc>
        <w:tc>
          <w:tcPr>
            <w:tcW w:w="0" w:type="dxa"/>
            <w:vAlign w:val="bottom"/>
          </w:tcPr>
          <w:p>
            <w:pPr>
              <w:spacing w:after="0"/>
              <w:rPr>
                <w:sz w:val="1"/>
                <w:szCs w:val="1"/>
                <w:color w:val="auto"/>
              </w:rPr>
            </w:pPr>
          </w:p>
        </w:tc>
      </w:tr>
      <w:tr>
        <w:trPr>
          <w:trHeight w:val="140"/>
        </w:trPr>
        <w:tc>
          <w:tcPr>
            <w:tcW w:w="42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411,706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411,706</w:t>
            </w:r>
          </w:p>
        </w:tc>
        <w:tc>
          <w:tcPr>
            <w:tcW w:w="0" w:type="dxa"/>
            <w:vAlign w:val="bottom"/>
          </w:tcPr>
          <w:p>
            <w:pPr>
              <w:spacing w:after="0"/>
              <w:rPr>
                <w:sz w:val="1"/>
                <w:szCs w:val="1"/>
                <w:color w:val="auto"/>
              </w:rPr>
            </w:pPr>
          </w:p>
        </w:tc>
      </w:tr>
      <w:tr>
        <w:trPr>
          <w:trHeight w:val="16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as of October 31, 2020</w:t>
            </w:r>
          </w:p>
        </w:tc>
        <w:tc>
          <w:tcPr>
            <w:tcW w:w="10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285,945,579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1,086,459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411,858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1,499,918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220" w:type="dxa"/>
            <w:vAlign w:val="bottom"/>
          </w:tcPr>
          <w:p>
            <w:pPr>
              <w:spacing w:after="0"/>
              <w:rPr>
                <w:sz w:val="12"/>
                <w:szCs w:val="12"/>
                <w:color w:val="auto"/>
              </w:rPr>
            </w:pPr>
          </w:p>
        </w:tc>
        <w:tc>
          <w:tcPr>
            <w:tcW w:w="24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1"/>
                <w:szCs w:val="11"/>
                <w:b w:val="1"/>
                <w:bCs w:val="1"/>
                <w:color w:val="auto"/>
              </w:rPr>
              <w:t>Nine Months Ended October 31,</w:t>
            </w:r>
          </w:p>
        </w:tc>
        <w:tc>
          <w:tcPr>
            <w:tcW w:w="580" w:type="dxa"/>
            <w:vAlign w:val="bottom"/>
            <w:tcBorders>
              <w:bottom w:val="single" w:sz="8" w:color="auto"/>
            </w:tcBorders>
          </w:tcPr>
          <w:p>
            <w:pPr>
              <w:spacing w:after="0"/>
              <w:rPr>
                <w:sz w:val="12"/>
                <w:szCs w:val="12"/>
                <w:color w:val="auto"/>
              </w:rPr>
            </w:pPr>
          </w:p>
        </w:tc>
      </w:tr>
      <w:tr>
        <w:trPr>
          <w:trHeight w:val="136"/>
        </w:trPr>
        <w:tc>
          <w:tcPr>
            <w:tcW w:w="82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1"/>
                <w:szCs w:val="11"/>
                <w:color w:val="auto"/>
              </w:rPr>
            </w:pPr>
          </w:p>
        </w:tc>
      </w:tr>
      <w:tr>
        <w:trPr>
          <w:trHeight w:val="124"/>
        </w:trPr>
        <w:tc>
          <w:tcPr>
            <w:tcW w:w="82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Cash flows from operating activities:</w:t>
            </w:r>
          </w:p>
        </w:tc>
        <w:tc>
          <w:tcPr>
            <w:tcW w:w="8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0"/>
        </w:trPr>
        <w:tc>
          <w:tcPr>
            <w:tcW w:w="82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880" w:type="dxa"/>
            <w:vAlign w:val="bottom"/>
          </w:tcPr>
          <w:p>
            <w:pPr>
              <w:jc w:val="right"/>
              <w:ind w:right="76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884,998</w:t>
            </w:r>
          </w:p>
        </w:tc>
        <w:tc>
          <w:tcPr>
            <w:tcW w:w="140" w:type="dxa"/>
            <w:vAlign w:val="bottom"/>
          </w:tcPr>
          <w:p>
            <w:pPr>
              <w:spacing w:after="0"/>
              <w:rPr>
                <w:sz w:val="12"/>
                <w:szCs w:val="12"/>
                <w:color w:val="auto"/>
              </w:rPr>
            </w:pP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411,706</w:t>
            </w:r>
          </w:p>
        </w:tc>
      </w:tr>
      <w:tr>
        <w:trPr>
          <w:trHeight w:val="146"/>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0"/>
        </w:trPr>
        <w:tc>
          <w:tcPr>
            <w:tcW w:w="8220" w:type="dxa"/>
            <w:vAlign w:val="bottom"/>
          </w:tcPr>
          <w:p>
            <w:pPr>
              <w:ind w:left="160"/>
              <w:spacing w:after="0"/>
              <w:rPr>
                <w:sz w:val="20"/>
                <w:szCs w:val="20"/>
                <w:color w:val="auto"/>
              </w:rPr>
            </w:pPr>
            <w:r>
              <w:rPr>
                <w:rFonts w:ascii="Arial" w:cs="Arial" w:eastAsia="Arial" w:hAnsi="Arial"/>
                <w:sz w:val="11"/>
                <w:szCs w:val="11"/>
                <w:color w:val="auto"/>
              </w:rPr>
              <w:t>Stock-based compensation expense</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315,912</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179,557</w:t>
            </w:r>
          </w:p>
        </w:tc>
      </w:tr>
      <w:tr>
        <w:trPr>
          <w:trHeight w:val="146"/>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Amortization of deferred contract acquisition costs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125,691</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71,281</w:t>
            </w:r>
          </w:p>
        </w:tc>
      </w:tr>
      <w:tr>
        <w:trPr>
          <w:trHeight w:val="140"/>
        </w:trPr>
        <w:tc>
          <w:tcPr>
            <w:tcW w:w="8220" w:type="dxa"/>
            <w:vAlign w:val="bottom"/>
          </w:tcPr>
          <w:p>
            <w:pPr>
              <w:ind w:left="160"/>
              <w:spacing w:after="0"/>
              <w:rPr>
                <w:sz w:val="20"/>
                <w:szCs w:val="20"/>
                <w:color w:val="auto"/>
              </w:rPr>
            </w:pPr>
            <w:r>
              <w:rPr>
                <w:rFonts w:ascii="Arial" w:cs="Arial" w:eastAsia="Arial" w:hAnsi="Arial"/>
                <w:sz w:val="11"/>
                <w:szCs w:val="11"/>
                <w:color w:val="auto"/>
              </w:rPr>
              <w:t>Gains on strategic investments, net</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(154,497)</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(2,538)</w:t>
            </w:r>
          </w:p>
        </w:tc>
      </w:tr>
      <w:tr>
        <w:trPr>
          <w:trHeight w:val="146"/>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Depreciation and amortization</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35,275</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19,401</w:t>
            </w:r>
          </w:p>
        </w:tc>
      </w:tr>
      <w:tr>
        <w:trPr>
          <w:trHeight w:val="140"/>
        </w:trPr>
        <w:tc>
          <w:tcPr>
            <w:tcW w:w="8220" w:type="dxa"/>
            <w:vAlign w:val="bottom"/>
          </w:tcPr>
          <w:p>
            <w:pPr>
              <w:ind w:left="160"/>
              <w:spacing w:after="0"/>
              <w:rPr>
                <w:sz w:val="20"/>
                <w:szCs w:val="20"/>
                <w:color w:val="auto"/>
              </w:rPr>
            </w:pPr>
            <w:r>
              <w:rPr>
                <w:rFonts w:ascii="Arial" w:cs="Arial" w:eastAsia="Arial" w:hAnsi="Arial"/>
                <w:sz w:val="11"/>
                <w:szCs w:val="11"/>
                <w:color w:val="auto"/>
              </w:rPr>
              <w:t>Provision for accounts receivable allowances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23,482</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20,218</w:t>
            </w:r>
          </w:p>
        </w:tc>
      </w:tr>
      <w:tr>
        <w:trPr>
          <w:trHeight w:val="146"/>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Non-cash operating lease cost</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13,131</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7,182</w:t>
            </w:r>
          </w:p>
        </w:tc>
      </w:tr>
      <w:tr>
        <w:trPr>
          <w:trHeight w:val="140"/>
        </w:trPr>
        <w:tc>
          <w:tcPr>
            <w:tcW w:w="8220" w:type="dxa"/>
            <w:vAlign w:val="bottom"/>
          </w:tcPr>
          <w:p>
            <w:pPr>
              <w:ind w:left="160"/>
              <w:spacing w:after="0"/>
              <w:rPr>
                <w:sz w:val="20"/>
                <w:szCs w:val="20"/>
                <w:color w:val="auto"/>
              </w:rPr>
            </w:pPr>
            <w:r>
              <w:rPr>
                <w:rFonts w:ascii="Arial" w:cs="Arial" w:eastAsia="Arial" w:hAnsi="Arial"/>
                <w:sz w:val="11"/>
                <w:szCs w:val="11"/>
                <w:color w:val="auto"/>
              </w:rPr>
              <w:t>Charitable donation of common stock</w:t>
            </w:r>
          </w:p>
        </w:tc>
        <w:tc>
          <w:tcPr>
            <w:tcW w:w="8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23,312</w:t>
            </w:r>
          </w:p>
        </w:tc>
      </w:tr>
      <w:tr>
        <w:trPr>
          <w:trHeight w:val="146"/>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Amortization on marketable securities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19,546</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2,787</w:t>
            </w:r>
          </w:p>
        </w:tc>
      </w:tr>
      <w:tr>
        <w:trPr>
          <w:trHeight w:val="140"/>
        </w:trPr>
        <w:tc>
          <w:tcPr>
            <w:tcW w:w="8220" w:type="dxa"/>
            <w:vAlign w:val="bottom"/>
          </w:tcPr>
          <w:p>
            <w:pPr>
              <w:ind w:left="160"/>
              <w:spacing w:after="0"/>
              <w:rPr>
                <w:sz w:val="20"/>
                <w:szCs w:val="20"/>
                <w:color w:val="auto"/>
              </w:rPr>
            </w:pPr>
            <w:r>
              <w:rPr>
                <w:rFonts w:ascii="Arial" w:cs="Arial" w:eastAsia="Arial" w:hAnsi="Arial"/>
                <w:sz w:val="11"/>
                <w:szCs w:val="11"/>
                <w:color w:val="auto"/>
              </w:rPr>
              <w:t>Other</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2,127</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930</w:t>
            </w:r>
          </w:p>
        </w:tc>
      </w:tr>
      <w:tr>
        <w:trPr>
          <w:trHeight w:val="146"/>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Changes in operating assets and liabilities: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0"/>
        </w:trPr>
        <w:tc>
          <w:tcPr>
            <w:tcW w:w="8220" w:type="dxa"/>
            <w:vAlign w:val="bottom"/>
          </w:tcPr>
          <w:p>
            <w:pPr>
              <w:ind w:left="360"/>
              <w:spacing w:after="0"/>
              <w:rPr>
                <w:sz w:val="20"/>
                <w:szCs w:val="20"/>
                <w:color w:val="auto"/>
              </w:rPr>
            </w:pPr>
            <w:r>
              <w:rPr>
                <w:rFonts w:ascii="Arial" w:cs="Arial" w:eastAsia="Arial" w:hAnsi="Arial"/>
                <w:sz w:val="11"/>
                <w:szCs w:val="11"/>
                <w:color w:val="auto"/>
              </w:rPr>
              <w:t>Accounts receivable</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(108,541)</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(190,117)</w:t>
            </w:r>
          </w:p>
        </w:tc>
      </w:tr>
      <w:tr>
        <w:trPr>
          <w:trHeight w:val="146"/>
        </w:trPr>
        <w:tc>
          <w:tcPr>
            <w:tcW w:w="82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Prepaid expenses and other assets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(71,998)</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(48,258)</w:t>
            </w:r>
          </w:p>
        </w:tc>
      </w:tr>
      <w:tr>
        <w:trPr>
          <w:trHeight w:val="140"/>
        </w:trPr>
        <w:tc>
          <w:tcPr>
            <w:tcW w:w="8220" w:type="dxa"/>
            <w:vAlign w:val="bottom"/>
          </w:tcPr>
          <w:p>
            <w:pPr>
              <w:ind w:left="360"/>
              <w:spacing w:after="0"/>
              <w:rPr>
                <w:sz w:val="20"/>
                <w:szCs w:val="20"/>
                <w:color w:val="auto"/>
              </w:rPr>
            </w:pPr>
            <w:r>
              <w:rPr>
                <w:rFonts w:ascii="Arial" w:cs="Arial" w:eastAsia="Arial" w:hAnsi="Arial"/>
                <w:sz w:val="11"/>
                <w:szCs w:val="11"/>
                <w:color w:val="auto"/>
              </w:rPr>
              <w:t>Deferred contract acquisition costs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(165,305)</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(266,294)</w:t>
            </w:r>
          </w:p>
        </w:tc>
      </w:tr>
      <w:tr>
        <w:trPr>
          <w:trHeight w:val="146"/>
        </w:trPr>
        <w:tc>
          <w:tcPr>
            <w:tcW w:w="82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Accounts payable</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12,062</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8,773</w:t>
            </w:r>
          </w:p>
        </w:tc>
      </w:tr>
      <w:tr>
        <w:trPr>
          <w:trHeight w:val="140"/>
        </w:trPr>
        <w:tc>
          <w:tcPr>
            <w:tcW w:w="8220" w:type="dxa"/>
            <w:vAlign w:val="bottom"/>
          </w:tcPr>
          <w:p>
            <w:pPr>
              <w:ind w:left="360"/>
              <w:spacing w:after="0"/>
              <w:rPr>
                <w:sz w:val="20"/>
                <w:szCs w:val="20"/>
                <w:color w:val="auto"/>
              </w:rPr>
            </w:pPr>
            <w:r>
              <w:rPr>
                <w:rFonts w:ascii="Arial" w:cs="Arial" w:eastAsia="Arial" w:hAnsi="Arial"/>
                <w:sz w:val="11"/>
                <w:szCs w:val="11"/>
                <w:color w:val="auto"/>
              </w:rPr>
              <w:t>Accrued expenses and other liabilities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171,914</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203,919</w:t>
            </w:r>
          </w:p>
        </w:tc>
      </w:tr>
      <w:tr>
        <w:trPr>
          <w:trHeight w:val="146"/>
        </w:trPr>
        <w:tc>
          <w:tcPr>
            <w:tcW w:w="82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Deferred revenue</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304,513</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633,600</w:t>
            </w:r>
          </w:p>
        </w:tc>
      </w:tr>
      <w:tr>
        <w:trPr>
          <w:trHeight w:val="14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Operating lease liabilities, net</w:t>
            </w: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(12,440)</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(3,678)</w:t>
            </w:r>
          </w:p>
        </w:tc>
      </w:tr>
      <w:tr>
        <w:trPr>
          <w:trHeight w:val="136"/>
        </w:trPr>
        <w:tc>
          <w:tcPr>
            <w:tcW w:w="8220" w:type="dxa"/>
            <w:vAlign w:val="bottom"/>
            <w:shd w:val="clear" w:color="auto" w:fill="CCEEFF"/>
          </w:tcPr>
          <w:p>
            <w:pPr>
              <w:ind w:left="580"/>
              <w:spacing w:after="0" w:line="120" w:lineRule="exact"/>
              <w:rPr>
                <w:sz w:val="20"/>
                <w:szCs w:val="20"/>
                <w:color w:val="auto"/>
              </w:rPr>
            </w:pPr>
            <w:r>
              <w:rPr>
                <w:rFonts w:ascii="Arial" w:cs="Arial" w:eastAsia="Arial" w:hAnsi="Arial"/>
                <w:sz w:val="11"/>
                <w:szCs w:val="11"/>
                <w:color w:val="auto"/>
              </w:rPr>
              <w:t>Net cash provided by operating activities</w:t>
            </w: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1,395,870</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1,071,781</w:t>
            </w:r>
          </w:p>
        </w:tc>
      </w:tr>
      <w:tr>
        <w:trPr>
          <w:trHeight w:val="142"/>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4"/>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Purchases of marketable securities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(3,446,313)</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(1,016,109)</w:t>
            </w:r>
          </w:p>
        </w:tc>
      </w:tr>
      <w:tr>
        <w:trPr>
          <w:trHeight w:val="140"/>
        </w:trPr>
        <w:tc>
          <w:tcPr>
            <w:tcW w:w="8220" w:type="dxa"/>
            <w:vAlign w:val="bottom"/>
          </w:tcPr>
          <w:p>
            <w:pPr>
              <w:ind w:left="160"/>
              <w:spacing w:after="0"/>
              <w:rPr>
                <w:sz w:val="20"/>
                <w:szCs w:val="20"/>
                <w:color w:val="auto"/>
              </w:rPr>
            </w:pPr>
            <w:r>
              <w:rPr>
                <w:rFonts w:ascii="Arial" w:cs="Arial" w:eastAsia="Arial" w:hAnsi="Arial"/>
                <w:sz w:val="11"/>
                <w:szCs w:val="11"/>
                <w:color w:val="auto"/>
              </w:rPr>
              <w:t>Maturities of marketable securities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1,047,545</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406,607</w:t>
            </w:r>
          </w:p>
        </w:tc>
      </w:tr>
      <w:tr>
        <w:trPr>
          <w:trHeight w:val="146"/>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Sales of marketable securities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281,582</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36,897</w:t>
            </w:r>
          </w:p>
        </w:tc>
      </w:tr>
      <w:tr>
        <w:trPr>
          <w:trHeight w:val="140"/>
        </w:trPr>
        <w:tc>
          <w:tcPr>
            <w:tcW w:w="8220" w:type="dxa"/>
            <w:vAlign w:val="bottom"/>
          </w:tcPr>
          <w:p>
            <w:pPr>
              <w:ind w:left="160"/>
              <w:spacing w:after="0"/>
              <w:rPr>
                <w:sz w:val="20"/>
                <w:szCs w:val="20"/>
                <w:color w:val="auto"/>
              </w:rPr>
            </w:pPr>
            <w:r>
              <w:rPr>
                <w:rFonts w:ascii="Arial" w:cs="Arial" w:eastAsia="Arial" w:hAnsi="Arial"/>
                <w:sz w:val="11"/>
                <w:szCs w:val="11"/>
                <w:color w:val="auto"/>
              </w:rPr>
              <w:t>Purchases of property and equipment</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(111,816)</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(58,517)</w:t>
            </w:r>
          </w:p>
        </w:tc>
      </w:tr>
      <w:tr>
        <w:trPr>
          <w:trHeight w:val="146"/>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Purchases of strategic investments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(126,349)</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(13,000)</w:t>
            </w:r>
          </w:p>
        </w:tc>
      </w:tr>
      <w:tr>
        <w:trPr>
          <w:trHeight w:val="140"/>
        </w:trPr>
        <w:tc>
          <w:tcPr>
            <w:tcW w:w="8220" w:type="dxa"/>
            <w:vAlign w:val="bottom"/>
          </w:tcPr>
          <w:p>
            <w:pPr>
              <w:ind w:left="160"/>
              <w:spacing w:after="0"/>
              <w:rPr>
                <w:sz w:val="20"/>
                <w:szCs w:val="20"/>
                <w:color w:val="auto"/>
              </w:rPr>
            </w:pPr>
            <w:r>
              <w:rPr>
                <w:rFonts w:ascii="Arial" w:cs="Arial" w:eastAsia="Arial" w:hAnsi="Arial"/>
                <w:sz w:val="11"/>
                <w:szCs w:val="11"/>
                <w:color w:val="auto"/>
              </w:rPr>
              <w:t>Cash paid for acquisition, net of cash acquired</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(2,121)</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(26,486)</w:t>
            </w:r>
          </w:p>
        </w:tc>
      </w:tr>
      <w:tr>
        <w:trPr>
          <w:trHeight w:val="146"/>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Purchase of intangible assets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(9,626)</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(4,385)</w:t>
            </w:r>
          </w:p>
        </w:tc>
      </w:tr>
      <w:tr>
        <w:trPr>
          <w:trHeight w:val="140"/>
        </w:trPr>
        <w:tc>
          <w:tcPr>
            <w:tcW w:w="8220" w:type="dxa"/>
            <w:vAlign w:val="bottom"/>
          </w:tcPr>
          <w:p>
            <w:pPr>
              <w:ind w:left="160"/>
              <w:spacing w:after="0"/>
              <w:rPr>
                <w:sz w:val="20"/>
                <w:szCs w:val="20"/>
                <w:color w:val="auto"/>
              </w:rPr>
            </w:pPr>
            <w:r>
              <w:rPr>
                <w:rFonts w:ascii="Arial" w:cs="Arial" w:eastAsia="Arial" w:hAnsi="Arial"/>
                <w:sz w:val="11"/>
                <w:szCs w:val="11"/>
                <w:color w:val="auto"/>
              </w:rPr>
              <w:t>Other</w:t>
            </w:r>
          </w:p>
        </w:tc>
        <w:tc>
          <w:tcPr>
            <w:tcW w:w="8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1,616</w:t>
            </w:r>
          </w:p>
        </w:tc>
      </w:tr>
      <w:tr>
        <w:trPr>
          <w:trHeight w:val="136"/>
        </w:trPr>
        <w:tc>
          <w:tcPr>
            <w:tcW w:w="8220" w:type="dxa"/>
            <w:vAlign w:val="bottom"/>
            <w:tcBorders>
              <w:top w:val="single" w:sz="8" w:color="CCEEFF"/>
            </w:tcBorders>
            <w:shd w:val="clear" w:color="auto" w:fill="CCEEFF"/>
          </w:tcPr>
          <w:p>
            <w:pPr>
              <w:ind w:left="580"/>
              <w:spacing w:after="0" w:line="120" w:lineRule="exact"/>
              <w:rPr>
                <w:sz w:val="20"/>
                <w:szCs w:val="20"/>
                <w:color w:val="auto"/>
              </w:rPr>
            </w:pPr>
            <w:r>
              <w:rPr>
                <w:rFonts w:ascii="Arial" w:cs="Arial" w:eastAsia="Arial" w:hAnsi="Arial"/>
                <w:sz w:val="11"/>
                <w:szCs w:val="11"/>
                <w:color w:val="auto"/>
              </w:rPr>
              <w:t>Net cash used in investing activities</w:t>
            </w:r>
          </w:p>
        </w:tc>
        <w:tc>
          <w:tcPr>
            <w:tcW w:w="8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5"/>
              </w:rPr>
              <w:t>(2,367,098)</w:t>
            </w:r>
          </w:p>
        </w:tc>
        <w:tc>
          <w:tcPr>
            <w:tcW w:w="1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(673,377)</w:t>
            </w:r>
          </w:p>
        </w:tc>
      </w:tr>
      <w:tr>
        <w:trPr>
          <w:trHeight w:val="142"/>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4"/>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Proceeds from issuance of common stock for employee stock purchase plan</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37,846</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20,760</w:t>
            </w:r>
          </w:p>
        </w:tc>
      </w:tr>
      <w:tr>
        <w:trPr>
          <w:trHeight w:val="140"/>
        </w:trPr>
        <w:tc>
          <w:tcPr>
            <w:tcW w:w="8220" w:type="dxa"/>
            <w:vAlign w:val="bottom"/>
          </w:tcPr>
          <w:p>
            <w:pPr>
              <w:ind w:left="160"/>
              <w:spacing w:after="0"/>
              <w:rPr>
                <w:sz w:val="20"/>
                <w:szCs w:val="20"/>
                <w:color w:val="auto"/>
              </w:rPr>
            </w:pPr>
            <w:r>
              <w:rPr>
                <w:rFonts w:ascii="Arial" w:cs="Arial" w:eastAsia="Arial" w:hAnsi="Arial"/>
                <w:sz w:val="11"/>
                <w:szCs w:val="11"/>
                <w:color w:val="auto"/>
              </w:rPr>
              <w:t>Proceeds from employee equity transactions (remitted) to be remitted to employees and tax authorities, net</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(28,342)</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251,641</w:t>
            </w:r>
          </w:p>
        </w:tc>
      </w:tr>
      <w:tr>
        <w:trPr>
          <w:trHeight w:val="146"/>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Proceeds from exercise of stock options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11,044</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23,841</w:t>
            </w:r>
          </w:p>
        </w:tc>
      </w:tr>
      <w:tr>
        <w:trPr>
          <w:trHeight w:val="140"/>
        </w:trPr>
        <w:tc>
          <w:tcPr>
            <w:tcW w:w="822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8220" w:type="dxa"/>
            <w:vAlign w:val="bottom"/>
            <w:shd w:val="clear" w:color="auto" w:fill="CCEEFF"/>
          </w:tcPr>
          <w:p>
            <w:pPr>
              <w:ind w:left="580"/>
              <w:spacing w:after="0" w:line="120" w:lineRule="exact"/>
              <w:rPr>
                <w:sz w:val="20"/>
                <w:szCs w:val="20"/>
                <w:color w:val="auto"/>
              </w:rPr>
            </w:pPr>
            <w:r>
              <w:rPr>
                <w:rFonts w:ascii="Arial" w:cs="Arial" w:eastAsia="Arial" w:hAnsi="Arial"/>
                <w:sz w:val="11"/>
                <w:szCs w:val="11"/>
                <w:color w:val="auto"/>
              </w:rPr>
              <w:t>Net cash provided by financing activities</w:t>
            </w:r>
          </w:p>
        </w:tc>
        <w:tc>
          <w:tcPr>
            <w:tcW w:w="8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20,885</w:t>
            </w:r>
          </w:p>
        </w:tc>
        <w:tc>
          <w:tcPr>
            <w:tcW w:w="14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296,242</w:t>
            </w:r>
          </w:p>
        </w:tc>
      </w:tr>
      <w:tr>
        <w:trPr>
          <w:trHeight w:val="130"/>
        </w:trPr>
        <w:tc>
          <w:tcPr>
            <w:tcW w:w="8220" w:type="dxa"/>
            <w:vAlign w:val="bottom"/>
          </w:tcPr>
          <w:p>
            <w:pPr>
              <w:ind w:left="20"/>
              <w:spacing w:after="0" w:line="117" w:lineRule="exact"/>
              <w:rPr>
                <w:sz w:val="20"/>
                <w:szCs w:val="20"/>
                <w:color w:val="auto"/>
              </w:rPr>
            </w:pPr>
            <w:r>
              <w:rPr>
                <w:rFonts w:ascii="Arial" w:cs="Arial" w:eastAsia="Arial" w:hAnsi="Arial"/>
                <w:sz w:val="11"/>
                <w:szCs w:val="11"/>
                <w:color w:val="auto"/>
              </w:rPr>
              <w:t>Net (decrease) increase in cash, cash equivalents, and restricted cash</w:t>
            </w:r>
          </w:p>
        </w:tc>
        <w:tc>
          <w:tcPr>
            <w:tcW w:w="8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(950,343)</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694,646</w:t>
            </w:r>
          </w:p>
        </w:tc>
      </w:tr>
      <w:tr>
        <w:trPr>
          <w:trHeight w:val="146"/>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 beginning of period</w:t>
            </w:r>
          </w:p>
        </w:tc>
        <w:tc>
          <w:tcPr>
            <w:tcW w:w="8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2,293,116</w:t>
            </w:r>
          </w:p>
        </w:tc>
        <w:tc>
          <w:tcPr>
            <w:tcW w:w="14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334,082</w:t>
            </w:r>
          </w:p>
        </w:tc>
      </w:tr>
      <w:tr>
        <w:trPr>
          <w:trHeight w:val="130"/>
        </w:trPr>
        <w:tc>
          <w:tcPr>
            <w:tcW w:w="8220" w:type="dxa"/>
            <w:vAlign w:val="bottom"/>
          </w:tcPr>
          <w:p>
            <w:pPr>
              <w:ind w:left="20"/>
              <w:spacing w:after="0" w:line="117" w:lineRule="exact"/>
              <w:rPr>
                <w:sz w:val="20"/>
                <w:szCs w:val="20"/>
                <w:color w:val="auto"/>
              </w:rPr>
            </w:pPr>
            <w:r>
              <w:rPr>
                <w:rFonts w:ascii="Arial" w:cs="Arial" w:eastAsia="Arial" w:hAnsi="Arial"/>
                <w:sz w:val="11"/>
                <w:szCs w:val="11"/>
                <w:color w:val="auto"/>
              </w:rPr>
              <w:t>Cash, cash equivalents, and restricted cash – end of period</w:t>
            </w:r>
          </w:p>
        </w:tc>
        <w:tc>
          <w:tcPr>
            <w:tcW w:w="880" w:type="dxa"/>
            <w:vAlign w:val="bottom"/>
            <w:tcBorders>
              <w:bottom w:val="single" w:sz="8" w:color="auto"/>
            </w:tcBorders>
          </w:tcPr>
          <w:p>
            <w:pPr>
              <w:jc w:val="right"/>
              <w:ind w:right="76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1,342,773</w:t>
            </w:r>
          </w:p>
        </w:tc>
        <w:tc>
          <w:tcPr>
            <w:tcW w:w="140" w:type="dxa"/>
            <w:vAlign w:val="bottom"/>
          </w:tcPr>
          <w:p>
            <w:pPr>
              <w:spacing w:after="0"/>
              <w:rPr>
                <w:sz w:val="11"/>
                <w:szCs w:val="11"/>
                <w:color w:val="auto"/>
              </w:rPr>
            </w:pPr>
          </w:p>
        </w:tc>
        <w:tc>
          <w:tcPr>
            <w:tcW w:w="880" w:type="dxa"/>
            <w:vAlign w:val="bottom"/>
            <w:tcBorders>
              <w:bottom w:val="single" w:sz="8" w:color="auto"/>
            </w:tcBorders>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1,028,728</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5"/>
        </w:trPr>
        <w:tc>
          <w:tcPr>
            <w:tcW w:w="8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02"/>
        </w:trPr>
        <w:tc>
          <w:tcPr>
            <w:tcW w:w="822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w w:val="86"/>
              </w:rPr>
              <w:t>Reconciliation of cash, cash equivalents, and restricted cash within the condensed consolidated balance sheets to the amounts shown in the condensed consolidated statements of</w:t>
            </w:r>
          </w:p>
        </w:tc>
        <w:tc>
          <w:tcPr>
            <w:tcW w:w="8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43"/>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above:</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0"/>
        </w:trPr>
        <w:tc>
          <w:tcPr>
            <w:tcW w:w="8220" w:type="dxa"/>
            <w:vAlign w:val="bottom"/>
          </w:tcPr>
          <w:p>
            <w:pPr>
              <w:ind w:left="160"/>
              <w:spacing w:after="0"/>
              <w:rPr>
                <w:sz w:val="20"/>
                <w:szCs w:val="20"/>
                <w:color w:val="auto"/>
              </w:rPr>
            </w:pPr>
            <w:r>
              <w:rPr>
                <w:rFonts w:ascii="Arial" w:cs="Arial" w:eastAsia="Arial" w:hAnsi="Arial"/>
                <w:sz w:val="11"/>
                <w:szCs w:val="11"/>
                <w:color w:val="auto"/>
              </w:rPr>
              <w:t>Cash and cash equivalents</w:t>
            </w:r>
          </w:p>
        </w:tc>
        <w:tc>
          <w:tcPr>
            <w:tcW w:w="880" w:type="dxa"/>
            <w:vAlign w:val="bottom"/>
          </w:tcPr>
          <w:p>
            <w:pPr>
              <w:jc w:val="right"/>
              <w:ind w:right="76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1,322,435</w:t>
            </w:r>
          </w:p>
        </w:tc>
        <w:tc>
          <w:tcPr>
            <w:tcW w:w="140" w:type="dxa"/>
            <w:vAlign w:val="bottom"/>
          </w:tcPr>
          <w:p>
            <w:pPr>
              <w:spacing w:after="0"/>
              <w:rPr>
                <w:sz w:val="12"/>
                <w:szCs w:val="12"/>
                <w:color w:val="auto"/>
              </w:rPr>
            </w:pP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730,506</w:t>
            </w:r>
          </w:p>
        </w:tc>
      </w:tr>
      <w:tr>
        <w:trPr>
          <w:trHeight w:val="146"/>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Restricted cash, current included in prepaid expenses and other current assets</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20,041</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296,007</w:t>
            </w:r>
          </w:p>
        </w:tc>
      </w:tr>
      <w:tr>
        <w:trPr>
          <w:trHeight w:val="140"/>
        </w:trPr>
        <w:tc>
          <w:tcPr>
            <w:tcW w:w="822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Restricted cash, noncurrent included in other assets, noncurrent</w:t>
            </w: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297</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2,215</w:t>
            </w:r>
          </w:p>
        </w:tc>
      </w:tr>
      <w:tr>
        <w:trPr>
          <w:trHeight w:val="158"/>
        </w:trPr>
        <w:tc>
          <w:tcPr>
            <w:tcW w:w="8220" w:type="dxa"/>
            <w:vAlign w:val="bottom"/>
            <w:tcBorders>
              <w:bottom w:val="single" w:sz="8" w:color="CCEEFF"/>
            </w:tcBorders>
            <w:shd w:val="clear" w:color="auto" w:fill="CCEEFF"/>
          </w:tcPr>
          <w:p>
            <w:pPr>
              <w:ind w:left="160"/>
              <w:spacing w:after="0" w:line="120" w:lineRule="exact"/>
              <w:rPr>
                <w:sz w:val="20"/>
                <w:szCs w:val="20"/>
                <w:color w:val="auto"/>
              </w:rPr>
            </w:pPr>
            <w:r>
              <w:rPr>
                <w:rFonts w:ascii="Arial" w:cs="Arial" w:eastAsia="Arial" w:hAnsi="Arial"/>
                <w:sz w:val="11"/>
                <w:szCs w:val="11"/>
                <w:color w:val="auto"/>
              </w:rPr>
              <w:t>Total cash, cash equivalents, and restricted cash</w:t>
            </w:r>
          </w:p>
        </w:tc>
        <w:tc>
          <w:tcPr>
            <w:tcW w:w="88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1,342,773</w:t>
            </w: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1,028,728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ZOOM VIDEO COMMUNICATIONS,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4" w:lineRule="exact"/>
        <w:rPr>
          <w:sz w:val="20"/>
          <w:szCs w:val="20"/>
          <w:color w:val="auto"/>
        </w:rPr>
      </w:pPr>
    </w:p>
    <w:p>
      <w:pPr>
        <w:ind w:left="500" w:hanging="498"/>
        <w:spacing w:after="0"/>
        <w:tabs>
          <w:tab w:leader="none" w:pos="5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Business and Significant Accounting Policies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Description of Business</w:t>
      </w:r>
    </w:p>
    <w:p>
      <w:pPr>
        <w:spacing w:after="0" w:line="84"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Zoom Video Communications, Inc. and its subsidiaries (collectively, “Zoom,” the “Company,” “we,” “us,” or “our”) provide a communications platform that delivers happiness and fundamentally changes how people interact. We connect people through frictionless and secure video, phone, chat, and content sharing and enable face-to-face video experiences for thousands of people in a single meeting across disparate devices and locations. We were incorporated in the state of Delaware in April 2011, and are headquartered in San Jose, California.</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Fiscal Year</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fiscal year ends on January 31. References to fiscal year 2022, for example, refer to the fiscal year ending January 31, 2022.</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84"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variable interest entities for which we are the primary beneficiary. All intercompany balances and transactions have been eliminated in consolidation.</w:t>
      </w:r>
    </w:p>
    <w:p>
      <w:pPr>
        <w:spacing w:after="0" w:line="30"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The condensed consolidated balance sheet as of January 31, 2021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spacing w:after="0" w:line="67"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The unaudited condensed consolidated financial statements should be read in conjunction with the audited consolidated financial statements and notes included in our Annual Report on Form 10-K for the year ended January 31, 2021, filed with the SEC on March 18, 2021.</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84"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useful lives of long-lived assets, the incremental borrowing rate for operating leases, stock-based compensation expense, sales and other tax liabilities, the fair value of marketable securities, acquired intangible assets and goodwill, the valuation of deferred income tax assets and uncertain tax positions, and accruals and contingencies. Actual results could differ from those estimates.</w:t>
      </w:r>
    </w:p>
    <w:p>
      <w:pPr>
        <w:spacing w:after="0" w:line="38"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The COVID-19 pandemic has created, and may continue to create, significant uncertainty in macroeconomic conditions, and the extent of its impact on our operational and financial performance will depend on certain developments, including the duration and spread of the outbreak, the availability and distribution of vaccines, and their impact on our customers and our sales cycles. During the three and nine months ended October 31, 2021 and 2020, our estimates and assumptions required increased judgment and carried a higher degree of variability and volatility. As events continue to evolve and additional information becomes available, our estimates may change materially in future periods.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Summary of Significant Accounting Policies</w:t>
      </w:r>
    </w:p>
    <w:p>
      <w:pPr>
        <w:spacing w:after="0" w:line="8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Our significant accounting policies are discussed in Note 1. “Summary of Business and Significant Accounting Policies” in the notes to consolidated financial statements included in our Annual Report on Form 10-K for the year ended January 31, 2021, filed with the SEC on March 18, 2021. There have been no significant changes to these policies during the nine months ended October 31, 2021, except as noted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Strategic Investments</w:t>
      </w:r>
    </w:p>
    <w:p>
      <w:pPr>
        <w:spacing w:after="0" w:line="84" w:lineRule="exact"/>
        <w:rPr>
          <w:sz w:val="20"/>
          <w:szCs w:val="20"/>
          <w:color w:val="auto"/>
        </w:rPr>
      </w:pPr>
    </w:p>
    <w:p>
      <w:pPr>
        <w:jc w:val="both"/>
        <w:ind w:right="80" w:firstLine="367"/>
        <w:spacing w:after="0" w:line="304" w:lineRule="auto"/>
        <w:rPr>
          <w:sz w:val="20"/>
          <w:szCs w:val="20"/>
          <w:color w:val="auto"/>
        </w:rPr>
      </w:pPr>
      <w:r>
        <w:rPr>
          <w:rFonts w:ascii="Arial" w:cs="Arial" w:eastAsia="Arial" w:hAnsi="Arial"/>
          <w:sz w:val="12"/>
          <w:szCs w:val="12"/>
          <w:color w:val="auto"/>
        </w:rPr>
        <w:t>We hold strategic investments in publicly held equity securities and privately held debt and equity securities in which we do not have a controlling interest. Publicly held equity securities are measured using quoted prices in their respective active markets with changes recorded through gains on strategic investments, net in the condensed consolidated statements of operations. Privately held equity securities without a readily determinable fair value are recorded at cost and adjusted for impairments and observable price changes with a same or similar security from the same issuer (i.e. using the measurement alternative) and are recorded through gains on strategic investments, net in the condensed consolidated statements of operations.</w:t>
      </w:r>
    </w:p>
    <w:p>
      <w:pPr>
        <w:spacing w:after="0" w:line="35" w:lineRule="exact"/>
        <w:rPr>
          <w:sz w:val="20"/>
          <w:szCs w:val="20"/>
          <w:color w:val="auto"/>
        </w:rPr>
      </w:pPr>
    </w:p>
    <w:p>
      <w:pPr>
        <w:jc w:val="both"/>
        <w:ind w:right="80" w:firstLine="367"/>
        <w:spacing w:after="0" w:line="314" w:lineRule="auto"/>
        <w:rPr>
          <w:sz w:val="20"/>
          <w:szCs w:val="20"/>
          <w:color w:val="auto"/>
        </w:rPr>
      </w:pPr>
      <w:r>
        <w:rPr>
          <w:rFonts w:ascii="Arial" w:cs="Arial" w:eastAsia="Arial" w:hAnsi="Arial"/>
          <w:sz w:val="12"/>
          <w:szCs w:val="12"/>
          <w:color w:val="auto"/>
        </w:rPr>
        <w:t>If, based on the terms of these publicly traded and privately held securities, we determine that we exercise significant influence on the entity to which these securities relate, we will apply the equity method of accounting for such investments. Privately held equity securities that are accounted for under the equity method are measured at cost less any impairment, plus or minus our share of equity method investee income or loss, which is reported in gains on strategic investments, net in the condensed consolidated statements of operations.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Privately held debt securities are recorded at fair value with changes in fair value recorded through accumulated other comprehensive income on the condensed consolidated balance sheets.</w:t>
      </w:r>
    </w:p>
    <w:p>
      <w:pPr>
        <w:spacing w:after="0" w:line="107" w:lineRule="exact"/>
        <w:rPr>
          <w:sz w:val="20"/>
          <w:szCs w:val="20"/>
          <w:color w:val="auto"/>
        </w:rPr>
      </w:pPr>
    </w:p>
    <w:p>
      <w:pPr>
        <w:jc w:val="both"/>
        <w:ind w:right="80" w:firstLine="367"/>
        <w:spacing w:after="0" w:line="261" w:lineRule="auto"/>
        <w:rPr>
          <w:sz w:val="20"/>
          <w:szCs w:val="20"/>
          <w:color w:val="auto"/>
        </w:rPr>
      </w:pPr>
      <w:r>
        <w:rPr>
          <w:rFonts w:ascii="Arial" w:cs="Arial" w:eastAsia="Arial" w:hAnsi="Arial"/>
          <w:sz w:val="14"/>
          <w:szCs w:val="14"/>
          <w:color w:val="auto"/>
        </w:rPr>
        <w:t>On a quarterly basis, we assess our privately held debt and equity securities in our strategic investment portfolio for impairment. As of October 31, 2021, we have not recognized any impairments to our privately held debt and equity securities.</w:t>
      </w:r>
    </w:p>
    <w:p>
      <w:pPr>
        <w:spacing w:after="0" w:line="107"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1"/>
          <w:szCs w:val="11"/>
          <w:b w:val="1"/>
          <w:bCs w:val="1"/>
          <w:color w:val="auto"/>
        </w:rPr>
        <w:t>Revenue Recognition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revenue by region based on the billing address of customers: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1"/>
                <w:szCs w:val="11"/>
                <w:b w:val="1"/>
                <w:bCs w:val="1"/>
                <w:color w:val="auto"/>
              </w:rPr>
              <w:t>Three Months Ended October 31,</w:t>
            </w:r>
          </w:p>
        </w:tc>
        <w:tc>
          <w:tcPr>
            <w:tcW w:w="3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jc w:val="right"/>
              <w:ind w:right="395"/>
              <w:spacing w:after="0"/>
              <w:rPr>
                <w:sz w:val="20"/>
                <w:szCs w:val="20"/>
                <w:color w:val="auto"/>
              </w:rPr>
            </w:pPr>
            <w:r>
              <w:rPr>
                <w:rFonts w:ascii="Arial" w:cs="Arial" w:eastAsia="Arial" w:hAnsi="Arial"/>
                <w:sz w:val="11"/>
                <w:szCs w:val="11"/>
                <w:b w:val="1"/>
                <w:bCs w:val="1"/>
                <w:color w:val="auto"/>
              </w:rPr>
              <w:t>Nine Months Ended October 31,</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2020</w:t>
            </w:r>
          </w:p>
        </w:tc>
        <w:tc>
          <w:tcPr>
            <w:tcW w:w="3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703"/>
              <w:spacing w:after="0"/>
              <w:rPr>
                <w:sz w:val="20"/>
                <w:szCs w:val="20"/>
                <w:color w:val="auto"/>
              </w:rPr>
            </w:pPr>
            <w:r>
              <w:rPr>
                <w:rFonts w:ascii="Arial" w:cs="Arial" w:eastAsia="Arial" w:hAnsi="Arial"/>
                <w:sz w:val="11"/>
                <w:szCs w:val="11"/>
                <w:b w:val="1"/>
                <w:bCs w:val="1"/>
                <w:color w:val="auto"/>
                <w:w w:val="81"/>
              </w:rPr>
              <w:t>2020</w:t>
            </w:r>
          </w:p>
        </w:tc>
        <w:tc>
          <w:tcPr>
            <w:tcW w:w="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vMerge w:val="restart"/>
          </w:tcPr>
          <w:p>
            <w:pPr>
              <w:jc w:val="right"/>
              <w:ind w:right="277"/>
              <w:spacing w:after="0"/>
              <w:rPr>
                <w:sz w:val="20"/>
                <w:szCs w:val="20"/>
                <w:color w:val="auto"/>
              </w:rPr>
            </w:pPr>
            <w:r>
              <w:rPr>
                <w:rFonts w:ascii="Arial" w:cs="Arial" w:eastAsia="Arial" w:hAnsi="Arial"/>
                <w:sz w:val="11"/>
                <w:szCs w:val="11"/>
                <w:b w:val="1"/>
                <w:bCs w:val="1"/>
                <w:color w:val="auto"/>
              </w:rPr>
              <w:t>Amount</w:t>
            </w:r>
          </w:p>
        </w:tc>
        <w:tc>
          <w:tcPr>
            <w:tcW w:w="60" w:type="dxa"/>
            <w:vAlign w:val="bottom"/>
            <w:vMerge w:val="restart"/>
          </w:tcPr>
          <w:p>
            <w:pPr>
              <w:spacing w:after="0"/>
              <w:rPr>
                <w:sz w:val="8"/>
                <w:szCs w:val="8"/>
                <w:color w:val="auto"/>
              </w:rPr>
            </w:pPr>
          </w:p>
        </w:tc>
        <w:tc>
          <w:tcPr>
            <w:tcW w:w="240" w:type="dxa"/>
            <w:vAlign w:val="bottom"/>
            <w:vMerge w:val="restart"/>
          </w:tcPr>
          <w:p>
            <w:pPr>
              <w:spacing w:after="0"/>
              <w:rPr>
                <w:sz w:val="8"/>
                <w:szCs w:val="8"/>
                <w:color w:val="auto"/>
              </w:rPr>
            </w:pPr>
          </w:p>
        </w:tc>
        <w:tc>
          <w:tcPr>
            <w:tcW w:w="880" w:type="dxa"/>
            <w:vAlign w:val="bottom"/>
            <w:gridSpan w:val="2"/>
          </w:tcPr>
          <w:p>
            <w:pPr>
              <w:jc w:val="right"/>
              <w:spacing w:after="0" w:line="93" w:lineRule="exact"/>
              <w:rPr>
                <w:sz w:val="20"/>
                <w:szCs w:val="20"/>
                <w:color w:val="auto"/>
              </w:rPr>
            </w:pPr>
            <w:r>
              <w:rPr>
                <w:rFonts w:ascii="Arial" w:cs="Arial" w:eastAsia="Arial" w:hAnsi="Arial"/>
                <w:sz w:val="10"/>
                <w:szCs w:val="10"/>
                <w:b w:val="1"/>
                <w:bCs w:val="1"/>
                <w:color w:val="auto"/>
              </w:rPr>
              <w:t>Percentage of</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restart"/>
          </w:tcPr>
          <w:p>
            <w:pPr>
              <w:jc w:val="right"/>
              <w:ind w:right="217"/>
              <w:spacing w:after="0"/>
              <w:rPr>
                <w:sz w:val="20"/>
                <w:szCs w:val="20"/>
                <w:color w:val="auto"/>
              </w:rPr>
            </w:pPr>
            <w:r>
              <w:rPr>
                <w:rFonts w:ascii="Arial" w:cs="Arial" w:eastAsia="Arial" w:hAnsi="Arial"/>
                <w:sz w:val="11"/>
                <w:szCs w:val="11"/>
                <w:b w:val="1"/>
                <w:bCs w:val="1"/>
                <w:color w:val="auto"/>
              </w:rPr>
              <w:t>Amount</w:t>
            </w:r>
          </w:p>
        </w:tc>
        <w:tc>
          <w:tcPr>
            <w:tcW w:w="80" w:type="dxa"/>
            <w:vAlign w:val="bottom"/>
            <w:vMerge w:val="restart"/>
          </w:tcPr>
          <w:p>
            <w:pPr>
              <w:spacing w:after="0"/>
              <w:rPr>
                <w:sz w:val="8"/>
                <w:szCs w:val="8"/>
                <w:color w:val="auto"/>
              </w:rPr>
            </w:pPr>
          </w:p>
        </w:tc>
        <w:tc>
          <w:tcPr>
            <w:tcW w:w="240" w:type="dxa"/>
            <w:vAlign w:val="bottom"/>
            <w:vMerge w:val="restart"/>
          </w:tcPr>
          <w:p>
            <w:pPr>
              <w:spacing w:after="0"/>
              <w:rPr>
                <w:sz w:val="8"/>
                <w:szCs w:val="8"/>
                <w:color w:val="auto"/>
              </w:rPr>
            </w:pPr>
          </w:p>
        </w:tc>
        <w:tc>
          <w:tcPr>
            <w:tcW w:w="860" w:type="dxa"/>
            <w:vAlign w:val="bottom"/>
            <w:gridSpan w:val="2"/>
          </w:tcPr>
          <w:p>
            <w:pPr>
              <w:jc w:val="right"/>
              <w:spacing w:after="0" w:line="93" w:lineRule="exact"/>
              <w:rPr>
                <w:sz w:val="20"/>
                <w:szCs w:val="20"/>
                <w:color w:val="auto"/>
              </w:rPr>
            </w:pPr>
            <w:r>
              <w:rPr>
                <w:rFonts w:ascii="Arial" w:cs="Arial" w:eastAsia="Arial" w:hAnsi="Arial"/>
                <w:sz w:val="10"/>
                <w:szCs w:val="10"/>
                <w:b w:val="1"/>
                <w:bCs w:val="1"/>
                <w:color w:val="auto"/>
              </w:rPr>
              <w:t>Percentage of</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vMerge w:val="restart"/>
          </w:tcPr>
          <w:p>
            <w:pPr>
              <w:jc w:val="right"/>
              <w:ind w:right="277"/>
              <w:spacing w:after="0"/>
              <w:rPr>
                <w:sz w:val="20"/>
                <w:szCs w:val="20"/>
                <w:color w:val="auto"/>
              </w:rPr>
            </w:pPr>
            <w:r>
              <w:rPr>
                <w:rFonts w:ascii="Arial" w:cs="Arial" w:eastAsia="Arial" w:hAnsi="Arial"/>
                <w:sz w:val="11"/>
                <w:szCs w:val="11"/>
                <w:b w:val="1"/>
                <w:bCs w:val="1"/>
                <w:color w:val="auto"/>
              </w:rPr>
              <w:t>Amount</w:t>
            </w:r>
          </w:p>
        </w:tc>
        <w:tc>
          <w:tcPr>
            <w:tcW w:w="60" w:type="dxa"/>
            <w:vAlign w:val="bottom"/>
            <w:vMerge w:val="restart"/>
          </w:tcPr>
          <w:p>
            <w:pPr>
              <w:spacing w:after="0"/>
              <w:rPr>
                <w:sz w:val="8"/>
                <w:szCs w:val="8"/>
                <w:color w:val="auto"/>
              </w:rPr>
            </w:pPr>
          </w:p>
        </w:tc>
        <w:tc>
          <w:tcPr>
            <w:tcW w:w="240" w:type="dxa"/>
            <w:vAlign w:val="bottom"/>
            <w:vMerge w:val="restart"/>
          </w:tcPr>
          <w:p>
            <w:pPr>
              <w:spacing w:after="0"/>
              <w:rPr>
                <w:sz w:val="8"/>
                <w:szCs w:val="8"/>
                <w:color w:val="auto"/>
              </w:rPr>
            </w:pPr>
          </w:p>
        </w:tc>
        <w:tc>
          <w:tcPr>
            <w:tcW w:w="880" w:type="dxa"/>
            <w:vAlign w:val="bottom"/>
            <w:gridSpan w:val="2"/>
          </w:tcPr>
          <w:p>
            <w:pPr>
              <w:jc w:val="right"/>
              <w:spacing w:after="0" w:line="93" w:lineRule="exact"/>
              <w:rPr>
                <w:sz w:val="20"/>
                <w:szCs w:val="20"/>
                <w:color w:val="auto"/>
              </w:rPr>
            </w:pPr>
            <w:r>
              <w:rPr>
                <w:rFonts w:ascii="Arial" w:cs="Arial" w:eastAsia="Arial" w:hAnsi="Arial"/>
                <w:sz w:val="10"/>
                <w:szCs w:val="10"/>
                <w:b w:val="1"/>
                <w:bCs w:val="1"/>
                <w:color w:val="auto"/>
              </w:rPr>
              <w:t>Percentage of</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right"/>
              <w:spacing w:after="0" w:line="93" w:lineRule="exact"/>
              <w:rPr>
                <w:sz w:val="20"/>
                <w:szCs w:val="20"/>
                <w:color w:val="auto"/>
              </w:rPr>
            </w:pPr>
            <w:r>
              <w:rPr>
                <w:rFonts w:ascii="Arial" w:cs="Arial" w:eastAsia="Arial" w:hAnsi="Arial"/>
                <w:sz w:val="10"/>
                <w:szCs w:val="10"/>
                <w:b w:val="1"/>
                <w:bCs w:val="1"/>
                <w:color w:val="auto"/>
              </w:rPr>
              <w:t>Percentage of</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Revenue</w:t>
            </w:r>
          </w:p>
        </w:tc>
        <w:tc>
          <w:tcPr>
            <w:tcW w:w="2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1"/>
                <w:szCs w:val="11"/>
                <w:b w:val="1"/>
                <w:bCs w:val="1"/>
                <w:color w:val="auto"/>
              </w:rPr>
              <w:t>Revenue</w:t>
            </w:r>
          </w:p>
        </w:tc>
        <w:tc>
          <w:tcPr>
            <w:tcW w:w="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Revenue</w:t>
            </w: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Revenue</w:t>
            </w:r>
          </w:p>
        </w:tc>
        <w:tc>
          <w:tcPr>
            <w:tcW w:w="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1"/>
                <w:szCs w:val="11"/>
                <w:b w:val="1"/>
                <w:bCs w:val="1"/>
                <w:color w:val="auto"/>
                <w:w w:val="84"/>
              </w:rPr>
              <w:t>(in thousands, except percentages)</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9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89"/>
              </w:rPr>
              <w:t>Americas</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699,944</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19"/>
              <w:spacing w:after="0"/>
              <w:rPr>
                <w:sz w:val="20"/>
                <w:szCs w:val="20"/>
                <w:color w:val="auto"/>
              </w:rPr>
            </w:pPr>
            <w:r>
              <w:rPr>
                <w:rFonts w:ascii="Arial" w:cs="Arial" w:eastAsia="Arial" w:hAnsi="Arial"/>
                <w:sz w:val="14"/>
                <w:szCs w:val="14"/>
                <w:color w:val="auto"/>
              </w:rPr>
              <w:t>67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538,504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2,017,143</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39"/>
              <w:spacing w:after="0"/>
              <w:rPr>
                <w:sz w:val="20"/>
                <w:szCs w:val="20"/>
                <w:color w:val="auto"/>
              </w:rPr>
            </w:pPr>
            <w:r>
              <w:rPr>
                <w:rFonts w:ascii="Arial" w:cs="Arial" w:eastAsia="Arial" w:hAnsi="Arial"/>
                <w:sz w:val="14"/>
                <w:szCs w:val="14"/>
                <w:color w:val="auto"/>
              </w:rPr>
              <w:t>67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1,238,298</w:t>
            </w:r>
          </w:p>
        </w:tc>
        <w:tc>
          <w:tcPr>
            <w:tcW w:w="980" w:type="dxa"/>
            <w:vAlign w:val="bottom"/>
            <w:gridSpan w:val="3"/>
            <w:shd w:val="clear" w:color="auto" w:fill="CCEEFF"/>
          </w:tcPr>
          <w:p>
            <w:pPr>
              <w:jc w:val="right"/>
              <w:ind w:right="223"/>
              <w:spacing w:after="0"/>
              <w:rPr>
                <w:sz w:val="20"/>
                <w:szCs w:val="20"/>
                <w:color w:val="auto"/>
              </w:rPr>
            </w:pPr>
            <w:r>
              <w:rPr>
                <w:rFonts w:ascii="Arial" w:cs="Arial" w:eastAsia="Arial" w:hAnsi="Arial"/>
                <w:sz w:val="14"/>
                <w:szCs w:val="14"/>
                <w:color w:val="auto"/>
              </w:rPr>
              <w:t>70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920" w:type="dxa"/>
            <w:vAlign w:val="bottom"/>
          </w:tcPr>
          <w:p>
            <w:pPr>
              <w:ind w:left="380"/>
              <w:spacing w:after="0"/>
              <w:rPr>
                <w:sz w:val="20"/>
                <w:szCs w:val="20"/>
                <w:color w:val="auto"/>
              </w:rPr>
            </w:pPr>
            <w:r>
              <w:rPr>
                <w:rFonts w:ascii="Arial" w:cs="Arial" w:eastAsia="Arial" w:hAnsi="Arial"/>
                <w:sz w:val="14"/>
                <w:szCs w:val="14"/>
                <w:color w:val="auto"/>
              </w:rPr>
              <w:t>Asia</w:t>
            </w: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920" w:type="dxa"/>
            <w:vAlign w:val="bottom"/>
          </w:tcPr>
          <w:p>
            <w:pPr>
              <w:ind w:left="20"/>
              <w:spacing w:after="0"/>
              <w:rPr>
                <w:sz w:val="20"/>
                <w:szCs w:val="20"/>
                <w:color w:val="auto"/>
              </w:rPr>
            </w:pPr>
            <w:r>
              <w:rPr>
                <w:rFonts w:ascii="Arial" w:cs="Arial" w:eastAsia="Arial" w:hAnsi="Arial"/>
                <w:sz w:val="14"/>
                <w:szCs w:val="14"/>
                <w:color w:val="auto"/>
              </w:rPr>
              <w:t>Pacific</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0" w:type="dxa"/>
            <w:vAlign w:val="bottom"/>
          </w:tcPr>
          <w:p>
            <w:pPr>
              <w:ind w:left="20"/>
              <w:spacing w:after="0"/>
              <w:rPr>
                <w:sz w:val="20"/>
                <w:szCs w:val="20"/>
                <w:color w:val="auto"/>
              </w:rPr>
            </w:pPr>
            <w:r>
              <w:rPr>
                <w:rFonts w:ascii="Arial" w:cs="Arial" w:eastAsia="Arial" w:hAnsi="Arial"/>
                <w:sz w:val="14"/>
                <w:szCs w:val="14"/>
                <w:color w:val="auto"/>
              </w:rPr>
              <w:t>(“APAC”)</w:t>
            </w: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150,473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219"/>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103,458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13</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409,557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39"/>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215,099</w:t>
            </w:r>
          </w:p>
        </w:tc>
        <w:tc>
          <w:tcPr>
            <w:tcW w:w="980" w:type="dxa"/>
            <w:vAlign w:val="bottom"/>
            <w:gridSpan w:val="3"/>
          </w:tcPr>
          <w:p>
            <w:pPr>
              <w:jc w:val="right"/>
              <w:ind w:right="223"/>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Europe,</w:t>
            </w:r>
          </w:p>
        </w:tc>
        <w:tc>
          <w:tcPr>
            <w:tcW w:w="5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w:t>
            </w: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Africa</w:t>
            </w: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(“EMEA”)</w:t>
            </w: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200,339</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19"/>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135,234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601,788</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39"/>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315,486</w:t>
            </w:r>
          </w:p>
        </w:tc>
        <w:tc>
          <w:tcPr>
            <w:tcW w:w="980" w:type="dxa"/>
            <w:vAlign w:val="bottom"/>
            <w:gridSpan w:val="3"/>
            <w:shd w:val="clear" w:color="auto" w:fill="CCEEFF"/>
          </w:tcPr>
          <w:p>
            <w:pPr>
              <w:jc w:val="right"/>
              <w:ind w:right="223"/>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920" w:type="dxa"/>
            <w:vAlign w:val="bottom"/>
          </w:tcPr>
          <w:p>
            <w:pPr>
              <w:ind w:left="540"/>
              <w:spacing w:after="0" w:line="153" w:lineRule="exact"/>
              <w:rPr>
                <w:sz w:val="20"/>
                <w:szCs w:val="20"/>
                <w:color w:val="auto"/>
              </w:rPr>
            </w:pPr>
            <w:r>
              <w:rPr>
                <w:rFonts w:ascii="Arial" w:cs="Arial" w:eastAsia="Arial" w:hAnsi="Arial"/>
                <w:sz w:val="14"/>
                <w:szCs w:val="14"/>
                <w:color w:val="auto"/>
              </w:rPr>
              <w:t>Total</w:t>
            </w: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1,050,756</w:t>
            </w: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color w:val="auto"/>
              </w:rPr>
              <w:t>100</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777,196</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3,028,488</w:t>
            </w: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color w:val="auto"/>
              </w:rPr>
              <w:t>100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1,768,883</w:t>
            </w: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color w:val="auto"/>
              </w:rPr>
              <w:t>100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Contract Balances</w:t>
      </w:r>
    </w:p>
    <w:p>
      <w:pPr>
        <w:spacing w:after="0" w:line="84" w:lineRule="exact"/>
        <w:rPr>
          <w:sz w:val="20"/>
          <w:szCs w:val="20"/>
          <w:color w:val="auto"/>
        </w:rPr>
      </w:pPr>
    </w:p>
    <w:p>
      <w:pPr>
        <w:jc w:val="both"/>
        <w:ind w:right="80" w:firstLine="367"/>
        <w:spacing w:after="0" w:line="249" w:lineRule="auto"/>
        <w:rPr>
          <w:sz w:val="20"/>
          <w:szCs w:val="20"/>
          <w:color w:val="auto"/>
        </w:rPr>
      </w:pPr>
      <w:r>
        <w:rPr>
          <w:rFonts w:ascii="Arial" w:cs="Arial" w:eastAsia="Arial" w:hAnsi="Arial"/>
          <w:sz w:val="14"/>
          <w:szCs w:val="14"/>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on the condensed consolidated balance sheets was $48.6 million and $24.6 million as of October 31, 2021 and January 31, 2021, respectively.</w:t>
      </w:r>
    </w:p>
    <w:p>
      <w:pPr>
        <w:spacing w:after="0" w:line="67" w:lineRule="exact"/>
        <w:rPr>
          <w:sz w:val="20"/>
          <w:szCs w:val="20"/>
          <w:color w:val="auto"/>
        </w:rPr>
      </w:pPr>
    </w:p>
    <w:p>
      <w:pPr>
        <w:jc w:val="both"/>
        <w:ind w:right="80" w:firstLine="367"/>
        <w:spacing w:after="0" w:line="314" w:lineRule="auto"/>
        <w:rPr>
          <w:sz w:val="20"/>
          <w:szCs w:val="20"/>
          <w:color w:val="auto"/>
        </w:rPr>
      </w:pPr>
      <w:r>
        <w:rPr>
          <w:rFonts w:ascii="Arial" w:cs="Arial" w:eastAsia="Arial" w:hAnsi="Arial"/>
          <w:sz w:val="12"/>
          <w:szCs w:val="12"/>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October 31, 2021 and 2020 that was included in deferred revenue at the beginning of each period was $510.8 million and $312.0 million, respectively, and $802.0 million and $203.3 million during the nine months ended October 31, 2021 and 2020, respectively.</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Remaining Performance Obligations</w:t>
      </w:r>
    </w:p>
    <w:p>
      <w:pPr>
        <w:spacing w:after="0" w:line="84" w:lineRule="exact"/>
        <w:rPr>
          <w:sz w:val="20"/>
          <w:szCs w:val="20"/>
          <w:color w:val="auto"/>
        </w:rPr>
      </w:pPr>
    </w:p>
    <w:p>
      <w:pPr>
        <w:jc w:val="both"/>
        <w:ind w:right="80" w:firstLine="367"/>
        <w:spacing w:after="0" w:line="252" w:lineRule="auto"/>
        <w:rPr>
          <w:sz w:val="20"/>
          <w:szCs w:val="20"/>
          <w:color w:val="auto"/>
        </w:rPr>
      </w:pPr>
      <w:r>
        <w:rPr>
          <w:rFonts w:ascii="Arial" w:cs="Arial" w:eastAsia="Arial" w:hAnsi="Arial"/>
          <w:sz w:val="14"/>
          <w:szCs w:val="14"/>
          <w:color w:val="auto"/>
        </w:rPr>
        <w:t>The terms of our subscription agreements are monthly, annual, and multiyear, and we may bill for the full term in advance or on an annual, quarterly, or monthly basis, depending on the billing terms with customers. As of October 31, 2021, the aggregate amount of the transaction price allocated to our remaining performance obligations was $2,456.5 million, which consisted of both billed consideration in the amount of $1,186.1 million and unbilled consideration in the amount of</w:t>
      </w: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auto"/>
        </w:rPr>
        <w:t>$1,270.4 million that we expect to recognize as revenue. We expect to recognize 67% of our remaining performance obligations as revenue over the next 12 months and the remainder thereafter.</w:t>
      </w:r>
    </w:p>
    <w:p>
      <w:pPr>
        <w:spacing w:after="0" w:line="187"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1"/>
          <w:szCs w:val="11"/>
          <w:b w:val="1"/>
          <w:bCs w:val="1"/>
          <w:color w:val="auto"/>
        </w:rPr>
        <w:t>Investments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October 31, 2021 and January 31, 2021, our marketable securities consisted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1"/>
                <w:szCs w:val="11"/>
                <w:b w:val="1"/>
                <w:bCs w:val="1"/>
                <w:color w:val="auto"/>
                <w:w w:val="89"/>
              </w:rPr>
              <w:t>As of October 31, 2021</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2"/>
              </w:rPr>
              <w:t>Amortized</w:t>
            </w:r>
          </w:p>
        </w:tc>
        <w:tc>
          <w:tcPr>
            <w:tcW w:w="940" w:type="dxa"/>
            <w:vAlign w:val="bottom"/>
          </w:tcPr>
          <w:p>
            <w:pPr>
              <w:jc w:val="center"/>
              <w:ind w:left="341"/>
              <w:spacing w:after="0" w:line="97" w:lineRule="exact"/>
              <w:rPr>
                <w:sz w:val="20"/>
                <w:szCs w:val="20"/>
                <w:color w:val="auto"/>
              </w:rPr>
            </w:pPr>
            <w:r>
              <w:rPr>
                <w:rFonts w:ascii="Arial" w:cs="Arial" w:eastAsia="Arial" w:hAnsi="Arial"/>
                <w:sz w:val="11"/>
                <w:szCs w:val="11"/>
                <w:b w:val="1"/>
                <w:bCs w:val="1"/>
                <w:color w:val="auto"/>
                <w:w w:val="81"/>
              </w:rPr>
              <w:t>Gross</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gridSpan w:val="2"/>
          </w:tcPr>
          <w:p>
            <w:pPr>
              <w:jc w:val="center"/>
              <w:ind w:right="440"/>
              <w:spacing w:after="0" w:line="97" w:lineRule="exact"/>
              <w:rPr>
                <w:sz w:val="20"/>
                <w:szCs w:val="20"/>
                <w:color w:val="auto"/>
              </w:rPr>
            </w:pPr>
            <w:r>
              <w:rPr>
                <w:rFonts w:ascii="Arial" w:cs="Arial" w:eastAsia="Arial" w:hAnsi="Arial"/>
                <w:sz w:val="11"/>
                <w:szCs w:val="11"/>
                <w:b w:val="1"/>
                <w:bCs w:val="1"/>
                <w:color w:val="auto"/>
                <w:w w:val="87"/>
              </w:rPr>
              <w:t>Gross</w:t>
            </w:r>
          </w:p>
        </w:tc>
        <w:tc>
          <w:tcPr>
            <w:tcW w:w="260" w:type="dxa"/>
            <w:vAlign w:val="bottom"/>
          </w:tcPr>
          <w:p>
            <w:pPr>
              <w:spacing w:after="0"/>
              <w:rPr>
                <w:sz w:val="8"/>
                <w:szCs w:val="8"/>
                <w:color w:val="auto"/>
              </w:rPr>
            </w:pPr>
          </w:p>
        </w:tc>
        <w:tc>
          <w:tcPr>
            <w:tcW w:w="1060" w:type="dxa"/>
            <w:vAlign w:val="bottom"/>
          </w:tcPr>
          <w:p>
            <w:pPr>
              <w:jc w:val="center"/>
              <w:ind w:right="197"/>
              <w:spacing w:after="0" w:line="97" w:lineRule="exact"/>
              <w:rPr>
                <w:sz w:val="20"/>
                <w:szCs w:val="20"/>
                <w:color w:val="auto"/>
              </w:rPr>
            </w:pPr>
            <w:r>
              <w:rPr>
                <w:rFonts w:ascii="Arial" w:cs="Arial" w:eastAsia="Arial" w:hAnsi="Arial"/>
                <w:sz w:val="11"/>
                <w:szCs w:val="11"/>
                <w:b w:val="1"/>
                <w:bCs w:val="1"/>
                <w:color w:val="auto"/>
                <w:w w:val="91"/>
              </w:rPr>
              <w:t>Estimated</w:t>
            </w:r>
          </w:p>
        </w:tc>
        <w:tc>
          <w:tcPr>
            <w:tcW w:w="0" w:type="dxa"/>
            <w:vAlign w:val="bottom"/>
          </w:tcPr>
          <w:p>
            <w:pPr>
              <w:spacing w:after="0"/>
              <w:rPr>
                <w:sz w:val="1"/>
                <w:szCs w:val="1"/>
                <w:color w:val="auto"/>
              </w:rPr>
            </w:pPr>
          </w:p>
        </w:tc>
      </w:tr>
      <w:tr>
        <w:trPr>
          <w:trHeight w:val="102"/>
        </w:trPr>
        <w:tc>
          <w:tcPr>
            <w:tcW w:w="5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40" w:type="dxa"/>
            <w:vAlign w:val="bottom"/>
          </w:tcPr>
          <w:p>
            <w:pPr>
              <w:jc w:val="center"/>
              <w:ind w:left="341"/>
              <w:spacing w:after="0" w:line="102" w:lineRule="exact"/>
              <w:rPr>
                <w:sz w:val="20"/>
                <w:szCs w:val="20"/>
                <w:color w:val="auto"/>
              </w:rPr>
            </w:pPr>
            <w:r>
              <w:rPr>
                <w:rFonts w:ascii="Arial" w:cs="Arial" w:eastAsia="Arial" w:hAnsi="Arial"/>
                <w:sz w:val="11"/>
                <w:szCs w:val="11"/>
                <w:b w:val="1"/>
                <w:bCs w:val="1"/>
                <w:color w:val="auto"/>
                <w:w w:val="89"/>
              </w:rPr>
              <w:t>Unrealized</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gridSpan w:val="2"/>
          </w:tcPr>
          <w:p>
            <w:pPr>
              <w:jc w:val="center"/>
              <w:ind w:right="420"/>
              <w:spacing w:after="0" w:line="102" w:lineRule="exact"/>
              <w:rPr>
                <w:sz w:val="20"/>
                <w:szCs w:val="20"/>
                <w:color w:val="auto"/>
              </w:rPr>
            </w:pPr>
            <w:r>
              <w:rPr>
                <w:rFonts w:ascii="Arial" w:cs="Arial" w:eastAsia="Arial" w:hAnsi="Arial"/>
                <w:sz w:val="11"/>
                <w:szCs w:val="11"/>
                <w:b w:val="1"/>
                <w:bCs w:val="1"/>
                <w:color w:val="auto"/>
                <w:w w:val="89"/>
              </w:rPr>
              <w:t>Unrealized</w:t>
            </w:r>
          </w:p>
        </w:tc>
        <w:tc>
          <w:tcPr>
            <w:tcW w:w="260" w:type="dxa"/>
            <w:vAlign w:val="bottom"/>
          </w:tcPr>
          <w:p>
            <w:pPr>
              <w:spacing w:after="0"/>
              <w:rPr>
                <w:sz w:val="8"/>
                <w:szCs w:val="8"/>
                <w:color w:val="auto"/>
              </w:rPr>
            </w:pPr>
          </w:p>
        </w:tc>
        <w:tc>
          <w:tcPr>
            <w:tcW w:w="1060" w:type="dxa"/>
            <w:vAlign w:val="bottom"/>
          </w:tcPr>
          <w:p>
            <w:pPr>
              <w:jc w:val="center"/>
              <w:ind w:right="197"/>
              <w:spacing w:after="0" w:line="10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1"/>
                <w:szCs w:val="11"/>
                <w:b w:val="1"/>
                <w:bCs w:val="1"/>
                <w:color w:val="auto"/>
                <w:w w:val="89"/>
              </w:rPr>
              <w:t>Cost</w:t>
            </w:r>
          </w:p>
        </w:tc>
        <w:tc>
          <w:tcPr>
            <w:tcW w:w="80" w:type="dxa"/>
            <w:vAlign w:val="bottom"/>
          </w:tcPr>
          <w:p>
            <w:pPr>
              <w:spacing w:after="0"/>
              <w:rPr>
                <w:sz w:val="12"/>
                <w:szCs w:val="12"/>
                <w:color w:val="auto"/>
              </w:rPr>
            </w:pPr>
          </w:p>
        </w:tc>
        <w:tc>
          <w:tcPr>
            <w:tcW w:w="940" w:type="dxa"/>
            <w:vAlign w:val="bottom"/>
            <w:tcBorders>
              <w:bottom w:val="single" w:sz="8" w:color="auto"/>
            </w:tcBorders>
          </w:tcPr>
          <w:p>
            <w:pPr>
              <w:jc w:val="center"/>
              <w:ind w:left="321"/>
              <w:spacing w:after="0"/>
              <w:rPr>
                <w:sz w:val="20"/>
                <w:szCs w:val="20"/>
                <w:color w:val="auto"/>
              </w:rPr>
            </w:pPr>
            <w:r>
              <w:rPr>
                <w:rFonts w:ascii="Arial" w:cs="Arial" w:eastAsia="Arial" w:hAnsi="Arial"/>
                <w:sz w:val="11"/>
                <w:szCs w:val="11"/>
                <w:b w:val="1"/>
                <w:bCs w:val="1"/>
                <w:color w:val="auto"/>
                <w:w w:val="91"/>
              </w:rPr>
              <w:t>Gains</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57"/>
              <w:spacing w:after="0"/>
              <w:rPr>
                <w:sz w:val="20"/>
                <w:szCs w:val="20"/>
                <w:color w:val="auto"/>
              </w:rPr>
            </w:pPr>
            <w:r>
              <w:rPr>
                <w:rFonts w:ascii="Arial" w:cs="Arial" w:eastAsia="Arial" w:hAnsi="Arial"/>
                <w:sz w:val="11"/>
                <w:szCs w:val="11"/>
                <w:b w:val="1"/>
                <w:bCs w:val="1"/>
                <w:color w:val="auto"/>
                <w:w w:val="79"/>
              </w:rPr>
              <w:t>Losses</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77"/>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60"/>
        </w:trPr>
        <w:tc>
          <w:tcPr>
            <w:tcW w:w="5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01"/>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23,482</w:t>
            </w:r>
          </w:p>
        </w:tc>
        <w:tc>
          <w:tcPr>
            <w:tcW w:w="0" w:type="dxa"/>
            <w:vAlign w:val="bottom"/>
          </w:tcPr>
          <w:p>
            <w:pPr>
              <w:spacing w:after="0"/>
              <w:rPr>
                <w:sz w:val="1"/>
                <w:szCs w:val="1"/>
                <w:color w:val="auto"/>
              </w:rPr>
            </w:pPr>
          </w:p>
        </w:tc>
      </w:tr>
      <w:tr>
        <w:trPr>
          <w:trHeight w:val="173"/>
        </w:trPr>
        <w:tc>
          <w:tcPr>
            <w:tcW w:w="5660" w:type="dxa"/>
            <w:vAlign w:val="bottom"/>
          </w:tcPr>
          <w:p>
            <w:pPr>
              <w:ind w:left="20"/>
              <w:spacing w:after="0"/>
              <w:rPr>
                <w:sz w:val="20"/>
                <w:szCs w:val="20"/>
                <w:color w:val="auto"/>
              </w:rPr>
            </w:pPr>
            <w:r>
              <w:rPr>
                <w:rFonts w:ascii="Arial" w:cs="Arial" w:eastAsia="Arial" w:hAnsi="Arial"/>
                <w:sz w:val="14"/>
                <w:szCs w:val="14"/>
                <w:color w:val="auto"/>
              </w:rPr>
              <w:t>Agency bonds</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437,782</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437,453</w:t>
            </w:r>
          </w:p>
        </w:tc>
        <w:tc>
          <w:tcPr>
            <w:tcW w:w="0" w:type="dxa"/>
            <w:vAlign w:val="bottom"/>
          </w:tcPr>
          <w:p>
            <w:pPr>
              <w:spacing w:after="0"/>
              <w:rPr>
                <w:sz w:val="1"/>
                <w:szCs w:val="1"/>
                <w:color w:val="auto"/>
              </w:rPr>
            </w:pPr>
          </w:p>
        </w:tc>
      </w:tr>
      <w:tr>
        <w:trPr>
          <w:trHeight w:val="17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 debt securities</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314,888</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314,521</w:t>
            </w:r>
          </w:p>
        </w:tc>
        <w:tc>
          <w:tcPr>
            <w:tcW w:w="0" w:type="dxa"/>
            <w:vAlign w:val="bottom"/>
          </w:tcPr>
          <w:p>
            <w:pPr>
              <w:spacing w:after="0"/>
              <w:rPr>
                <w:sz w:val="1"/>
                <w:szCs w:val="1"/>
                <w:color w:val="auto"/>
              </w:rPr>
            </w:pPr>
          </w:p>
        </w:tc>
      </w:tr>
      <w:tr>
        <w:trPr>
          <w:trHeight w:val="173"/>
        </w:trPr>
        <w:tc>
          <w:tcPr>
            <w:tcW w:w="566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3,000,441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2,996,045</w:t>
            </w:r>
          </w:p>
        </w:tc>
        <w:tc>
          <w:tcPr>
            <w:tcW w:w="0" w:type="dxa"/>
            <w:vAlign w:val="bottom"/>
          </w:tcPr>
          <w:p>
            <w:pPr>
              <w:spacing w:after="0"/>
              <w:rPr>
                <w:sz w:val="1"/>
                <w:szCs w:val="1"/>
                <w:color w:val="auto"/>
              </w:rPr>
            </w:pPr>
          </w:p>
        </w:tc>
      </w:tr>
      <w:tr>
        <w:trPr>
          <w:trHeight w:val="17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324,046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324,019</w:t>
            </w:r>
          </w:p>
        </w:tc>
        <w:tc>
          <w:tcPr>
            <w:tcW w:w="0" w:type="dxa"/>
            <w:vAlign w:val="bottom"/>
          </w:tcPr>
          <w:p>
            <w:pPr>
              <w:spacing w:after="0"/>
              <w:rPr>
                <w:sz w:val="1"/>
                <w:szCs w:val="1"/>
                <w:color w:val="auto"/>
              </w:rPr>
            </w:pPr>
          </w:p>
        </w:tc>
      </w:tr>
      <w:tr>
        <w:trPr>
          <w:trHeight w:val="164"/>
        </w:trPr>
        <w:tc>
          <w:tcPr>
            <w:tcW w:w="5660" w:type="dxa"/>
            <w:vAlign w:val="bottom"/>
          </w:tcPr>
          <w:p>
            <w:pPr>
              <w:ind w:left="260"/>
              <w:spacing w:after="0" w:line="153" w:lineRule="exact"/>
              <w:rPr>
                <w:sz w:val="20"/>
                <w:szCs w:val="20"/>
                <w:color w:val="auto"/>
              </w:rPr>
            </w:pPr>
            <w:r>
              <w:rPr>
                <w:rFonts w:ascii="Arial" w:cs="Arial" w:eastAsia="Arial" w:hAnsi="Arial"/>
                <w:sz w:val="14"/>
                <w:szCs w:val="14"/>
                <w:color w:val="auto"/>
              </w:rPr>
              <w:t>Marketable securities</w:t>
            </w: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4,100,639</w:t>
            </w: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(5,205)</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4,095,520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1"/>
                <w:szCs w:val="11"/>
                <w:b w:val="1"/>
                <w:bCs w:val="1"/>
                <w:color w:val="auto"/>
                <w:w w:val="89"/>
              </w:rPr>
              <w:t>As of January 31, 2021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2"/>
              </w:rPr>
              <w:t>Amortized</w:t>
            </w:r>
          </w:p>
        </w:tc>
        <w:tc>
          <w:tcPr>
            <w:tcW w:w="940" w:type="dxa"/>
            <w:vAlign w:val="bottom"/>
          </w:tcPr>
          <w:p>
            <w:pPr>
              <w:jc w:val="center"/>
              <w:ind w:left="341"/>
              <w:spacing w:after="0" w:line="97" w:lineRule="exact"/>
              <w:rPr>
                <w:sz w:val="20"/>
                <w:szCs w:val="20"/>
                <w:color w:val="auto"/>
              </w:rPr>
            </w:pPr>
            <w:r>
              <w:rPr>
                <w:rFonts w:ascii="Arial" w:cs="Arial" w:eastAsia="Arial" w:hAnsi="Arial"/>
                <w:sz w:val="11"/>
                <w:szCs w:val="11"/>
                <w:b w:val="1"/>
                <w:bCs w:val="1"/>
                <w:color w:val="auto"/>
                <w:w w:val="81"/>
              </w:rPr>
              <w:t>Gross</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gridSpan w:val="2"/>
          </w:tcPr>
          <w:p>
            <w:pPr>
              <w:jc w:val="center"/>
              <w:ind w:right="440"/>
              <w:spacing w:after="0" w:line="97" w:lineRule="exact"/>
              <w:rPr>
                <w:sz w:val="20"/>
                <w:szCs w:val="20"/>
                <w:color w:val="auto"/>
              </w:rPr>
            </w:pPr>
            <w:r>
              <w:rPr>
                <w:rFonts w:ascii="Arial" w:cs="Arial" w:eastAsia="Arial" w:hAnsi="Arial"/>
                <w:sz w:val="11"/>
                <w:szCs w:val="11"/>
                <w:b w:val="1"/>
                <w:bCs w:val="1"/>
                <w:color w:val="auto"/>
                <w:w w:val="87"/>
              </w:rPr>
              <w:t>Gross</w:t>
            </w:r>
          </w:p>
        </w:tc>
        <w:tc>
          <w:tcPr>
            <w:tcW w:w="260" w:type="dxa"/>
            <w:vAlign w:val="bottom"/>
          </w:tcPr>
          <w:p>
            <w:pPr>
              <w:spacing w:after="0"/>
              <w:rPr>
                <w:sz w:val="8"/>
                <w:szCs w:val="8"/>
                <w:color w:val="auto"/>
              </w:rPr>
            </w:pPr>
          </w:p>
        </w:tc>
        <w:tc>
          <w:tcPr>
            <w:tcW w:w="1060" w:type="dxa"/>
            <w:vAlign w:val="bottom"/>
          </w:tcPr>
          <w:p>
            <w:pPr>
              <w:jc w:val="center"/>
              <w:ind w:right="197"/>
              <w:spacing w:after="0" w:line="97" w:lineRule="exact"/>
              <w:rPr>
                <w:sz w:val="20"/>
                <w:szCs w:val="20"/>
                <w:color w:val="auto"/>
              </w:rPr>
            </w:pPr>
            <w:r>
              <w:rPr>
                <w:rFonts w:ascii="Arial" w:cs="Arial" w:eastAsia="Arial" w:hAnsi="Arial"/>
                <w:sz w:val="11"/>
                <w:szCs w:val="11"/>
                <w:b w:val="1"/>
                <w:bCs w:val="1"/>
                <w:color w:val="auto"/>
                <w:w w:val="91"/>
              </w:rPr>
              <w:t>Estimated</w:t>
            </w:r>
          </w:p>
        </w:tc>
        <w:tc>
          <w:tcPr>
            <w:tcW w:w="0" w:type="dxa"/>
            <w:vAlign w:val="bottom"/>
          </w:tcPr>
          <w:p>
            <w:pPr>
              <w:spacing w:after="0"/>
              <w:rPr>
                <w:sz w:val="1"/>
                <w:szCs w:val="1"/>
                <w:color w:val="auto"/>
              </w:rPr>
            </w:pPr>
          </w:p>
        </w:tc>
      </w:tr>
      <w:tr>
        <w:trPr>
          <w:trHeight w:val="102"/>
        </w:trPr>
        <w:tc>
          <w:tcPr>
            <w:tcW w:w="5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40" w:type="dxa"/>
            <w:vAlign w:val="bottom"/>
          </w:tcPr>
          <w:p>
            <w:pPr>
              <w:jc w:val="center"/>
              <w:ind w:left="341"/>
              <w:spacing w:after="0" w:line="102" w:lineRule="exact"/>
              <w:rPr>
                <w:sz w:val="20"/>
                <w:szCs w:val="20"/>
                <w:color w:val="auto"/>
              </w:rPr>
            </w:pPr>
            <w:r>
              <w:rPr>
                <w:rFonts w:ascii="Arial" w:cs="Arial" w:eastAsia="Arial" w:hAnsi="Arial"/>
                <w:sz w:val="11"/>
                <w:szCs w:val="11"/>
                <w:b w:val="1"/>
                <w:bCs w:val="1"/>
                <w:color w:val="auto"/>
                <w:w w:val="89"/>
              </w:rPr>
              <w:t>Unrealized</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gridSpan w:val="2"/>
          </w:tcPr>
          <w:p>
            <w:pPr>
              <w:jc w:val="center"/>
              <w:ind w:right="420"/>
              <w:spacing w:after="0" w:line="102" w:lineRule="exact"/>
              <w:rPr>
                <w:sz w:val="20"/>
                <w:szCs w:val="20"/>
                <w:color w:val="auto"/>
              </w:rPr>
            </w:pPr>
            <w:r>
              <w:rPr>
                <w:rFonts w:ascii="Arial" w:cs="Arial" w:eastAsia="Arial" w:hAnsi="Arial"/>
                <w:sz w:val="11"/>
                <w:szCs w:val="11"/>
                <w:b w:val="1"/>
                <w:bCs w:val="1"/>
                <w:color w:val="auto"/>
                <w:w w:val="89"/>
              </w:rPr>
              <w:t>Unrealized</w:t>
            </w:r>
          </w:p>
        </w:tc>
        <w:tc>
          <w:tcPr>
            <w:tcW w:w="260" w:type="dxa"/>
            <w:vAlign w:val="bottom"/>
          </w:tcPr>
          <w:p>
            <w:pPr>
              <w:spacing w:after="0"/>
              <w:rPr>
                <w:sz w:val="8"/>
                <w:szCs w:val="8"/>
                <w:color w:val="auto"/>
              </w:rPr>
            </w:pPr>
          </w:p>
        </w:tc>
        <w:tc>
          <w:tcPr>
            <w:tcW w:w="1060" w:type="dxa"/>
            <w:vAlign w:val="bottom"/>
          </w:tcPr>
          <w:p>
            <w:pPr>
              <w:jc w:val="center"/>
              <w:ind w:right="197"/>
              <w:spacing w:after="0" w:line="10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1"/>
                <w:szCs w:val="11"/>
                <w:b w:val="1"/>
                <w:bCs w:val="1"/>
                <w:color w:val="auto"/>
                <w:w w:val="89"/>
              </w:rPr>
              <w:t>Cost</w:t>
            </w:r>
          </w:p>
        </w:tc>
        <w:tc>
          <w:tcPr>
            <w:tcW w:w="80" w:type="dxa"/>
            <w:vAlign w:val="bottom"/>
          </w:tcPr>
          <w:p>
            <w:pPr>
              <w:spacing w:after="0"/>
              <w:rPr>
                <w:sz w:val="12"/>
                <w:szCs w:val="12"/>
                <w:color w:val="auto"/>
              </w:rPr>
            </w:pPr>
          </w:p>
        </w:tc>
        <w:tc>
          <w:tcPr>
            <w:tcW w:w="940" w:type="dxa"/>
            <w:vAlign w:val="bottom"/>
            <w:tcBorders>
              <w:bottom w:val="single" w:sz="8" w:color="auto"/>
            </w:tcBorders>
          </w:tcPr>
          <w:p>
            <w:pPr>
              <w:jc w:val="center"/>
              <w:ind w:left="321"/>
              <w:spacing w:after="0"/>
              <w:rPr>
                <w:sz w:val="20"/>
                <w:szCs w:val="20"/>
                <w:color w:val="auto"/>
              </w:rPr>
            </w:pPr>
            <w:r>
              <w:rPr>
                <w:rFonts w:ascii="Arial" w:cs="Arial" w:eastAsia="Arial" w:hAnsi="Arial"/>
                <w:sz w:val="11"/>
                <w:szCs w:val="11"/>
                <w:b w:val="1"/>
                <w:bCs w:val="1"/>
                <w:color w:val="auto"/>
                <w:w w:val="91"/>
              </w:rPr>
              <w:t>Gains</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57"/>
              <w:spacing w:after="0"/>
              <w:rPr>
                <w:sz w:val="20"/>
                <w:szCs w:val="20"/>
                <w:color w:val="auto"/>
              </w:rPr>
            </w:pPr>
            <w:r>
              <w:rPr>
                <w:rFonts w:ascii="Arial" w:cs="Arial" w:eastAsia="Arial" w:hAnsi="Arial"/>
                <w:sz w:val="11"/>
                <w:szCs w:val="11"/>
                <w:b w:val="1"/>
                <w:bCs w:val="1"/>
                <w:color w:val="auto"/>
                <w:w w:val="79"/>
              </w:rPr>
              <w:t>Losses</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77"/>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60"/>
        </w:trPr>
        <w:tc>
          <w:tcPr>
            <w:tcW w:w="5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01"/>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26,222</w:t>
            </w:r>
          </w:p>
        </w:tc>
        <w:tc>
          <w:tcPr>
            <w:tcW w:w="0" w:type="dxa"/>
            <w:vAlign w:val="bottom"/>
          </w:tcPr>
          <w:p>
            <w:pPr>
              <w:spacing w:after="0"/>
              <w:rPr>
                <w:sz w:val="1"/>
                <w:szCs w:val="1"/>
                <w:color w:val="auto"/>
              </w:rPr>
            </w:pPr>
          </w:p>
        </w:tc>
      </w:tr>
      <w:tr>
        <w:trPr>
          <w:trHeight w:val="173"/>
        </w:trPr>
        <w:tc>
          <w:tcPr>
            <w:tcW w:w="5660" w:type="dxa"/>
            <w:vAlign w:val="bottom"/>
          </w:tcPr>
          <w:p>
            <w:pPr>
              <w:ind w:left="20"/>
              <w:spacing w:after="0"/>
              <w:rPr>
                <w:sz w:val="20"/>
                <w:szCs w:val="20"/>
                <w:color w:val="auto"/>
              </w:rPr>
            </w:pPr>
            <w:r>
              <w:rPr>
                <w:rFonts w:ascii="Arial" w:cs="Arial" w:eastAsia="Arial" w:hAnsi="Arial"/>
                <w:sz w:val="14"/>
                <w:szCs w:val="14"/>
                <w:color w:val="auto"/>
              </w:rPr>
              <w:t>Agency bonds</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461,335</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461,365</w:t>
            </w:r>
          </w:p>
        </w:tc>
        <w:tc>
          <w:tcPr>
            <w:tcW w:w="0" w:type="dxa"/>
            <w:vAlign w:val="bottom"/>
          </w:tcPr>
          <w:p>
            <w:pPr>
              <w:spacing w:after="0"/>
              <w:rPr>
                <w:sz w:val="1"/>
                <w:szCs w:val="1"/>
                <w:color w:val="auto"/>
              </w:rPr>
            </w:pPr>
          </w:p>
        </w:tc>
      </w:tr>
      <w:tr>
        <w:trPr>
          <w:trHeight w:val="17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 debt securities</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465,207</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466,256</w:t>
            </w:r>
          </w:p>
        </w:tc>
        <w:tc>
          <w:tcPr>
            <w:tcW w:w="0" w:type="dxa"/>
            <w:vAlign w:val="bottom"/>
          </w:tcPr>
          <w:p>
            <w:pPr>
              <w:spacing w:after="0"/>
              <w:rPr>
                <w:sz w:val="1"/>
                <w:szCs w:val="1"/>
                <w:color w:val="auto"/>
              </w:rPr>
            </w:pPr>
          </w:p>
        </w:tc>
      </w:tr>
      <w:tr>
        <w:trPr>
          <w:trHeight w:val="173"/>
        </w:trPr>
        <w:tc>
          <w:tcPr>
            <w:tcW w:w="566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834,894</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834,665</w:t>
            </w:r>
          </w:p>
        </w:tc>
        <w:tc>
          <w:tcPr>
            <w:tcW w:w="0" w:type="dxa"/>
            <w:vAlign w:val="bottom"/>
          </w:tcPr>
          <w:p>
            <w:pPr>
              <w:spacing w:after="0"/>
              <w:rPr>
                <w:sz w:val="1"/>
                <w:szCs w:val="1"/>
                <w:color w:val="auto"/>
              </w:rPr>
            </w:pPr>
          </w:p>
        </w:tc>
      </w:tr>
      <w:tr>
        <w:trPr>
          <w:trHeight w:val="17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215,902</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215,902</w:t>
            </w:r>
          </w:p>
        </w:tc>
        <w:tc>
          <w:tcPr>
            <w:tcW w:w="0" w:type="dxa"/>
            <w:vAlign w:val="bottom"/>
          </w:tcPr>
          <w:p>
            <w:pPr>
              <w:spacing w:after="0"/>
              <w:rPr>
                <w:sz w:val="1"/>
                <w:szCs w:val="1"/>
                <w:color w:val="auto"/>
              </w:rPr>
            </w:pPr>
          </w:p>
        </w:tc>
      </w:tr>
      <w:tr>
        <w:trPr>
          <w:trHeight w:val="164"/>
        </w:trPr>
        <w:tc>
          <w:tcPr>
            <w:tcW w:w="5660" w:type="dxa"/>
            <w:vAlign w:val="bottom"/>
          </w:tcPr>
          <w:p>
            <w:pPr>
              <w:ind w:left="260"/>
              <w:spacing w:after="0" w:line="153" w:lineRule="exact"/>
              <w:rPr>
                <w:sz w:val="20"/>
                <w:szCs w:val="20"/>
                <w:color w:val="auto"/>
              </w:rPr>
            </w:pPr>
            <w:r>
              <w:rPr>
                <w:rFonts w:ascii="Arial" w:cs="Arial" w:eastAsia="Arial" w:hAnsi="Arial"/>
                <w:sz w:val="14"/>
                <w:szCs w:val="14"/>
                <w:color w:val="auto"/>
              </w:rPr>
              <w:t>Marketable securities</w:t>
            </w:r>
          </w:p>
        </w:tc>
        <w:tc>
          <w:tcPr>
            <w:tcW w:w="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2,003,560</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1,226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2,004,410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income (loss) for the three and nine months ended October 31, 2021 and 2020.</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presents the contractual maturities of our marketable securities as of October 31, 2021 and January 31,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4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1"/>
                <w:szCs w:val="11"/>
                <w:b w:val="1"/>
                <w:bCs w:val="1"/>
                <w:color w:val="auto"/>
              </w:rPr>
              <w:t>As of</w:t>
            </w:r>
          </w:p>
        </w:tc>
        <w:tc>
          <w:tcPr>
            <w:tcW w:w="13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October 31, 2021</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55"/>
              <w:spacing w:after="0"/>
              <w:rPr>
                <w:sz w:val="20"/>
                <w:szCs w:val="20"/>
                <w:color w:val="auto"/>
              </w:rPr>
            </w:pPr>
            <w:r>
              <w:rPr>
                <w:rFonts w:ascii="Arial" w:cs="Arial" w:eastAsia="Arial" w:hAnsi="Arial"/>
                <w:sz w:val="11"/>
                <w:szCs w:val="11"/>
                <w:b w:val="1"/>
                <w:bCs w:val="1"/>
                <w:color w:val="auto"/>
                <w:w w:val="97"/>
              </w:rPr>
              <w:t>January 31, 2021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Less than one year</w:t>
            </w:r>
          </w:p>
        </w:tc>
        <w:tc>
          <w:tcPr>
            <w:tcW w:w="4660" w:type="dxa"/>
            <w:vAlign w:val="bottom"/>
            <w:gridSpan w:val="2"/>
            <w:shd w:val="clear" w:color="auto" w:fill="CFF0FC"/>
          </w:tcPr>
          <w:p>
            <w:pPr>
              <w:jc w:val="right"/>
              <w:ind w:right="112"/>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2,143,667</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1,017,048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4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Due in one to five years</w:t>
            </w:r>
          </w:p>
        </w:tc>
        <w:tc>
          <w:tcPr>
            <w:tcW w:w="44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1,951,853</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987,362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CFF0FC"/>
            </w:tcBorders>
            <w:shd w:val="clear" w:color="auto" w:fill="CFF0FC"/>
          </w:tcPr>
          <w:p>
            <w:pPr>
              <w:ind w:left="260"/>
              <w:spacing w:after="0" w:line="153" w:lineRule="exact"/>
              <w:rPr>
                <w:sz w:val="20"/>
                <w:szCs w:val="20"/>
                <w:color w:val="auto"/>
              </w:rPr>
            </w:pPr>
            <w:r>
              <w:rPr>
                <w:rFonts w:ascii="Arial" w:cs="Arial" w:eastAsia="Arial" w:hAnsi="Arial"/>
                <w:sz w:val="14"/>
                <w:szCs w:val="14"/>
                <w:color w:val="auto"/>
              </w:rPr>
              <w:t>Total</w:t>
            </w:r>
          </w:p>
        </w:tc>
        <w:tc>
          <w:tcPr>
            <w:tcW w:w="44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4,095,520</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2,004,410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4400" w:type="dxa"/>
            <w:vAlign w:val="bottom"/>
            <w:tcBorders>
              <w:top w:val="single" w:sz="8" w:color="CFF0FC"/>
              <w:bottom w:val="single" w:sz="8" w:color="CFF0FC"/>
            </w:tcBorders>
            <w:vMerge w:val="restart"/>
          </w:tcPr>
          <w:p>
            <w:pPr>
              <w:jc w:val="right"/>
              <w:ind w:right="2052"/>
              <w:spacing w:after="0"/>
              <w:rPr>
                <w:sz w:val="20"/>
                <w:szCs w:val="20"/>
                <w:color w:val="auto"/>
              </w:rPr>
            </w:pPr>
            <w:r>
              <w:rPr>
                <w:rFonts w:ascii="Arial" w:cs="Arial" w:eastAsia="Arial" w:hAnsi="Arial"/>
                <w:sz w:val="14"/>
                <w:szCs w:val="14"/>
                <w:color w:val="auto"/>
              </w:rPr>
              <w:t>14</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4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440" w:type="dxa"/>
            <w:vAlign w:val="bottom"/>
            <w:tcBorders>
              <w:bottom w:val="single" w:sz="8" w:color="9A9A9A"/>
            </w:tcBorders>
          </w:tcPr>
          <w:p>
            <w:pPr>
              <w:spacing w:after="0"/>
              <w:rPr>
                <w:sz w:val="7"/>
                <w:szCs w:val="7"/>
                <w:color w:val="auto"/>
              </w:rPr>
            </w:pPr>
          </w:p>
        </w:tc>
        <w:tc>
          <w:tcPr>
            <w:tcW w:w="4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-24765</wp:posOffset>
            </wp:positionV>
            <wp:extent cx="3175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-24765</wp:posOffset>
            </wp:positionV>
            <wp:extent cx="3175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Strategic Investments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Strategic investments by form and measurement category as of October 31, 2021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42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5"/>
          </w:tcPr>
          <w:p>
            <w:pPr>
              <w:ind w:left="980"/>
              <w:spacing w:after="0"/>
              <w:rPr>
                <w:sz w:val="20"/>
                <w:szCs w:val="20"/>
                <w:color w:val="auto"/>
              </w:rPr>
            </w:pPr>
            <w:r>
              <w:rPr>
                <w:rFonts w:ascii="Arial" w:cs="Arial" w:eastAsia="Arial" w:hAnsi="Arial"/>
                <w:sz w:val="11"/>
                <w:szCs w:val="11"/>
                <w:b w:val="1"/>
                <w:bCs w:val="1"/>
                <w:color w:val="auto"/>
              </w:rPr>
              <w:t>Measurement Category</w:t>
            </w: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36"/>
        </w:trPr>
        <w:tc>
          <w:tcPr>
            <w:tcW w:w="4420" w:type="dxa"/>
            <w:vAlign w:val="bottom"/>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Fair Value</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w w:val="94"/>
              </w:rPr>
              <w:t>Measurement Alternative</w:t>
            </w: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Equity Method</w:t>
            </w: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Total</w:t>
            </w:r>
          </w:p>
        </w:tc>
      </w:tr>
      <w:tr>
        <w:trPr>
          <w:trHeight w:val="160"/>
        </w:trPr>
        <w:tc>
          <w:tcPr>
            <w:tcW w:w="4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3"/>
          </w:tcPr>
          <w:p>
            <w:pPr>
              <w:jc w:val="right"/>
              <w:ind w:right="32"/>
              <w:spacing w:after="0"/>
              <w:rPr>
                <w:sz w:val="20"/>
                <w:szCs w:val="20"/>
                <w:color w:val="auto"/>
              </w:rPr>
            </w:pPr>
            <w:r>
              <w:rPr>
                <w:rFonts w:ascii="Arial" w:cs="Arial" w:eastAsia="Arial" w:hAnsi="Arial"/>
                <w:sz w:val="11"/>
                <w:szCs w:val="11"/>
                <w:b w:val="1"/>
                <w:bCs w:val="1"/>
                <w:color w:val="auto"/>
              </w:rPr>
              <w:t>(in thousands)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8"/>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100" w:type="dxa"/>
            <w:vAlign w:val="bottom"/>
            <w:shd w:val="clear" w:color="auto" w:fill="CCEEFF"/>
          </w:tcPr>
          <w:p>
            <w:pPr>
              <w:jc w:val="right"/>
              <w:ind w:right="957"/>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179,918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93,117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286,384</w:t>
            </w:r>
          </w:p>
        </w:tc>
      </w:tr>
      <w:tr>
        <w:trPr>
          <w:trHeight w:val="173"/>
        </w:trPr>
        <w:tc>
          <w:tcPr>
            <w:tcW w:w="4420" w:type="dxa"/>
            <w:vAlign w:val="bottom"/>
          </w:tcPr>
          <w:p>
            <w:pPr>
              <w:ind w:left="20"/>
              <w:spacing w:after="0"/>
              <w:rPr>
                <w:sz w:val="20"/>
                <w:szCs w:val="20"/>
                <w:color w:val="auto"/>
              </w:rPr>
            </w:pPr>
            <w:r>
              <w:rPr>
                <w:rFonts w:ascii="Arial" w:cs="Arial" w:eastAsia="Arial" w:hAnsi="Arial"/>
                <w:sz w:val="14"/>
                <w:szCs w:val="14"/>
                <w:color w:val="auto"/>
              </w:rPr>
              <w:t>Debt securities</w:t>
            </w: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13,366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13,366</w:t>
            </w:r>
          </w:p>
        </w:tc>
      </w:tr>
      <w:tr>
        <w:trPr>
          <w:trHeight w:val="189"/>
        </w:trPr>
        <w:tc>
          <w:tcPr>
            <w:tcW w:w="44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Strategic investments</w:t>
            </w:r>
          </w:p>
        </w:tc>
        <w:tc>
          <w:tcPr>
            <w:tcW w:w="110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193,284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13,349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299,750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Strategic investments by form and measurement category as of January 31, 2021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4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3"/>
          </w:tcPr>
          <w:p>
            <w:pPr>
              <w:jc w:val="right"/>
              <w:ind w:right="737"/>
              <w:spacing w:after="0"/>
              <w:rPr>
                <w:sz w:val="20"/>
                <w:szCs w:val="20"/>
                <w:color w:val="auto"/>
              </w:rPr>
            </w:pPr>
            <w:r>
              <w:rPr>
                <w:rFonts w:ascii="Arial" w:cs="Arial" w:eastAsia="Arial" w:hAnsi="Arial"/>
                <w:sz w:val="11"/>
                <w:szCs w:val="11"/>
                <w:b w:val="1"/>
                <w:bCs w:val="1"/>
                <w:color w:val="auto"/>
              </w:rPr>
              <w:t>Measurement Category</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36"/>
        </w:trPr>
        <w:tc>
          <w:tcPr>
            <w:tcW w:w="4420" w:type="dxa"/>
            <w:vAlign w:val="bottom"/>
          </w:tcPr>
          <w:p>
            <w:pPr>
              <w:spacing w:after="0"/>
              <w:rPr>
                <w:sz w:val="11"/>
                <w:szCs w:val="11"/>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Fair Value</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w w:val="94"/>
              </w:rPr>
              <w:t>Measurement Alternative</w:t>
            </w:r>
          </w:p>
        </w:tc>
        <w:tc>
          <w:tcPr>
            <w:tcW w:w="80" w:type="dxa"/>
            <w:vAlign w:val="bottom"/>
          </w:tcPr>
          <w:p>
            <w:pPr>
              <w:spacing w:after="0"/>
              <w:rPr>
                <w:sz w:val="11"/>
                <w:szCs w:val="11"/>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Equity Method</w:t>
            </w: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Total</w:t>
            </w:r>
          </w:p>
        </w:tc>
      </w:tr>
      <w:tr>
        <w:trPr>
          <w:trHeight w:val="160"/>
        </w:trPr>
        <w:tc>
          <w:tcPr>
            <w:tcW w:w="4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gridSpan w:val="3"/>
          </w:tcPr>
          <w:p>
            <w:pPr>
              <w:jc w:val="right"/>
              <w:ind w:right="957"/>
              <w:spacing w:after="0"/>
              <w:rPr>
                <w:sz w:val="20"/>
                <w:szCs w:val="20"/>
                <w:color w:val="auto"/>
              </w:rPr>
            </w:pPr>
            <w:r>
              <w:rPr>
                <w:rFonts w:ascii="Arial" w:cs="Arial" w:eastAsia="Arial" w:hAnsi="Arial"/>
                <w:sz w:val="11"/>
                <w:szCs w:val="11"/>
                <w:b w:val="1"/>
                <w:bCs w:val="1"/>
                <w:color w:val="auto"/>
              </w:rPr>
              <w:t>(in thousands)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8"/>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180" w:type="dxa"/>
            <w:vAlign w:val="bottom"/>
            <w:shd w:val="clear" w:color="auto" w:fill="CCEEFF"/>
          </w:tcPr>
          <w:p>
            <w:pPr>
              <w:jc w:val="right"/>
              <w:ind w:right="1037"/>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57"/>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13,538</w:t>
            </w:r>
          </w:p>
        </w:tc>
      </w:tr>
      <w:tr>
        <w:trPr>
          <w:trHeight w:val="173"/>
        </w:trPr>
        <w:tc>
          <w:tcPr>
            <w:tcW w:w="4420" w:type="dxa"/>
            <w:vAlign w:val="bottom"/>
          </w:tcPr>
          <w:p>
            <w:pPr>
              <w:ind w:left="20"/>
              <w:spacing w:after="0"/>
              <w:rPr>
                <w:sz w:val="20"/>
                <w:szCs w:val="20"/>
                <w:color w:val="auto"/>
              </w:rPr>
            </w:pPr>
            <w:r>
              <w:rPr>
                <w:rFonts w:ascii="Arial" w:cs="Arial" w:eastAsia="Arial" w:hAnsi="Arial"/>
                <w:sz w:val="14"/>
                <w:szCs w:val="14"/>
                <w:color w:val="auto"/>
              </w:rPr>
              <w:t>Debt securities</w:t>
            </w:r>
          </w:p>
        </w:tc>
        <w:tc>
          <w:tcPr>
            <w:tcW w:w="1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5,130</w:t>
            </w:r>
          </w:p>
        </w:tc>
      </w:tr>
      <w:tr>
        <w:trPr>
          <w:trHeight w:val="189"/>
        </w:trPr>
        <w:tc>
          <w:tcPr>
            <w:tcW w:w="44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Strategic investments</w:t>
            </w:r>
          </w:p>
        </w:tc>
        <w:tc>
          <w:tcPr>
            <w:tcW w:w="1180" w:type="dxa"/>
            <w:vAlign w:val="bottom"/>
            <w:tcBorders>
              <w:top w:val="single" w:sz="8" w:color="auto"/>
              <w:bottom w:val="single" w:sz="8" w:color="auto"/>
            </w:tcBorders>
            <w:shd w:val="clear" w:color="auto" w:fill="CCEEFF"/>
          </w:tcPr>
          <w:p>
            <w:pPr>
              <w:jc w:val="right"/>
              <w:ind w:right="1037"/>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ind w:right="1157"/>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18,668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In the second quarter of fiscal year 2022, we made a $75.0 million strategic investment of common shares of a technology company in a private placement concurrent with the investee company’s initial public offering. The shares are subject to a 180-day lock-up agreement. We recorded a gain of $72.8 million and $104.9 million related to this investment in the three and nine months ended October 31, 2021, respectively. As of October 31, 2021, the fair value of the investment was $179.9 million and our ownership interest represents approximately one percent of the economic interest of the investee’s outstanding capital stock.</w:t>
      </w:r>
    </w:p>
    <w:p>
      <w:pPr>
        <w:spacing w:after="0" w:line="67" w:lineRule="exact"/>
        <w:rPr>
          <w:sz w:val="20"/>
          <w:szCs w:val="20"/>
          <w:color w:val="auto"/>
        </w:rPr>
      </w:pPr>
    </w:p>
    <w:p>
      <w:pPr>
        <w:jc w:val="both"/>
        <w:ind w:firstLine="367"/>
        <w:spacing w:after="0" w:line="246" w:lineRule="auto"/>
        <w:rPr>
          <w:sz w:val="20"/>
          <w:szCs w:val="20"/>
          <w:color w:val="auto"/>
        </w:rPr>
      </w:pPr>
      <w:r>
        <w:rPr>
          <w:rFonts w:ascii="Arial" w:cs="Arial" w:eastAsia="Arial" w:hAnsi="Arial"/>
          <w:sz w:val="14"/>
          <w:szCs w:val="14"/>
          <w:color w:val="auto"/>
        </w:rPr>
        <w:t>In the third quarter of fiscal year 2022, we made an additional strategic investment in equity securities of a private company. Based on the terms of these privately-held securities, we determined that we currently do not have a controlling interest but have the ability to exercise significant influence over the operating and financial policies of the investee. Therefore this investment is currently accounted for under the equity method. The fair value of the investment was remeasured immediately before adopting the equity method of accounting, based on the observable price from the most recent financing round. The carrying value of this investment was also adjusted by our share of the equity method investee’s operating result for the respective period, which was immaterial for the three months ended October 31, 2021. As a result, we recognized a total gain of $49.6 million on the existing investment during the three months ended October 31, 2021. As of October 31, 2021, the carrying amount of this investment was $93.1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2"/>
          <w:szCs w:val="12"/>
          <w:b w:val="1"/>
          <w:bCs w:val="1"/>
          <w:color w:val="auto"/>
        </w:rPr>
        <w:t>Fair Value Measurements</w:t>
      </w:r>
    </w:p>
    <w:p>
      <w:pPr>
        <w:spacing w:after="0" w:line="86"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7"/>
          </w:tcPr>
          <w:p>
            <w:pPr>
              <w:ind w:left="560"/>
              <w:spacing w:after="0"/>
              <w:rPr>
                <w:sz w:val="20"/>
                <w:szCs w:val="20"/>
                <w:color w:val="auto"/>
              </w:rPr>
            </w:pPr>
            <w:r>
              <w:rPr>
                <w:rFonts w:ascii="Arial" w:cs="Arial" w:eastAsia="Arial" w:hAnsi="Arial"/>
                <w:sz w:val="11"/>
                <w:szCs w:val="11"/>
                <w:b w:val="1"/>
                <w:bCs w:val="1"/>
                <w:color w:val="auto"/>
              </w:rPr>
              <w:t>As of October 31, 2021</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r>
      <w:tr>
        <w:trPr>
          <w:trHeight w:val="136"/>
        </w:trPr>
        <w:tc>
          <w:tcPr>
            <w:tcW w:w="5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Level 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Level 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Level 3</w:t>
            </w:r>
          </w:p>
        </w:tc>
      </w:tr>
      <w:tr>
        <w:trPr>
          <w:trHeight w:val="160"/>
        </w:trPr>
        <w:tc>
          <w:tcPr>
            <w:tcW w:w="5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5"/>
          </w:tcPr>
          <w:p>
            <w:pPr>
              <w:jc w:val="right"/>
              <w:ind w:right="112"/>
              <w:spacing w:after="0"/>
              <w:rPr>
                <w:sz w:val="20"/>
                <w:szCs w:val="20"/>
                <w:color w:val="auto"/>
              </w:rPr>
            </w:pPr>
            <w:r>
              <w:rPr>
                <w:rFonts w:ascii="Arial" w:cs="Arial" w:eastAsia="Arial" w:hAnsi="Arial"/>
                <w:sz w:val="11"/>
                <w:szCs w:val="11"/>
                <w:b w:val="1"/>
                <w:bCs w:val="1"/>
                <w:color w:val="auto"/>
              </w:rPr>
              <w:t>(in thousands)</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3"/>
        </w:trPr>
        <w:tc>
          <w:tcPr>
            <w:tcW w:w="566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8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295,943</w:t>
            </w:r>
          </w:p>
        </w:tc>
        <w:tc>
          <w:tcPr>
            <w:tcW w:w="40" w:type="dxa"/>
            <w:vAlign w:val="bottom"/>
          </w:tcPr>
          <w:p>
            <w:pPr>
              <w:spacing w:after="0"/>
              <w:rPr>
                <w:sz w:val="15"/>
                <w:szCs w:val="15"/>
                <w:color w:val="auto"/>
              </w:rPr>
            </w:pPr>
          </w:p>
        </w:tc>
        <w:tc>
          <w:tcPr>
            <w:tcW w:w="360" w:type="dxa"/>
            <w:vAlign w:val="bottom"/>
            <w:gridSpan w:val="3"/>
          </w:tcPr>
          <w:p>
            <w:pPr>
              <w:jc w:val="right"/>
              <w:ind w:right="13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295,943</w:t>
            </w:r>
          </w:p>
        </w:tc>
        <w:tc>
          <w:tcPr>
            <w:tcW w:w="40" w:type="dxa"/>
            <w:vAlign w:val="bottom"/>
          </w:tcPr>
          <w:p>
            <w:pPr>
              <w:spacing w:after="0"/>
              <w:rPr>
                <w:sz w:val="15"/>
                <w:szCs w:val="15"/>
                <w:color w:val="auto"/>
              </w:rPr>
            </w:pPr>
          </w:p>
        </w:tc>
        <w:tc>
          <w:tcPr>
            <w:tcW w:w="560" w:type="dxa"/>
            <w:vAlign w:val="bottom"/>
            <w:gridSpan w:val="3"/>
          </w:tcPr>
          <w:p>
            <w:pPr>
              <w:jc w:val="right"/>
              <w:ind w:right="312"/>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112"/>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7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576,668</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576,668</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64"/>
        </w:trPr>
        <w:tc>
          <w:tcPr>
            <w:tcW w:w="5660" w:type="dxa"/>
            <w:vAlign w:val="bottom"/>
            <w:tcBorders>
              <w:bottom w:val="single" w:sz="8" w:color="CCEEFF"/>
            </w:tcBorders>
          </w:tcPr>
          <w:p>
            <w:pPr>
              <w:ind w:left="160"/>
              <w:spacing w:after="0" w:line="153" w:lineRule="exact"/>
              <w:rPr>
                <w:sz w:val="20"/>
                <w:szCs w:val="20"/>
                <w:color w:val="auto"/>
              </w:rPr>
            </w:pPr>
            <w:r>
              <w:rPr>
                <w:rFonts w:ascii="Arial" w:cs="Arial" w:eastAsia="Arial" w:hAnsi="Arial"/>
                <w:sz w:val="14"/>
                <w:szCs w:val="14"/>
                <w:color w:val="auto"/>
              </w:rPr>
              <w:t>Cash equivalents</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872,611</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295,943</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576,668</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4"/>
        </w:trPr>
        <w:tc>
          <w:tcPr>
            <w:tcW w:w="5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Commercial paper</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3"/>
        </w:trPr>
        <w:tc>
          <w:tcPr>
            <w:tcW w:w="5660" w:type="dxa"/>
            <w:vAlign w:val="bottom"/>
          </w:tcPr>
          <w:p>
            <w:pPr>
              <w:ind w:left="20"/>
              <w:spacing w:after="0"/>
              <w:rPr>
                <w:sz w:val="20"/>
                <w:szCs w:val="20"/>
                <w:color w:val="auto"/>
              </w:rPr>
            </w:pPr>
            <w:r>
              <w:rPr>
                <w:rFonts w:ascii="Arial" w:cs="Arial" w:eastAsia="Arial" w:hAnsi="Arial"/>
                <w:sz w:val="14"/>
                <w:szCs w:val="14"/>
                <w:color w:val="auto"/>
              </w:rPr>
              <w:t>Agency bonds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437,453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437,453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7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 debt securities</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314,521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314,521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3"/>
        </w:trPr>
        <w:tc>
          <w:tcPr>
            <w:tcW w:w="566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2,996,045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2,996,045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7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324,019</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324,019</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64"/>
        </w:trPr>
        <w:tc>
          <w:tcPr>
            <w:tcW w:w="5660" w:type="dxa"/>
            <w:vAlign w:val="bottom"/>
            <w:tcBorders>
              <w:bottom w:val="single" w:sz="8" w:color="CCEEFF"/>
            </w:tcBorders>
          </w:tcPr>
          <w:p>
            <w:pPr>
              <w:ind w:left="160"/>
              <w:spacing w:after="0" w:line="153" w:lineRule="exact"/>
              <w:rPr>
                <w:sz w:val="20"/>
                <w:szCs w:val="20"/>
                <w:color w:val="auto"/>
              </w:rPr>
            </w:pPr>
            <w:r>
              <w:rPr>
                <w:rFonts w:ascii="Arial" w:cs="Arial" w:eastAsia="Arial" w:hAnsi="Arial"/>
                <w:sz w:val="14"/>
                <w:szCs w:val="14"/>
                <w:color w:val="auto"/>
              </w:rPr>
              <w:t>Marketable securities</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4,095,520</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4,095,520</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4"/>
        </w:trPr>
        <w:tc>
          <w:tcPr>
            <w:tcW w:w="5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Publicly held equity securities included in strategic investments</w:t>
            </w: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179,918</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179,918</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64"/>
        </w:trPr>
        <w:tc>
          <w:tcPr>
            <w:tcW w:w="5660" w:type="dxa"/>
            <w:vAlign w:val="bottom"/>
            <w:tcBorders>
              <w:bottom w:val="single" w:sz="8" w:color="CCEEFF"/>
            </w:tcBorders>
          </w:tcPr>
          <w:p>
            <w:pPr>
              <w:ind w:left="20"/>
              <w:spacing w:after="0" w:line="153" w:lineRule="exact"/>
              <w:rPr>
                <w:sz w:val="20"/>
                <w:szCs w:val="20"/>
                <w:color w:val="auto"/>
              </w:rPr>
            </w:pPr>
            <w:r>
              <w:rPr>
                <w:rFonts w:ascii="Arial" w:cs="Arial" w:eastAsia="Arial" w:hAnsi="Arial"/>
                <w:sz w:val="14"/>
                <w:szCs w:val="14"/>
                <w:color w:val="auto"/>
              </w:rPr>
              <w:t>Privately held debt securities included in strategic investments</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13,366</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13,366</w:t>
            </w:r>
          </w:p>
        </w:tc>
        <w:tc>
          <w:tcPr>
            <w:tcW w:w="40" w:type="dxa"/>
            <w:vAlign w:val="bottom"/>
            <w:tcBorders>
              <w:bottom w:val="single" w:sz="8" w:color="auto"/>
            </w:tcBorders>
          </w:tcPr>
          <w:p>
            <w:pPr>
              <w:spacing w:after="0"/>
              <w:rPr>
                <w:sz w:val="14"/>
                <w:szCs w:val="14"/>
                <w:color w:val="auto"/>
              </w:rPr>
            </w:pPr>
          </w:p>
        </w:tc>
      </w:tr>
      <w:tr>
        <w:trPr>
          <w:trHeight w:val="164"/>
        </w:trPr>
        <w:tc>
          <w:tcPr>
            <w:tcW w:w="5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Certificates of deposit included in other assets, noncurrent</w:t>
            </w: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64"/>
        </w:trPr>
        <w:tc>
          <w:tcPr>
            <w:tcW w:w="5660" w:type="dxa"/>
            <w:vAlign w:val="bottom"/>
          </w:tcPr>
          <w:p>
            <w:pPr>
              <w:ind w:left="20"/>
              <w:spacing w:after="0" w:line="153" w:lineRule="exact"/>
              <w:rPr>
                <w:sz w:val="20"/>
                <w:szCs w:val="20"/>
                <w:color w:val="auto"/>
              </w:rPr>
            </w:pPr>
            <w:r>
              <w:rPr>
                <w:rFonts w:ascii="Arial" w:cs="Arial" w:eastAsia="Arial" w:hAnsi="Arial"/>
                <w:sz w:val="14"/>
                <w:szCs w:val="14"/>
                <w:color w:val="auto"/>
              </w:rPr>
              <w:t>Total financial assets</w:t>
            </w:r>
          </w:p>
        </w:tc>
        <w:tc>
          <w:tcPr>
            <w:tcW w:w="40" w:type="dxa"/>
            <w:vAlign w:val="bottom"/>
          </w:tcPr>
          <w:p>
            <w:pPr>
              <w:spacing w:after="0"/>
              <w:rPr>
                <w:sz w:val="14"/>
                <w:szCs w:val="14"/>
                <w:color w:val="auto"/>
              </w:rPr>
            </w:pP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5,161,712</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475,861</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4,672,485</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13,366</w:t>
            </w:r>
          </w:p>
        </w:tc>
        <w:tc>
          <w:tcPr>
            <w:tcW w:w="40" w:type="dxa"/>
            <w:vAlign w:val="bottom"/>
            <w:tcBorders>
              <w:bottom w:val="single" w:sz="8" w:color="auto"/>
            </w:tcBorders>
          </w:tcPr>
          <w:p>
            <w:pPr>
              <w:spacing w:after="0"/>
              <w:rPr>
                <w:sz w:val="14"/>
                <w:szCs w:val="14"/>
                <w:color w:val="auto"/>
              </w:rPr>
            </w:pPr>
          </w:p>
        </w:tc>
      </w:tr>
      <w:tr>
        <w:trPr>
          <w:trHeight w:val="20"/>
        </w:trPr>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91"/>
        </w:trPr>
        <w:tc>
          <w:tcPr>
            <w:tcW w:w="56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As of January 31, 2021</w:t>
            </w: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36"/>
        </w:trPr>
        <w:tc>
          <w:tcPr>
            <w:tcW w:w="56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Level 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w w:val="85"/>
              </w:rPr>
              <w:t>Level 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Level 3</w:t>
            </w:r>
          </w:p>
        </w:tc>
        <w:tc>
          <w:tcPr>
            <w:tcW w:w="40" w:type="dxa"/>
            <w:vAlign w:val="bottom"/>
          </w:tcPr>
          <w:p>
            <w:pPr>
              <w:spacing w:after="0"/>
              <w:rPr>
                <w:sz w:val="11"/>
                <w:szCs w:val="11"/>
                <w:color w:val="auto"/>
              </w:rPr>
            </w:pPr>
          </w:p>
        </w:tc>
      </w:tr>
      <w:tr>
        <w:trPr>
          <w:trHeight w:val="160"/>
        </w:trPr>
        <w:tc>
          <w:tcPr>
            <w:tcW w:w="5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5"/>
          </w:tcPr>
          <w:p>
            <w:pPr>
              <w:jc w:val="right"/>
              <w:ind w:right="152"/>
              <w:spacing w:after="0"/>
              <w:rPr>
                <w:sz w:val="20"/>
                <w:szCs w:val="20"/>
                <w:color w:val="auto"/>
              </w:rPr>
            </w:pPr>
            <w:r>
              <w:rPr>
                <w:rFonts w:ascii="Arial" w:cs="Arial" w:eastAsia="Arial" w:hAnsi="Arial"/>
                <w:sz w:val="11"/>
                <w:szCs w:val="11"/>
                <w:b w:val="1"/>
                <w:bCs w:val="1"/>
                <w:color w:val="auto"/>
              </w:rPr>
              <w:t>(in thousands)</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3"/>
        </w:trPr>
        <w:tc>
          <w:tcPr>
            <w:tcW w:w="566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80" w:type="dxa"/>
            <w:vAlign w:val="bottom"/>
            <w:gridSpan w:val="2"/>
          </w:tcPr>
          <w:p>
            <w:pPr>
              <w:jc w:val="right"/>
              <w:ind w:right="132"/>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958,357</w:t>
            </w:r>
          </w:p>
        </w:tc>
        <w:tc>
          <w:tcPr>
            <w:tcW w:w="40" w:type="dxa"/>
            <w:vAlign w:val="bottom"/>
          </w:tcPr>
          <w:p>
            <w:pPr>
              <w:spacing w:after="0"/>
              <w:rPr>
                <w:sz w:val="15"/>
                <w:szCs w:val="15"/>
                <w:color w:val="auto"/>
              </w:rPr>
            </w:pPr>
          </w:p>
        </w:tc>
        <w:tc>
          <w:tcPr>
            <w:tcW w:w="360" w:type="dxa"/>
            <w:vAlign w:val="bottom"/>
            <w:gridSpan w:val="3"/>
          </w:tcPr>
          <w:p>
            <w:pPr>
              <w:jc w:val="right"/>
              <w:ind w:right="17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958,357</w:t>
            </w:r>
          </w:p>
        </w:tc>
        <w:tc>
          <w:tcPr>
            <w:tcW w:w="40" w:type="dxa"/>
            <w:vAlign w:val="bottom"/>
          </w:tcPr>
          <w:p>
            <w:pPr>
              <w:spacing w:after="0"/>
              <w:rPr>
                <w:sz w:val="15"/>
                <w:szCs w:val="15"/>
                <w:color w:val="auto"/>
              </w:rPr>
            </w:pPr>
          </w:p>
        </w:tc>
        <w:tc>
          <w:tcPr>
            <w:tcW w:w="560" w:type="dxa"/>
            <w:vAlign w:val="bottom"/>
            <w:gridSpan w:val="3"/>
          </w:tcPr>
          <w:p>
            <w:pPr>
              <w:jc w:val="right"/>
              <w:ind w:right="352"/>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152"/>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r>
        <w:trPr>
          <w:trHeight w:val="17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618,498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618,498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r>
        <w:trPr>
          <w:trHeight w:val="164"/>
        </w:trPr>
        <w:tc>
          <w:tcPr>
            <w:tcW w:w="5660" w:type="dxa"/>
            <w:vAlign w:val="bottom"/>
            <w:tcBorders>
              <w:bottom w:val="single" w:sz="8" w:color="CCEEFF"/>
            </w:tcBorders>
          </w:tcPr>
          <w:p>
            <w:pPr>
              <w:ind w:left="160"/>
              <w:spacing w:after="0" w:line="153" w:lineRule="exact"/>
              <w:rPr>
                <w:sz w:val="20"/>
                <w:szCs w:val="20"/>
                <w:color w:val="auto"/>
              </w:rPr>
            </w:pPr>
            <w:r>
              <w:rPr>
                <w:rFonts w:ascii="Arial" w:cs="Arial" w:eastAsia="Arial" w:hAnsi="Arial"/>
                <w:sz w:val="14"/>
                <w:szCs w:val="14"/>
                <w:color w:val="auto"/>
              </w:rPr>
              <w:t>Cash equivalents</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1,576,855</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958,357</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618,498</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4"/>
        </w:trPr>
        <w:tc>
          <w:tcPr>
            <w:tcW w:w="5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Commercial paper</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73"/>
        </w:trPr>
        <w:tc>
          <w:tcPr>
            <w:tcW w:w="5660" w:type="dxa"/>
            <w:vAlign w:val="bottom"/>
          </w:tcPr>
          <w:p>
            <w:pPr>
              <w:ind w:left="20"/>
              <w:spacing w:after="0"/>
              <w:rPr>
                <w:sz w:val="20"/>
                <w:szCs w:val="20"/>
                <w:color w:val="auto"/>
              </w:rPr>
            </w:pPr>
            <w:r>
              <w:rPr>
                <w:rFonts w:ascii="Arial" w:cs="Arial" w:eastAsia="Arial" w:hAnsi="Arial"/>
                <w:sz w:val="14"/>
                <w:szCs w:val="14"/>
                <w:color w:val="auto"/>
              </w:rPr>
              <w:t>Agency bonds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461,365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461,365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r>
        <w:trPr>
          <w:trHeight w:val="17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 debt securities</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466,256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466,256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r>
        <w:trPr>
          <w:trHeight w:val="173"/>
        </w:trPr>
        <w:tc>
          <w:tcPr>
            <w:tcW w:w="566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834,665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834,665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r>
        <w:trPr>
          <w:trHeight w:val="17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bills</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215,902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215,902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r>
        <w:trPr>
          <w:trHeight w:val="164"/>
        </w:trPr>
        <w:tc>
          <w:tcPr>
            <w:tcW w:w="5660" w:type="dxa"/>
            <w:vAlign w:val="bottom"/>
            <w:tcBorders>
              <w:bottom w:val="single" w:sz="8" w:color="CCEEFF"/>
            </w:tcBorders>
          </w:tcPr>
          <w:p>
            <w:pPr>
              <w:ind w:left="160"/>
              <w:spacing w:after="0" w:line="153" w:lineRule="exact"/>
              <w:rPr>
                <w:sz w:val="20"/>
                <w:szCs w:val="20"/>
                <w:color w:val="auto"/>
              </w:rPr>
            </w:pPr>
            <w:r>
              <w:rPr>
                <w:rFonts w:ascii="Arial" w:cs="Arial" w:eastAsia="Arial" w:hAnsi="Arial"/>
                <w:sz w:val="14"/>
                <w:szCs w:val="14"/>
                <w:color w:val="auto"/>
              </w:rPr>
              <w:t>Marketable securities</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2,004,410</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2,004,410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4"/>
        </w:trPr>
        <w:tc>
          <w:tcPr>
            <w:tcW w:w="5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Certificate of deposit included in prepaid expenses and other current assets</w:t>
            </w:r>
          </w:p>
        </w:tc>
        <w:tc>
          <w:tcPr>
            <w:tcW w:w="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4"/>
        </w:trPr>
        <w:tc>
          <w:tcPr>
            <w:tcW w:w="5660" w:type="dxa"/>
            <w:vAlign w:val="bottom"/>
            <w:tcBorders>
              <w:bottom w:val="single" w:sz="8" w:color="CCEEFF"/>
            </w:tcBorders>
          </w:tcPr>
          <w:p>
            <w:pPr>
              <w:ind w:left="20"/>
              <w:spacing w:after="0" w:line="153" w:lineRule="exact"/>
              <w:rPr>
                <w:sz w:val="20"/>
                <w:szCs w:val="20"/>
                <w:color w:val="auto"/>
              </w:rPr>
            </w:pPr>
            <w:r>
              <w:rPr>
                <w:rFonts w:ascii="Arial" w:cs="Arial" w:eastAsia="Arial" w:hAnsi="Arial"/>
                <w:sz w:val="14"/>
                <w:szCs w:val="14"/>
                <w:color w:val="auto"/>
              </w:rPr>
              <w:t>Certificates of deposit included in other assets, noncurrent</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4"/>
        </w:trPr>
        <w:tc>
          <w:tcPr>
            <w:tcW w:w="5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Privately held debt securities included in strategic investments</w:t>
            </w:r>
          </w:p>
        </w:tc>
        <w:tc>
          <w:tcPr>
            <w:tcW w:w="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5,130</w:t>
            </w:r>
          </w:p>
        </w:tc>
        <w:tc>
          <w:tcPr>
            <w:tcW w:w="40" w:type="dxa"/>
            <w:vAlign w:val="bottom"/>
          </w:tcPr>
          <w:p>
            <w:pPr>
              <w:spacing w:after="0"/>
              <w:rPr>
                <w:sz w:val="14"/>
                <w:szCs w:val="14"/>
                <w:color w:val="auto"/>
              </w:rPr>
            </w:pPr>
          </w:p>
        </w:tc>
      </w:tr>
      <w:tr>
        <w:trPr>
          <w:trHeight w:val="164"/>
        </w:trPr>
        <w:tc>
          <w:tcPr>
            <w:tcW w:w="5660" w:type="dxa"/>
            <w:vAlign w:val="bottom"/>
          </w:tcPr>
          <w:p>
            <w:pPr>
              <w:ind w:left="20"/>
              <w:spacing w:after="0" w:line="153" w:lineRule="exact"/>
              <w:rPr>
                <w:sz w:val="20"/>
                <w:szCs w:val="20"/>
                <w:color w:val="auto"/>
              </w:rPr>
            </w:pPr>
            <w:r>
              <w:rPr>
                <w:rFonts w:ascii="Arial" w:cs="Arial" w:eastAsia="Arial" w:hAnsi="Arial"/>
                <w:sz w:val="14"/>
                <w:szCs w:val="14"/>
                <w:color w:val="auto"/>
              </w:rPr>
              <w:t>Total financial assets</w:t>
            </w:r>
          </w:p>
        </w:tc>
        <w:tc>
          <w:tcPr>
            <w:tcW w:w="2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3,588,733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958,357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2,625,246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5,130</w:t>
            </w:r>
          </w:p>
        </w:tc>
        <w:tc>
          <w:tcPr>
            <w:tcW w:w="40" w:type="dxa"/>
            <w:vAlign w:val="bottom"/>
          </w:tcPr>
          <w:p>
            <w:pPr>
              <w:spacing w:after="0"/>
              <w:rPr>
                <w:sz w:val="14"/>
                <w:szCs w:val="14"/>
                <w:color w:val="auto"/>
              </w:rPr>
            </w:pPr>
          </w:p>
        </w:tc>
      </w:tr>
      <w:tr>
        <w:trPr>
          <w:trHeight w:val="20"/>
        </w:trPr>
        <w:tc>
          <w:tcPr>
            <w:tcW w:w="5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360" w:right="9700" w:hanging="358"/>
        <w:spacing w:after="0" w:line="466" w:lineRule="auto"/>
        <w:tabs>
          <w:tab w:leader="none" w:pos="231" w:val="left"/>
        </w:tabs>
        <w:numPr>
          <w:ilvl w:val="0"/>
          <w:numId w:val="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Business Combinations </w:t>
      </w:r>
      <w:r>
        <w:rPr>
          <w:rFonts w:ascii="Arial" w:cs="Arial" w:eastAsia="Arial" w:hAnsi="Arial"/>
          <w:sz w:val="11"/>
          <w:szCs w:val="11"/>
          <w:b w:val="1"/>
          <w:bCs w:val="1"/>
          <w:i w:val="1"/>
          <w:iCs w:val="1"/>
          <w:color w:val="auto"/>
        </w:rPr>
        <w:t>Keybase, Inc.</w:t>
      </w:r>
    </w:p>
    <w:p>
      <w:pPr>
        <w:spacing w:after="0" w:line="1"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On May 7, 2020, we acquired 100% of the issued and outstanding share capital of Keybase, Inc. (“Keybase”), a secure messaging and file-sharing company, for purchase consideration of $42.9 million in cash. The acquisition helps us strengthen the security of our video communications platform by providing end-to-end encryption (“E2EE”) expertise. The acquisition has been accounted for as a business combination.</w:t>
      </w:r>
    </w:p>
    <w:p>
      <w:pPr>
        <w:spacing w:after="0" w:line="64"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In allocating the purchase consideration, $24.3 million was attributed to goodwill, $3.3 million to intangible assets, and $15.3 million to other net assets acquired primarily consisting of cash and cash equivalents of $16.4 million. The goodwill amount represents synergies related to our existing products expected to be realized from the acquisition and assembled workforce. The associated goodwill is not deductible for tax purposes. Acquired intangible assets consisted of developed technology with an estimated useful life of five years. The developed technology had a remaining useful life of 3.5 years as of October 31, 2021, and is amortized using the straight-line method over its estimated useful life.</w:t>
      </w:r>
    </w:p>
    <w:p>
      <w:pPr>
        <w:spacing w:after="0" w:line="67"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Not included in the purchase consideration, we also entered into holdback agreements with certain employees for $20.0 million in cash payments, which are subject to such employees’ continued service with us. The holdback amount of $20.0 million will be treated as compensation for research and development over the required service period ranging from one year to three years.</w:t>
      </w:r>
    </w:p>
    <w:p>
      <w:pPr>
        <w:spacing w:after="0" w:line="11"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Transaction costs incurred in connection with the acquisition were immaterial. The results of operations of Keybase have been included in our condensed consolidated financial statements from the date of the acquisition. Pro forma and historical results of operations of Keybase have not been presented, as the results do not have a material effect on any of the periods presented in our condensed consolidated statements of operations.</w:t>
      </w:r>
    </w:p>
    <w:p>
      <w:pPr>
        <w:spacing w:after="0" w:line="144" w:lineRule="exact"/>
        <w:rPr>
          <w:sz w:val="20"/>
          <w:szCs w:val="20"/>
          <w:color w:val="auto"/>
        </w:rPr>
      </w:pPr>
    </w:p>
    <w:p>
      <w:pPr>
        <w:jc w:val="right"/>
        <w:ind w:left="360" w:right="9460" w:hanging="358"/>
        <w:spacing w:after="0" w:line="466" w:lineRule="auto"/>
        <w:tabs>
          <w:tab w:leader="none" w:pos="231" w:val="left"/>
        </w:tabs>
        <w:numPr>
          <w:ilvl w:val="0"/>
          <w:numId w:val="7"/>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Balance Sheet Components </w:t>
      </w:r>
      <w:r>
        <w:rPr>
          <w:rFonts w:ascii="Arial" w:cs="Arial" w:eastAsia="Arial" w:hAnsi="Arial"/>
          <w:sz w:val="11"/>
          <w:szCs w:val="11"/>
          <w:b w:val="1"/>
          <w:bCs w:val="1"/>
          <w:i w:val="1"/>
          <w:iCs w:val="1"/>
          <w:color w:val="auto"/>
        </w:rPr>
        <w:t>Accounts Receivable, Net</w:t>
      </w:r>
    </w:p>
    <w:p>
      <w:pPr>
        <w:spacing w:after="0" w:line="1"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Accounts receivable are recorded for invoiced amounts and amounts for which revenue has been recognized, but not invoiced, net of allowances. Our short-term accounts receivable consist of the following:</w:t>
      </w:r>
    </w:p>
    <w:p>
      <w:pPr>
        <w:sectPr>
          <w:pgSz w:w="11900" w:h="16838" w:orient="portrait"/>
          <w:cols w:equalWidth="0" w:num="1">
            <w:col w:w="11280"/>
          </w:cols>
          <w:pgMar w:left="300" w:top="129" w:right="31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7165975" cy="1098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1098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Less: allowance for credit losses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allowance for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7165975" cy="1098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109855"/>
                    </a:xfrm>
                    <a:prstGeom prst="rect">
                      <a:avLst/>
                    </a:prstGeom>
                    <a:noFill/>
                  </pic:spPr>
                </pic:pic>
              </a:graphicData>
            </a:graphic>
          </wp:anchor>
        </w:drawing>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receivable, net</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Below is a rollforward of our allowance for credit losses for the nine months ended October 31, 2021 and 2020:</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1580"/>
        <w:spacing w:after="0"/>
        <w:rPr>
          <w:sz w:val="20"/>
          <w:szCs w:val="20"/>
          <w:color w:val="auto"/>
        </w:rPr>
      </w:pPr>
      <w:r>
        <w:rPr>
          <w:rFonts w:ascii="Arial" w:cs="Arial" w:eastAsia="Arial" w:hAnsi="Arial"/>
          <w:sz w:val="11"/>
          <w:szCs w:val="11"/>
          <w:b w:val="1"/>
          <w:bCs w:val="1"/>
          <w:color w:val="auto"/>
        </w:rPr>
        <w:t>As of</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1"/>
                <w:szCs w:val="11"/>
                <w:b w:val="1"/>
                <w:bCs w:val="1"/>
                <w:color w:val="auto"/>
              </w:rPr>
              <w:t>October 31, 2021</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1"/>
                <w:szCs w:val="11"/>
                <w:b w:val="1"/>
                <w:bCs w:val="1"/>
                <w:color w:val="auto"/>
              </w:rPr>
              <w:t>January 31, 2021</w:t>
            </w: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3"/>
          </w:tcPr>
          <w:p>
            <w:pPr>
              <w:ind w:left="1120"/>
              <w:spacing w:after="0"/>
              <w:rPr>
                <w:sz w:val="20"/>
                <w:szCs w:val="20"/>
                <w:color w:val="auto"/>
              </w:rPr>
            </w:pPr>
            <w:r>
              <w:rPr>
                <w:rFonts w:ascii="Arial" w:cs="Arial" w:eastAsia="Arial" w:hAnsi="Arial"/>
                <w:sz w:val="11"/>
                <w:szCs w:val="11"/>
                <w:b w:val="1"/>
                <w:bCs w:val="1"/>
                <w:color w:val="auto"/>
                <w:w w:val="94"/>
              </w:rPr>
              <w:t>(in thousands)</w:t>
            </w:r>
          </w:p>
        </w:tc>
        <w:tc>
          <w:tcPr>
            <w:tcW w:w="1280" w:type="dxa"/>
            <w:vAlign w:val="bottom"/>
          </w:tcPr>
          <w:p>
            <w:pPr>
              <w:spacing w:after="0"/>
              <w:rPr>
                <w:sz w:val="13"/>
                <w:szCs w:val="13"/>
                <w:color w:val="auto"/>
              </w:rPr>
            </w:pPr>
          </w:p>
        </w:tc>
      </w:tr>
      <w:tr>
        <w:trPr>
          <w:trHeight w:val="181"/>
        </w:trPr>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Pr>
          <w:p>
            <w:pPr>
              <w:ind w:left="920"/>
              <w:spacing w:after="0"/>
              <w:rPr>
                <w:sz w:val="20"/>
                <w:szCs w:val="20"/>
                <w:color w:val="auto"/>
              </w:rPr>
            </w:pPr>
            <w:r>
              <w:rPr>
                <w:rFonts w:ascii="Arial" w:cs="Arial" w:eastAsia="Arial" w:hAnsi="Arial"/>
                <w:sz w:val="14"/>
                <w:szCs w:val="14"/>
                <w:color w:val="auto"/>
                <w:w w:val="90"/>
              </w:rPr>
              <w:t>411,952</w:t>
            </w:r>
          </w:p>
        </w:tc>
        <w:tc>
          <w:tcPr>
            <w:tcW w:w="100" w:type="dxa"/>
            <w:vAlign w:val="bottom"/>
          </w:tcPr>
          <w:p>
            <w:pPr>
              <w:spacing w:after="0"/>
              <w:rPr>
                <w:sz w:val="15"/>
                <w:szCs w:val="15"/>
                <w:color w:val="auto"/>
              </w:rPr>
            </w:pP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1280" w:type="dxa"/>
            <w:vAlign w:val="bottom"/>
          </w:tcPr>
          <w:p>
            <w:pPr>
              <w:ind w:left="800"/>
              <w:spacing w:after="0"/>
              <w:rPr>
                <w:sz w:val="20"/>
                <w:szCs w:val="20"/>
                <w:color w:val="auto"/>
              </w:rPr>
            </w:pPr>
            <w:r>
              <w:rPr>
                <w:rFonts w:ascii="Arial" w:cs="Arial" w:eastAsia="Arial" w:hAnsi="Arial"/>
                <w:sz w:val="14"/>
                <w:szCs w:val="14"/>
                <w:color w:val="auto"/>
                <w:w w:val="90"/>
              </w:rPr>
              <w:t>331,547</w:t>
            </w:r>
          </w:p>
        </w:tc>
      </w:tr>
      <w:tr>
        <w:trPr>
          <w:trHeight w:val="17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ind w:left="920"/>
              <w:spacing w:after="0"/>
              <w:rPr>
                <w:sz w:val="20"/>
                <w:szCs w:val="20"/>
                <w:color w:val="auto"/>
              </w:rPr>
            </w:pPr>
            <w:r>
              <w:rPr>
                <w:rFonts w:ascii="Arial" w:cs="Arial" w:eastAsia="Arial" w:hAnsi="Arial"/>
                <w:sz w:val="14"/>
                <w:szCs w:val="14"/>
                <w:color w:val="auto"/>
                <w:w w:val="88"/>
              </w:rPr>
              <w:t>(21,100)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ind w:left="800"/>
              <w:spacing w:after="0"/>
              <w:rPr>
                <w:sz w:val="20"/>
                <w:szCs w:val="20"/>
                <w:color w:val="auto"/>
              </w:rPr>
            </w:pPr>
            <w:r>
              <w:rPr>
                <w:rFonts w:ascii="Arial" w:cs="Arial" w:eastAsia="Arial" w:hAnsi="Arial"/>
                <w:sz w:val="14"/>
                <w:szCs w:val="14"/>
                <w:color w:val="auto"/>
                <w:w w:val="88"/>
              </w:rPr>
              <w:t>(20,500)</w:t>
            </w:r>
          </w:p>
        </w:tc>
      </w:tr>
      <w:tr>
        <w:trPr>
          <w:trHeight w:val="174"/>
        </w:trPr>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w w:val="88"/>
              </w:rPr>
              <w:t>(12,978)</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w w:val="88"/>
              </w:rPr>
              <w:t>(16,344)</w:t>
            </w:r>
          </w:p>
        </w:tc>
      </w:tr>
      <w:tr>
        <w:trPr>
          <w:trHeight w:val="164"/>
        </w:trPr>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w w:val="94"/>
              </w:rPr>
              <w:t>377,874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w w:val="90"/>
              </w:rPr>
              <w:t>294,703</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32"/>
        </w:trPr>
        <w:tc>
          <w:tcPr>
            <w:tcW w:w="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auto"/>
              </w:rPr>
              <w:t>2020</w:t>
            </w:r>
          </w:p>
        </w:tc>
      </w:tr>
      <w:tr>
        <w:trPr>
          <w:trHeight w:val="132"/>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3"/>
          </w:tcPr>
          <w:p>
            <w:pPr>
              <w:ind w:left="1140"/>
              <w:spacing w:after="0"/>
              <w:rPr>
                <w:sz w:val="20"/>
                <w:szCs w:val="20"/>
                <w:color w:val="auto"/>
              </w:rPr>
            </w:pPr>
            <w:r>
              <w:rPr>
                <w:rFonts w:ascii="Arial" w:cs="Arial" w:eastAsia="Arial" w:hAnsi="Arial"/>
                <w:sz w:val="11"/>
                <w:szCs w:val="11"/>
                <w:b w:val="1"/>
                <w:bCs w:val="1"/>
                <w:color w:val="auto"/>
                <w:w w:val="92"/>
              </w:rPr>
              <w:t>(in thousands)</w:t>
            </w:r>
          </w:p>
        </w:tc>
        <w:tc>
          <w:tcPr>
            <w:tcW w:w="1280" w:type="dxa"/>
            <w:vAlign w:val="bottom"/>
          </w:tcPr>
          <w:p>
            <w:pPr>
              <w:spacing w:after="0"/>
              <w:rPr>
                <w:sz w:val="11"/>
                <w:szCs w:val="11"/>
                <w:color w:val="auto"/>
              </w:rPr>
            </w:pPr>
          </w:p>
        </w:tc>
      </w:tr>
    </w:tbl>
    <w:p>
      <w:pPr>
        <w:spacing w:after="0" w:line="14" w:lineRule="exact"/>
        <w:rPr>
          <w:sz w:val="20"/>
          <w:szCs w:val="20"/>
          <w:color w:val="auto"/>
        </w:rPr>
      </w:pPr>
    </w:p>
    <w:p>
      <w:pPr>
        <w:sectPr>
          <w:pgSz w:w="11900" w:h="16838" w:orient="portrait"/>
          <w:cols w:equalWidth="0" w:num="2">
            <w:col w:w="7160" w:space="720"/>
            <w:col w:w="340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w:t>
            </w:r>
          </w:p>
        </w:tc>
        <w:tc>
          <w:tcPr>
            <w:tcW w:w="502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472"/>
              <w:spacing w:after="0"/>
              <w:rPr>
                <w:sz w:val="20"/>
                <w:szCs w:val="20"/>
                <w:color w:val="auto"/>
              </w:rPr>
            </w:pPr>
            <w:r>
              <w:rPr>
                <w:rFonts w:ascii="Arial" w:cs="Arial" w:eastAsia="Arial" w:hAnsi="Arial"/>
                <w:sz w:val="14"/>
                <w:szCs w:val="14"/>
                <w:color w:val="auto"/>
                <w:w w:val="88"/>
              </w:rPr>
              <w:t>20,500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5,150</w:t>
            </w:r>
          </w:p>
        </w:tc>
        <w:tc>
          <w:tcPr>
            <w:tcW w:w="0" w:type="dxa"/>
            <w:vAlign w:val="bottom"/>
          </w:tcPr>
          <w:p>
            <w:pPr>
              <w:spacing w:after="0"/>
              <w:rPr>
                <w:sz w:val="1"/>
                <w:szCs w:val="1"/>
                <w:color w:val="auto"/>
              </w:rPr>
            </w:pPr>
          </w:p>
        </w:tc>
      </w:tr>
      <w:tr>
        <w:trPr>
          <w:trHeight w:val="173"/>
        </w:trPr>
        <w:tc>
          <w:tcPr>
            <w:tcW w:w="350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4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center"/>
              <w:ind w:left="472"/>
              <w:spacing w:after="0"/>
              <w:rPr>
                <w:sz w:val="20"/>
                <w:szCs w:val="20"/>
                <w:color w:val="auto"/>
              </w:rPr>
            </w:pPr>
            <w:r>
              <w:rPr>
                <w:rFonts w:ascii="Arial" w:cs="Arial" w:eastAsia="Arial" w:hAnsi="Arial"/>
                <w:sz w:val="14"/>
                <w:szCs w:val="14"/>
                <w:color w:val="auto"/>
                <w:w w:val="88"/>
              </w:rPr>
              <w:t>19,416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17,070</w:t>
            </w:r>
          </w:p>
        </w:tc>
        <w:tc>
          <w:tcPr>
            <w:tcW w:w="0" w:type="dxa"/>
            <w:vAlign w:val="bottom"/>
          </w:tcPr>
          <w:p>
            <w:pPr>
              <w:spacing w:after="0"/>
              <w:rPr>
                <w:sz w:val="1"/>
                <w:szCs w:val="1"/>
                <w:color w:val="auto"/>
              </w:rPr>
            </w:pPr>
          </w:p>
        </w:tc>
      </w:tr>
      <w:tr>
        <w:trPr>
          <w:trHeight w:val="174"/>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Write-offs</w:t>
            </w:r>
          </w:p>
        </w:tc>
        <w:tc>
          <w:tcPr>
            <w:tcW w:w="44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4"/>
                <w:szCs w:val="14"/>
                <w:color w:val="auto"/>
                <w:w w:val="91"/>
              </w:rPr>
              <w:t>(18,816)</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163"/>
        </w:trPr>
        <w:tc>
          <w:tcPr>
            <w:tcW w:w="3500" w:type="dxa"/>
            <w:vAlign w:val="bottom"/>
          </w:tcPr>
          <w:p>
            <w:pPr>
              <w:ind w:left="20"/>
              <w:spacing w:after="0" w:line="153" w:lineRule="exact"/>
              <w:rPr>
                <w:sz w:val="20"/>
                <w:szCs w:val="20"/>
                <w:color w:val="auto"/>
              </w:rPr>
            </w:pPr>
            <w:r>
              <w:rPr>
                <w:rFonts w:ascii="Arial" w:cs="Arial" w:eastAsia="Arial" w:hAnsi="Arial"/>
                <w:sz w:val="14"/>
                <w:szCs w:val="14"/>
                <w:color w:val="auto"/>
              </w:rPr>
              <w:t>Balance as of October 31</w:t>
            </w:r>
          </w:p>
        </w:tc>
        <w:tc>
          <w:tcPr>
            <w:tcW w:w="4400" w:type="dxa"/>
            <w:vAlign w:val="bottom"/>
          </w:tcPr>
          <w:p>
            <w:pPr>
              <w:spacing w:after="0"/>
              <w:rPr>
                <w:sz w:val="14"/>
                <w:szCs w:val="14"/>
                <w:color w:val="auto"/>
              </w:rPr>
            </w:pPr>
          </w:p>
        </w:tc>
        <w:tc>
          <w:tcPr>
            <w:tcW w:w="6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center"/>
              <w:ind w:left="472"/>
              <w:spacing w:after="0"/>
              <w:rPr>
                <w:sz w:val="20"/>
                <w:szCs w:val="20"/>
                <w:color w:val="auto"/>
              </w:rPr>
            </w:pPr>
            <w:r>
              <w:rPr>
                <w:rFonts w:ascii="Arial" w:cs="Arial" w:eastAsia="Arial" w:hAnsi="Arial"/>
                <w:sz w:val="14"/>
                <w:szCs w:val="14"/>
                <w:color w:val="auto"/>
                <w:w w:val="88"/>
              </w:rPr>
              <w:t>21,100</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400" w:type="dxa"/>
            <w:vAlign w:val="bottom"/>
            <w:vMerge w:val="restart"/>
          </w:tcPr>
          <w:p>
            <w:pPr>
              <w:jc w:val="right"/>
              <w:ind w:right="2112"/>
              <w:spacing w:after="0"/>
              <w:rPr>
                <w:sz w:val="20"/>
                <w:szCs w:val="20"/>
                <w:color w:val="auto"/>
              </w:rPr>
            </w:pPr>
            <w:r>
              <w:rPr>
                <w:rFonts w:ascii="Arial" w:cs="Arial" w:eastAsia="Arial" w:hAnsi="Arial"/>
                <w:sz w:val="14"/>
                <w:szCs w:val="14"/>
                <w:color w:val="auto"/>
              </w:rPr>
              <w:t>17</w:t>
            </w: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35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500" w:type="dxa"/>
            <w:vAlign w:val="bottom"/>
            <w:tcBorders>
              <w:bottom w:val="single" w:sz="8" w:color="9A9A9A"/>
            </w:tcBorders>
          </w:tcPr>
          <w:p>
            <w:pPr>
              <w:spacing w:after="0"/>
              <w:rPr>
                <w:sz w:val="7"/>
                <w:szCs w:val="7"/>
                <w:color w:val="auto"/>
              </w:rPr>
            </w:pPr>
          </w:p>
        </w:tc>
        <w:tc>
          <w:tcPr>
            <w:tcW w:w="44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-24765</wp:posOffset>
            </wp:positionV>
            <wp:extent cx="3175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-24765</wp:posOffset>
            </wp:positionV>
            <wp:extent cx="3175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Prepaid Expenses and Other Current Assets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Prepaid expenses and other current assets consisted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center"/>
              <w:ind w:left="977"/>
              <w:spacing w:after="0"/>
              <w:rPr>
                <w:sz w:val="20"/>
                <w:szCs w:val="20"/>
                <w:color w:val="auto"/>
              </w:rPr>
            </w:pPr>
            <w:r>
              <w:rPr>
                <w:rFonts w:ascii="Arial" w:cs="Arial" w:eastAsia="Arial" w:hAnsi="Arial"/>
                <w:sz w:val="11"/>
                <w:szCs w:val="11"/>
                <w:b w:val="1"/>
                <w:bCs w:val="1"/>
                <w:color w:val="auto"/>
                <w:w w:val="87"/>
              </w:rPr>
              <w:t>As of</w:t>
            </w: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8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October 31, 2021</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1"/>
                <w:szCs w:val="11"/>
                <w:b w:val="1"/>
                <w:bCs w:val="1"/>
                <w:color w:val="auto"/>
                <w:w w:val="97"/>
              </w:rPr>
              <w:t>January 31, 2021</w:t>
            </w:r>
          </w:p>
        </w:tc>
        <w:tc>
          <w:tcPr>
            <w:tcW w:w="0" w:type="dxa"/>
            <w:vAlign w:val="bottom"/>
          </w:tcPr>
          <w:p>
            <w:pPr>
              <w:spacing w:after="0"/>
              <w:rPr>
                <w:sz w:val="1"/>
                <w:szCs w:val="1"/>
                <w:color w:val="auto"/>
              </w:rPr>
            </w:pPr>
          </w:p>
        </w:tc>
      </w:tr>
      <w:tr>
        <w:trPr>
          <w:trHeight w:val="160"/>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3"/>
          </w:tcPr>
          <w:p>
            <w:pPr>
              <w:jc w:val="center"/>
              <w:ind w:left="997"/>
              <w:spacing w:after="0"/>
              <w:rPr>
                <w:sz w:val="20"/>
                <w:szCs w:val="20"/>
                <w:color w:val="auto"/>
              </w:rPr>
            </w:pPr>
            <w:r>
              <w:rPr>
                <w:rFonts w:ascii="Arial" w:cs="Arial" w:eastAsia="Arial" w:hAnsi="Arial"/>
                <w:sz w:val="11"/>
                <w:szCs w:val="11"/>
                <w:b w:val="1"/>
                <w:bCs w:val="1"/>
                <w:color w:val="auto"/>
                <w:w w:val="87"/>
              </w:rPr>
              <w:t>(in thousands)</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60,702</w:t>
            </w:r>
          </w:p>
        </w:tc>
        <w:tc>
          <w:tcPr>
            <w:tcW w:w="0" w:type="dxa"/>
            <w:vAlign w:val="bottom"/>
          </w:tcPr>
          <w:p>
            <w:pPr>
              <w:spacing w:after="0"/>
              <w:rPr>
                <w:sz w:val="1"/>
                <w:szCs w:val="1"/>
                <w:color w:val="auto"/>
              </w:rPr>
            </w:pPr>
          </w:p>
        </w:tc>
      </w:tr>
      <w:tr>
        <w:trPr>
          <w:trHeight w:val="173"/>
        </w:trPr>
        <w:tc>
          <w:tcPr>
            <w:tcW w:w="7840" w:type="dxa"/>
            <w:vAlign w:val="bottom"/>
          </w:tcPr>
          <w:p>
            <w:pPr>
              <w:ind w:left="20"/>
              <w:spacing w:after="0"/>
              <w:rPr>
                <w:sz w:val="20"/>
                <w:szCs w:val="20"/>
                <w:color w:val="auto"/>
              </w:rPr>
            </w:pPr>
            <w:r>
              <w:rPr>
                <w:rFonts w:ascii="Arial" w:cs="Arial" w:eastAsia="Arial" w:hAnsi="Arial"/>
                <w:sz w:val="14"/>
                <w:szCs w:val="14"/>
                <w:color w:val="auto"/>
              </w:rPr>
              <w:t>Restricted cash from international employee stock sales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20,041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50,475</w:t>
            </w:r>
          </w:p>
        </w:tc>
        <w:tc>
          <w:tcPr>
            <w:tcW w:w="0" w:type="dxa"/>
            <w:vAlign w:val="bottom"/>
          </w:tcPr>
          <w:p>
            <w:pPr>
              <w:spacing w:after="0"/>
              <w:rPr>
                <w:sz w:val="1"/>
                <w:szCs w:val="1"/>
                <w:color w:val="auto"/>
              </w:rPr>
            </w:pPr>
          </w:p>
        </w:tc>
      </w:tr>
      <w:tr>
        <w:trPr>
          <w:trHeight w:val="17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5,642</w:t>
            </w:r>
          </w:p>
        </w:tc>
        <w:tc>
          <w:tcPr>
            <w:tcW w:w="0" w:type="dxa"/>
            <w:vAlign w:val="bottom"/>
          </w:tcPr>
          <w:p>
            <w:pPr>
              <w:spacing w:after="0"/>
              <w:rPr>
                <w:sz w:val="1"/>
                <w:szCs w:val="1"/>
                <w:color w:val="auto"/>
              </w:rPr>
            </w:pPr>
          </w:p>
        </w:tc>
      </w:tr>
      <w:tr>
        <w:trPr>
          <w:trHeight w:val="164"/>
        </w:trPr>
        <w:tc>
          <w:tcPr>
            <w:tcW w:w="784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138,921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116,819</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360"/>
              <w:spacing w:after="0"/>
              <w:rPr>
                <w:sz w:val="20"/>
                <w:szCs w:val="20"/>
                <w:color w:val="auto"/>
              </w:rPr>
            </w:pPr>
            <w:r>
              <w:rPr>
                <w:rFonts w:ascii="Arial" w:cs="Arial" w:eastAsia="Arial" w:hAnsi="Arial"/>
                <w:sz w:val="14"/>
                <w:szCs w:val="14"/>
                <w:b w:val="1"/>
                <w:bCs w:val="1"/>
                <w:i w:val="1"/>
                <w:iCs w:val="1"/>
                <w:color w:val="auto"/>
              </w:rPr>
              <w:t>Property and Equipment, Net</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840" w:type="dxa"/>
            <w:vAlign w:val="bottom"/>
          </w:tcPr>
          <w:p>
            <w:pPr>
              <w:ind w:left="360"/>
              <w:spacing w:after="0"/>
              <w:rPr>
                <w:sz w:val="20"/>
                <w:szCs w:val="20"/>
                <w:color w:val="auto"/>
              </w:rPr>
            </w:pPr>
            <w:r>
              <w:rPr>
                <w:rFonts w:ascii="Arial" w:cs="Arial" w:eastAsia="Arial" w:hAnsi="Arial"/>
                <w:sz w:val="14"/>
                <w:szCs w:val="14"/>
                <w:color w:val="auto"/>
              </w:rPr>
              <w:t>Property and equipment consisted of the following:</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977"/>
              <w:spacing w:after="0"/>
              <w:rPr>
                <w:sz w:val="20"/>
                <w:szCs w:val="20"/>
                <w:color w:val="auto"/>
              </w:rPr>
            </w:pPr>
            <w:r>
              <w:rPr>
                <w:rFonts w:ascii="Arial" w:cs="Arial" w:eastAsia="Arial" w:hAnsi="Arial"/>
                <w:sz w:val="11"/>
                <w:szCs w:val="11"/>
                <w:b w:val="1"/>
                <w:bCs w:val="1"/>
                <w:color w:val="auto"/>
                <w:w w:val="87"/>
              </w:rPr>
              <w:t>As of</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78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October 31, 2021</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1"/>
                <w:szCs w:val="11"/>
                <w:b w:val="1"/>
                <w:bCs w:val="1"/>
                <w:color w:val="auto"/>
                <w:w w:val="97"/>
              </w:rPr>
              <w:t>January 31, 2021</w:t>
            </w:r>
          </w:p>
        </w:tc>
        <w:tc>
          <w:tcPr>
            <w:tcW w:w="0" w:type="dxa"/>
            <w:vAlign w:val="bottom"/>
          </w:tcPr>
          <w:p>
            <w:pPr>
              <w:spacing w:after="0"/>
              <w:rPr>
                <w:sz w:val="1"/>
                <w:szCs w:val="1"/>
                <w:color w:val="auto"/>
              </w:rPr>
            </w:pPr>
          </w:p>
        </w:tc>
      </w:tr>
      <w:tr>
        <w:trPr>
          <w:trHeight w:val="160"/>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3"/>
          </w:tcPr>
          <w:p>
            <w:pPr>
              <w:jc w:val="center"/>
              <w:ind w:left="997"/>
              <w:spacing w:after="0"/>
              <w:rPr>
                <w:sz w:val="20"/>
                <w:szCs w:val="20"/>
                <w:color w:val="auto"/>
              </w:rPr>
            </w:pPr>
            <w:r>
              <w:rPr>
                <w:rFonts w:ascii="Arial" w:cs="Arial" w:eastAsia="Arial" w:hAnsi="Arial"/>
                <w:sz w:val="11"/>
                <w:szCs w:val="11"/>
                <w:b w:val="1"/>
                <w:bCs w:val="1"/>
                <w:color w:val="auto"/>
                <w:w w:val="87"/>
              </w:rPr>
              <w:t>(in thousands)</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and office equipment</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137,445</w:t>
            </w:r>
          </w:p>
        </w:tc>
        <w:tc>
          <w:tcPr>
            <w:tcW w:w="0" w:type="dxa"/>
            <w:vAlign w:val="bottom"/>
          </w:tcPr>
          <w:p>
            <w:pPr>
              <w:spacing w:after="0"/>
              <w:rPr>
                <w:sz w:val="1"/>
                <w:szCs w:val="1"/>
                <w:color w:val="auto"/>
              </w:rPr>
            </w:pPr>
          </w:p>
        </w:tc>
      </w:tr>
      <w:tr>
        <w:trPr>
          <w:trHeight w:val="173"/>
        </w:trPr>
        <w:tc>
          <w:tcPr>
            <w:tcW w:w="7840" w:type="dxa"/>
            <w:vAlign w:val="bottom"/>
          </w:tcPr>
          <w:p>
            <w:pPr>
              <w:ind w:left="20"/>
              <w:spacing w:after="0"/>
              <w:rPr>
                <w:sz w:val="20"/>
                <w:szCs w:val="20"/>
                <w:color w:val="auto"/>
              </w:rPr>
            </w:pPr>
            <w:r>
              <w:rPr>
                <w:rFonts w:ascii="Arial" w:cs="Arial" w:eastAsia="Arial" w:hAnsi="Arial"/>
                <w:sz w:val="14"/>
                <w:szCs w:val="14"/>
                <w:color w:val="auto"/>
              </w:rPr>
              <w:t>Software</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54,146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36,216</w:t>
            </w:r>
          </w:p>
        </w:tc>
        <w:tc>
          <w:tcPr>
            <w:tcW w:w="0" w:type="dxa"/>
            <w:vAlign w:val="bottom"/>
          </w:tcPr>
          <w:p>
            <w:pPr>
              <w:spacing w:after="0"/>
              <w:rPr>
                <w:sz w:val="1"/>
                <w:szCs w:val="1"/>
                <w:color w:val="auto"/>
              </w:rPr>
            </w:pPr>
          </w:p>
        </w:tc>
      </w:tr>
      <w:tr>
        <w:trPr>
          <w:trHeight w:val="174"/>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23,593</w:t>
            </w:r>
          </w:p>
        </w:tc>
        <w:tc>
          <w:tcPr>
            <w:tcW w:w="0" w:type="dxa"/>
            <w:vAlign w:val="bottom"/>
          </w:tcPr>
          <w:p>
            <w:pPr>
              <w:spacing w:after="0"/>
              <w:rPr>
                <w:sz w:val="1"/>
                <w:szCs w:val="1"/>
                <w:color w:val="auto"/>
              </w:rPr>
            </w:pPr>
          </w:p>
        </w:tc>
      </w:tr>
      <w:tr>
        <w:trPr>
          <w:trHeight w:val="17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w:t>
            </w:r>
          </w:p>
        </w:tc>
        <w:tc>
          <w:tcPr>
            <w:tcW w:w="0" w:type="dxa"/>
            <w:vAlign w:val="bottom"/>
          </w:tcPr>
          <w:p>
            <w:pPr>
              <w:spacing w:after="0"/>
              <w:rPr>
                <w:sz w:val="1"/>
                <w:szCs w:val="1"/>
                <w:color w:val="auto"/>
              </w:rPr>
            </w:pPr>
          </w:p>
        </w:tc>
      </w:tr>
      <w:tr>
        <w:trPr>
          <w:trHeight w:val="164"/>
        </w:trPr>
        <w:tc>
          <w:tcPr>
            <w:tcW w:w="7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Property and equipment, gross</w:t>
            </w: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292,016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201,879</w:t>
            </w:r>
          </w:p>
        </w:tc>
        <w:tc>
          <w:tcPr>
            <w:tcW w:w="0" w:type="dxa"/>
            <w:vAlign w:val="bottom"/>
          </w:tcPr>
          <w:p>
            <w:pPr>
              <w:spacing w:after="0"/>
              <w:rPr>
                <w:sz w:val="1"/>
                <w:szCs w:val="1"/>
                <w:color w:val="auto"/>
              </w:rPr>
            </w:pPr>
          </w:p>
        </w:tc>
      </w:tr>
      <w:tr>
        <w:trPr>
          <w:trHeight w:val="17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(79,361)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(51,955)</w:t>
            </w:r>
          </w:p>
        </w:tc>
        <w:tc>
          <w:tcPr>
            <w:tcW w:w="0" w:type="dxa"/>
            <w:vAlign w:val="bottom"/>
          </w:tcPr>
          <w:p>
            <w:pPr>
              <w:spacing w:after="0"/>
              <w:rPr>
                <w:sz w:val="1"/>
                <w:szCs w:val="1"/>
                <w:color w:val="auto"/>
              </w:rPr>
            </w:pPr>
          </w:p>
        </w:tc>
      </w:tr>
      <w:tr>
        <w:trPr>
          <w:trHeight w:val="189"/>
        </w:trPr>
        <w:tc>
          <w:tcPr>
            <w:tcW w:w="7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Property and equipment, net</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212,655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149,924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Depreciation and amortization expense was $12.4 million and $7.4 million for the three months ended October 31, 2021 and 2020, respectively, and $34.7 million and $19.1 million for the nine months ended October 31, 2021 and 2020, respectively.</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Other Assets, Noncurrent</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assets, noncurrent consisted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6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1"/>
                <w:szCs w:val="11"/>
                <w:b w:val="1"/>
                <w:bCs w:val="1"/>
                <w:color w:val="auto"/>
              </w:rPr>
              <w:t>As of</w:t>
            </w:r>
          </w:p>
        </w:tc>
        <w:tc>
          <w:tcPr>
            <w:tcW w:w="13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6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 2021</w:t>
            </w: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55"/>
              <w:spacing w:after="0"/>
              <w:rPr>
                <w:sz w:val="20"/>
                <w:szCs w:val="20"/>
                <w:color w:val="auto"/>
              </w:rPr>
            </w:pPr>
            <w:r>
              <w:rPr>
                <w:rFonts w:ascii="Arial" w:cs="Arial" w:eastAsia="Arial" w:hAnsi="Arial"/>
                <w:sz w:val="11"/>
                <w:szCs w:val="11"/>
                <w:b w:val="1"/>
                <w:bCs w:val="1"/>
                <w:color w:val="auto"/>
                <w:w w:val="97"/>
              </w:rPr>
              <w:t>January 31, 2021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noncurrent</w:t>
            </w:r>
          </w:p>
        </w:tc>
        <w:tc>
          <w:tcPr>
            <w:tcW w:w="5400" w:type="dxa"/>
            <w:vAlign w:val="bottom"/>
            <w:gridSpan w:val="2"/>
            <w:shd w:val="clear" w:color="auto" w:fill="CCEEFF"/>
          </w:tcPr>
          <w:p>
            <w:pPr>
              <w:jc w:val="right"/>
              <w:ind w:right="109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36,915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80" w:type="dxa"/>
            <w:vAlign w:val="bottom"/>
          </w:tcPr>
          <w:p>
            <w:pPr>
              <w:ind w:left="20"/>
              <w:spacing w:after="0"/>
              <w:rPr>
                <w:sz w:val="20"/>
                <w:szCs w:val="20"/>
                <w:color w:val="auto"/>
              </w:rPr>
            </w:pPr>
            <w:r>
              <w:rPr>
                <w:rFonts w:ascii="Arial" w:cs="Arial" w:eastAsia="Arial" w:hAnsi="Arial"/>
                <w:sz w:val="14"/>
                <w:szCs w:val="14"/>
                <w:color w:val="auto"/>
              </w:rPr>
              <w:t>Prepaid expenses, noncurrent</w:t>
            </w:r>
          </w:p>
        </w:tc>
        <w:tc>
          <w:tcPr>
            <w:tcW w:w="4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79"/>
              </w:rPr>
              <w:t>18,167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12,386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416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28,645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680" w:type="dxa"/>
            <w:vAlign w:val="bottom"/>
          </w:tcPr>
          <w:p>
            <w:pPr>
              <w:ind w:left="260"/>
              <w:spacing w:after="0"/>
              <w:rPr>
                <w:sz w:val="20"/>
                <w:szCs w:val="20"/>
                <w:color w:val="auto"/>
              </w:rPr>
            </w:pPr>
            <w:r>
              <w:rPr>
                <w:rFonts w:ascii="Arial" w:cs="Arial" w:eastAsia="Arial" w:hAnsi="Arial"/>
                <w:sz w:val="14"/>
                <w:szCs w:val="14"/>
                <w:color w:val="auto"/>
              </w:rPr>
              <w:t>Other assets, noncurrent</w:t>
            </w:r>
          </w:p>
        </w:tc>
        <w:tc>
          <w:tcPr>
            <w:tcW w:w="4160" w:type="dxa"/>
            <w:vAlign w:val="bottom"/>
          </w:tcPr>
          <w:p>
            <w:pPr>
              <w:spacing w:after="0"/>
              <w:rPr>
                <w:sz w:val="14"/>
                <w:szCs w:val="14"/>
                <w:color w:val="auto"/>
              </w:rPr>
            </w:pPr>
          </w:p>
        </w:tc>
        <w:tc>
          <w:tcPr>
            <w:tcW w:w="1240" w:type="dxa"/>
            <w:vAlign w:val="bottom"/>
            <w:tcBorders>
              <w:bottom w:val="single" w:sz="8" w:color="auto"/>
            </w:tcBorders>
          </w:tcPr>
          <w:p>
            <w:pPr>
              <w:jc w:val="right"/>
              <w:ind w:right="109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83,727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160" w:type="dxa"/>
            <w:vAlign w:val="bottom"/>
            <w:vMerge w:val="restart"/>
          </w:tcPr>
          <w:p>
            <w:pPr>
              <w:jc w:val="right"/>
              <w:ind w:right="2052"/>
              <w:spacing w:after="0"/>
              <w:rPr>
                <w:sz w:val="20"/>
                <w:szCs w:val="20"/>
                <w:color w:val="auto"/>
              </w:rPr>
            </w:pPr>
            <w:r>
              <w:rPr>
                <w:rFonts w:ascii="Arial" w:cs="Arial" w:eastAsia="Arial" w:hAnsi="Arial"/>
                <w:sz w:val="14"/>
                <w:szCs w:val="14"/>
                <w:color w:val="auto"/>
              </w:rPr>
              <w:t>18</w:t>
            </w: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368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68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-24765</wp:posOffset>
            </wp:positionV>
            <wp:extent cx="3175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-24765</wp:posOffset>
            </wp:positionV>
            <wp:extent cx="3175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Accrued Expenses and Other Current Liabilities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Accrued expenses and other current liabilities consisted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center"/>
              <w:ind w:left="977"/>
              <w:spacing w:after="0"/>
              <w:rPr>
                <w:sz w:val="20"/>
                <w:szCs w:val="20"/>
                <w:color w:val="auto"/>
              </w:rPr>
            </w:pPr>
            <w:r>
              <w:rPr>
                <w:rFonts w:ascii="Arial" w:cs="Arial" w:eastAsia="Arial" w:hAnsi="Arial"/>
                <w:sz w:val="11"/>
                <w:szCs w:val="11"/>
                <w:b w:val="1"/>
                <w:bCs w:val="1"/>
                <w:color w:val="auto"/>
                <w:w w:val="87"/>
              </w:rPr>
              <w:t>As of</w:t>
            </w: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8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October 31, 2021</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1"/>
                <w:szCs w:val="11"/>
                <w:b w:val="1"/>
                <w:bCs w:val="1"/>
                <w:color w:val="auto"/>
                <w:w w:val="97"/>
              </w:rPr>
              <w:t>January 31, 2021</w:t>
            </w:r>
          </w:p>
        </w:tc>
        <w:tc>
          <w:tcPr>
            <w:tcW w:w="0" w:type="dxa"/>
            <w:vAlign w:val="bottom"/>
          </w:tcPr>
          <w:p>
            <w:pPr>
              <w:spacing w:after="0"/>
              <w:rPr>
                <w:sz w:val="1"/>
                <w:szCs w:val="1"/>
                <w:color w:val="auto"/>
              </w:rPr>
            </w:pPr>
          </w:p>
        </w:tc>
      </w:tr>
      <w:tr>
        <w:trPr>
          <w:trHeight w:val="160"/>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3"/>
          </w:tcPr>
          <w:p>
            <w:pPr>
              <w:jc w:val="center"/>
              <w:ind w:left="997"/>
              <w:spacing w:after="0"/>
              <w:rPr>
                <w:sz w:val="20"/>
                <w:szCs w:val="20"/>
                <w:color w:val="auto"/>
              </w:rPr>
            </w:pPr>
            <w:r>
              <w:rPr>
                <w:rFonts w:ascii="Arial" w:cs="Arial" w:eastAsia="Arial" w:hAnsi="Arial"/>
                <w:sz w:val="11"/>
                <w:szCs w:val="11"/>
                <w:b w:val="1"/>
                <w:bCs w:val="1"/>
                <w:color w:val="auto"/>
                <w:w w:val="87"/>
              </w:rPr>
              <w:t>(in thousands)</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157,167</w:t>
            </w:r>
          </w:p>
        </w:tc>
        <w:tc>
          <w:tcPr>
            <w:tcW w:w="0" w:type="dxa"/>
            <w:vAlign w:val="bottom"/>
          </w:tcPr>
          <w:p>
            <w:pPr>
              <w:spacing w:after="0"/>
              <w:rPr>
                <w:sz w:val="1"/>
                <w:szCs w:val="1"/>
                <w:color w:val="auto"/>
              </w:rPr>
            </w:pPr>
          </w:p>
        </w:tc>
      </w:tr>
      <w:tr>
        <w:trPr>
          <w:trHeight w:val="173"/>
        </w:trPr>
        <w:tc>
          <w:tcPr>
            <w:tcW w:w="7840" w:type="dxa"/>
            <w:vAlign w:val="bottom"/>
          </w:tcPr>
          <w:p>
            <w:pPr>
              <w:ind w:left="20"/>
              <w:spacing w:after="0"/>
              <w:rPr>
                <w:sz w:val="20"/>
                <w:szCs w:val="20"/>
                <w:color w:val="auto"/>
              </w:rPr>
            </w:pPr>
            <w:r>
              <w:rPr>
                <w:rFonts w:ascii="Arial" w:cs="Arial" w:eastAsia="Arial" w:hAnsi="Arial"/>
                <w:sz w:val="14"/>
                <w:szCs w:val="14"/>
                <w:color w:val="auto"/>
              </w:rPr>
              <w:t>Accrued compensation and benefits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141,584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118,640</w:t>
            </w:r>
          </w:p>
        </w:tc>
        <w:tc>
          <w:tcPr>
            <w:tcW w:w="0" w:type="dxa"/>
            <w:vAlign w:val="bottom"/>
          </w:tcPr>
          <w:p>
            <w:pPr>
              <w:spacing w:after="0"/>
              <w:rPr>
                <w:sz w:val="1"/>
                <w:szCs w:val="1"/>
                <w:color w:val="auto"/>
              </w:rPr>
            </w:pPr>
          </w:p>
        </w:tc>
      </w:tr>
      <w:tr>
        <w:trPr>
          <w:trHeight w:val="174"/>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payable</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3,426</w:t>
            </w:r>
          </w:p>
        </w:tc>
        <w:tc>
          <w:tcPr>
            <w:tcW w:w="0" w:type="dxa"/>
            <w:vAlign w:val="bottom"/>
          </w:tcPr>
          <w:p>
            <w:pPr>
              <w:spacing w:after="0"/>
              <w:rPr>
                <w:sz w:val="1"/>
                <w:szCs w:val="1"/>
                <w:color w:val="auto"/>
              </w:rPr>
            </w:pPr>
          </w:p>
        </w:tc>
      </w:tr>
      <w:tr>
        <w:trPr>
          <w:trHeight w:val="173"/>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employee equity transactions to be remitted to employees and tax authorities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25,832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54,174</w:t>
            </w:r>
          </w:p>
        </w:tc>
        <w:tc>
          <w:tcPr>
            <w:tcW w:w="0" w:type="dxa"/>
            <w:vAlign w:val="bottom"/>
          </w:tcPr>
          <w:p>
            <w:pPr>
              <w:spacing w:after="0"/>
              <w:rPr>
                <w:sz w:val="1"/>
                <w:szCs w:val="1"/>
                <w:color w:val="auto"/>
              </w:rPr>
            </w:pPr>
          </w:p>
        </w:tc>
      </w:tr>
      <w:tr>
        <w:trPr>
          <w:trHeight w:val="174"/>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other tax liabilities</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27,453</w:t>
            </w:r>
          </w:p>
        </w:tc>
        <w:tc>
          <w:tcPr>
            <w:tcW w:w="0" w:type="dxa"/>
            <w:vAlign w:val="bottom"/>
          </w:tcPr>
          <w:p>
            <w:pPr>
              <w:spacing w:after="0"/>
              <w:rPr>
                <w:sz w:val="1"/>
                <w:szCs w:val="1"/>
                <w:color w:val="auto"/>
              </w:rPr>
            </w:pPr>
          </w:p>
        </w:tc>
      </w:tr>
      <w:tr>
        <w:trPr>
          <w:trHeight w:val="173"/>
        </w:trPr>
        <w:tc>
          <w:tcPr>
            <w:tcW w:w="7840" w:type="dxa"/>
            <w:vAlign w:val="bottom"/>
          </w:tcPr>
          <w:p>
            <w:pPr>
              <w:ind w:left="20"/>
              <w:spacing w:after="0"/>
              <w:rPr>
                <w:sz w:val="20"/>
                <w:szCs w:val="20"/>
                <w:color w:val="auto"/>
              </w:rPr>
            </w:pPr>
            <w:r>
              <w:rPr>
                <w:rFonts w:ascii="Arial" w:cs="Arial" w:eastAsia="Arial" w:hAnsi="Arial"/>
                <w:sz w:val="14"/>
                <w:szCs w:val="14"/>
                <w:color w:val="auto"/>
              </w:rPr>
              <w:t>Operating lease liabilities, current</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18,074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15,601</w:t>
            </w:r>
          </w:p>
        </w:tc>
        <w:tc>
          <w:tcPr>
            <w:tcW w:w="0" w:type="dxa"/>
            <w:vAlign w:val="bottom"/>
          </w:tcPr>
          <w:p>
            <w:pPr>
              <w:spacing w:after="0"/>
              <w:rPr>
                <w:sz w:val="1"/>
                <w:szCs w:val="1"/>
                <w:color w:val="auto"/>
              </w:rPr>
            </w:pPr>
          </w:p>
        </w:tc>
      </w:tr>
      <w:tr>
        <w:trPr>
          <w:trHeight w:val="17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22,607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16,557</w:t>
            </w:r>
          </w:p>
        </w:tc>
        <w:tc>
          <w:tcPr>
            <w:tcW w:w="0" w:type="dxa"/>
            <w:vAlign w:val="bottom"/>
          </w:tcPr>
          <w:p>
            <w:pPr>
              <w:spacing w:after="0"/>
              <w:rPr>
                <w:sz w:val="1"/>
                <w:szCs w:val="1"/>
                <w:color w:val="auto"/>
              </w:rPr>
            </w:pPr>
          </w:p>
        </w:tc>
      </w:tr>
      <w:tr>
        <w:trPr>
          <w:trHeight w:val="164"/>
        </w:trPr>
        <w:tc>
          <w:tcPr>
            <w:tcW w:w="784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509,874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393,018</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360"/>
              <w:spacing w:after="0"/>
              <w:rPr>
                <w:sz w:val="20"/>
                <w:szCs w:val="20"/>
                <w:color w:val="auto"/>
              </w:rPr>
            </w:pPr>
            <w:r>
              <w:rPr>
                <w:rFonts w:ascii="Arial" w:cs="Arial" w:eastAsia="Arial" w:hAnsi="Arial"/>
                <w:sz w:val="14"/>
                <w:szCs w:val="14"/>
                <w:b w:val="1"/>
                <w:bCs w:val="1"/>
                <w:i w:val="1"/>
                <w:iCs w:val="1"/>
                <w:color w:val="auto"/>
              </w:rPr>
              <w:t>Other Liabilities, Noncurrent</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840" w:type="dxa"/>
            <w:vAlign w:val="bottom"/>
          </w:tcPr>
          <w:p>
            <w:pPr>
              <w:ind w:left="360"/>
              <w:spacing w:after="0"/>
              <w:rPr>
                <w:sz w:val="20"/>
                <w:szCs w:val="20"/>
                <w:color w:val="auto"/>
              </w:rPr>
            </w:pPr>
            <w:r>
              <w:rPr>
                <w:rFonts w:ascii="Arial" w:cs="Arial" w:eastAsia="Arial" w:hAnsi="Arial"/>
                <w:sz w:val="14"/>
                <w:szCs w:val="14"/>
                <w:color w:val="auto"/>
              </w:rPr>
              <w:t>Other liabilities, noncurrent consisted of the following:</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977"/>
              <w:spacing w:after="0"/>
              <w:rPr>
                <w:sz w:val="20"/>
                <w:szCs w:val="20"/>
                <w:color w:val="auto"/>
              </w:rPr>
            </w:pPr>
            <w:r>
              <w:rPr>
                <w:rFonts w:ascii="Arial" w:cs="Arial" w:eastAsia="Arial" w:hAnsi="Arial"/>
                <w:sz w:val="11"/>
                <w:szCs w:val="11"/>
                <w:b w:val="1"/>
                <w:bCs w:val="1"/>
                <w:color w:val="auto"/>
                <w:w w:val="87"/>
              </w:rPr>
              <w:t>As of</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78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October 31, 2021</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1"/>
                <w:szCs w:val="11"/>
                <w:b w:val="1"/>
                <w:bCs w:val="1"/>
                <w:color w:val="auto"/>
                <w:w w:val="97"/>
              </w:rPr>
              <w:t>January 31, 2021</w:t>
            </w:r>
          </w:p>
        </w:tc>
        <w:tc>
          <w:tcPr>
            <w:tcW w:w="0" w:type="dxa"/>
            <w:vAlign w:val="bottom"/>
          </w:tcPr>
          <w:p>
            <w:pPr>
              <w:spacing w:after="0"/>
              <w:rPr>
                <w:sz w:val="1"/>
                <w:szCs w:val="1"/>
                <w:color w:val="auto"/>
              </w:rPr>
            </w:pPr>
          </w:p>
        </w:tc>
      </w:tr>
      <w:tr>
        <w:trPr>
          <w:trHeight w:val="160"/>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3"/>
          </w:tcPr>
          <w:p>
            <w:pPr>
              <w:jc w:val="center"/>
              <w:ind w:left="997"/>
              <w:spacing w:after="0"/>
              <w:rPr>
                <w:sz w:val="20"/>
                <w:szCs w:val="20"/>
                <w:color w:val="auto"/>
              </w:rPr>
            </w:pPr>
            <w:r>
              <w:rPr>
                <w:rFonts w:ascii="Arial" w:cs="Arial" w:eastAsia="Arial" w:hAnsi="Arial"/>
                <w:sz w:val="11"/>
                <w:szCs w:val="11"/>
                <w:b w:val="1"/>
                <w:bCs w:val="1"/>
                <w:color w:val="auto"/>
                <w:w w:val="87"/>
              </w:rPr>
              <w:t>(in thousands)</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other tax liabilities</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58,133</w:t>
            </w:r>
          </w:p>
        </w:tc>
        <w:tc>
          <w:tcPr>
            <w:tcW w:w="0" w:type="dxa"/>
            <w:vAlign w:val="bottom"/>
          </w:tcPr>
          <w:p>
            <w:pPr>
              <w:spacing w:after="0"/>
              <w:rPr>
                <w:sz w:val="1"/>
                <w:szCs w:val="1"/>
                <w:color w:val="auto"/>
              </w:rPr>
            </w:pPr>
          </w:p>
        </w:tc>
      </w:tr>
      <w:tr>
        <w:trPr>
          <w:trHeight w:val="17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89"/>
        </w:trPr>
        <w:tc>
          <w:tcPr>
            <w:tcW w:w="7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Other liabilities, noncurrent</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69,910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2"/>
          <w:szCs w:val="12"/>
          <w:b w:val="1"/>
          <w:bCs w:val="1"/>
          <w:color w:val="auto"/>
        </w:rPr>
        <w:t>Commitments and Contingencies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Non-cancelable Purchase Obligations</w:t>
      </w:r>
    </w:p>
    <w:p>
      <w:pPr>
        <w:spacing w:after="0" w:line="84"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During the nine months ended October 31, 2021, there have been no material changes to our non-cancelable purchase obligations from those disclosed in Note 8. “Commitments and Contingencies” in the notes to consolidated financial statements included in our Annual Report on Form 10-K for the year ended January 31, 2021, filed with the SEC on March 18, 2021.</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Other Contingencies</w:t>
      </w:r>
    </w:p>
    <w:p>
      <w:pPr>
        <w:spacing w:after="0" w:line="84"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2"/>
          <w:szCs w:val="12"/>
          <w:color w:val="auto"/>
        </w:rPr>
        <w:t>In June 2020, we received a grand jury subpoena from the Department of Justice’s U.S. Attorney’s Office for the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material fines, penalties, or other financial exposure.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84" w:lineRule="exact"/>
        <w:rPr>
          <w:sz w:val="20"/>
          <w:szCs w:val="20"/>
          <w:color w:val="auto"/>
        </w:rPr>
      </w:pPr>
    </w:p>
    <w:p>
      <w:pPr>
        <w:jc w:val="both"/>
        <w:ind w:firstLine="367"/>
        <w:spacing w:after="0" w:line="246" w:lineRule="auto"/>
        <w:rPr>
          <w:sz w:val="20"/>
          <w:szCs w:val="20"/>
          <w:color w:val="auto"/>
        </w:rPr>
      </w:pPr>
      <w:r>
        <w:rPr>
          <w:rFonts w:ascii="Arial" w:cs="Arial" w:eastAsia="Arial" w:hAnsi="Arial"/>
          <w:sz w:val="14"/>
          <w:szCs w:val="14"/>
          <w:color w:val="auto"/>
        </w:rPr>
        <w:t>On April 7, 2020 and April 8, 2020, securities class action complaints were filed against us and two of our officers in the United States District Court for the NDCA. The plaintiffs are purported stockholders of the Company.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August 23, 2021, the judge took the motion under submission without oral argument.</w:t>
      </w:r>
    </w:p>
    <w:p>
      <w:pPr>
        <w:spacing w:after="0" w:line="71"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The consolidated case is stayed pending resolution of a forthcoming motion to dismiss the securities class action. On October 27, 2021, a third substantially identical lawsuit was filed in the same court against the same defendants, seeking unspecified monetary damages and governance reforms. The parties in all three derivative lawsuits have agreed to consolidate the cases and stay the consolidated lawsuit pending resolution of a forthcoming motion to dismiss the securities class action.</w:t>
      </w:r>
    </w:p>
    <w:p>
      <w:pPr>
        <w:spacing w:after="0" w:line="41"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11" w:lineRule="exact"/>
        <w:rPr>
          <w:sz w:val="20"/>
          <w:szCs w:val="20"/>
          <w:color w:val="auto"/>
        </w:rPr>
      </w:pPr>
    </w:p>
    <w:p>
      <w:pPr>
        <w:jc w:val="both"/>
        <w:ind w:firstLine="367"/>
        <w:spacing w:after="0" w:line="290" w:lineRule="auto"/>
        <w:rPr>
          <w:sz w:val="20"/>
          <w:szCs w:val="20"/>
          <w:color w:val="auto"/>
        </w:rPr>
      </w:pPr>
      <w:r>
        <w:rPr>
          <w:rFonts w:ascii="Arial" w:cs="Arial" w:eastAsia="Arial" w:hAnsi="Arial"/>
          <w:sz w:val="12"/>
          <w:szCs w:val="12"/>
          <w:color w:val="auto"/>
        </w:rPr>
        <w:t>Beginning on March 30, 2020, multiple putative class actions have been filed against us in various U.S. federal district courts and state courts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On October 21, 2021, the court preliminarily approved the settlement. Under the terms of the settlement, we have paid $85.0 million into an escrow account that will be used to pay claims filed by settlement class members, attorneys’ fees and expenses, administrative costs, and service payments to plaintiffs. The Court has scheduled a final approval hearing to take place on April 7, 2022. We recorded an aggregate legal settlement charge of $66.9 million net of amounts estimated to be covered by insurance as a general and administrative expense in our condensed consolidated statement of operations for the nine months ended October 31, 2021.</w:t>
      </w:r>
    </w:p>
    <w:p>
      <w:pPr>
        <w:spacing w:after="0" w:line="47" w:lineRule="exact"/>
        <w:rPr>
          <w:sz w:val="20"/>
          <w:szCs w:val="20"/>
          <w:color w:val="auto"/>
        </w:rPr>
      </w:pPr>
    </w:p>
    <w:p>
      <w:pPr>
        <w:jc w:val="both"/>
        <w:ind w:firstLine="367"/>
        <w:spacing w:after="0" w:line="293" w:lineRule="auto"/>
        <w:rPr>
          <w:sz w:val="20"/>
          <w:szCs w:val="20"/>
          <w:color w:val="auto"/>
        </w:rPr>
      </w:pPr>
      <w:r>
        <w:rPr>
          <w:rFonts w:ascii="Arial" w:cs="Arial" w:eastAsia="Arial" w:hAnsi="Arial"/>
          <w:sz w:val="12"/>
          <w:szCs w:val="12"/>
          <w:color w:val="auto"/>
        </w:rPr>
        <w:t>In September 2019, the Federal Trade Commission (“FTC”) issued a Civil Investigative Demand to us requiring us to produce certain documents and materials and to answer certain interrogatories relating to our privacy and security representations and practices. Since then, we have fully cooperated with the investigation. In October 2020, we reached a proposed settlement agreement with the FTC staff to resolve the FTC’s allegations that certain of our statements and practices about our security constituted deceptive and unfair acts or practices in violation of the FTC Act. On November 10, 2020, the FTC Commissioners voted to approve the settlement and, on November 13, 2020, the FTC published the settlement in the Federal Register for a 30-day public comment period, which ended on December 13, 2020. On January 19, 2021, the FTC voted to finalize the settlement. Under the terms of the settlement, we neither admit nor deny the FTC’s allegations, and the FTC does not impose any fine or penalty upon us. We are required to implement certain injunctive provisions, including, among other things, refraining from making any misrepresentations regarding the privacy and security of our services or how we collect, maintain, use, delete, disclose, allow access to, and protect user information. It also requires us to implement a detailed information security program and obtain third-party security assessments periodically.</w:t>
      </w:r>
    </w:p>
    <w:p>
      <w:pPr>
        <w:spacing w:after="0" w:line="208"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We do not expect the settlement to have a material impact on our financial results. We will cooperate with the FTC’s requirements and work to ensure compliance. Any failure to comply with the settlement may increase the possibility of additional adverse consequences, including litigation, additional regulatory actions, injunctions, or monetary penalties, 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auto"/>
        </w:rPr>
        <w:t>require further changes to our business practices, significant management time, or the diversion of significant operational resources, all of which could result in a material loss or otherwise harm our business.</w:t>
      </w:r>
    </w:p>
    <w:p>
      <w:pPr>
        <w:spacing w:after="0" w:line="107"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46"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2"/>
          <w:szCs w:val="12"/>
          <w:b w:val="1"/>
          <w:bCs w:val="1"/>
          <w:color w:val="auto"/>
        </w:rPr>
        <w:t>Stockholders’ Equity and Equity Incentive Plans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Common Stock</w:t>
      </w:r>
    </w:p>
    <w:p>
      <w:pPr>
        <w:spacing w:after="0" w:line="8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In connection with our initial public offering (“IPO”) in April 2019, our amended and restated certificate of incorporation became effective, which authorized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Equity Incentive Plans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We have two equity incentive plans: the 2011 Global Share Plan (“2011 Plan”) and the 2019 Equity Incentive Plan (“2019 Plan”). All shares that remain available for future grants are under the 2019</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Plan.</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Stock Options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summary of stock option activity under our equity incentive plan and related information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24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center"/>
              <w:ind w:right="766"/>
              <w:spacing w:after="0"/>
              <w:rPr>
                <w:sz w:val="20"/>
                <w:szCs w:val="20"/>
                <w:color w:val="auto"/>
              </w:rPr>
            </w:pPr>
            <w:r>
              <w:rPr>
                <w:rFonts w:ascii="Arial" w:cs="Arial" w:eastAsia="Arial" w:hAnsi="Arial"/>
                <w:sz w:val="11"/>
                <w:szCs w:val="11"/>
                <w:b w:val="1"/>
                <w:bCs w:val="1"/>
                <w:color w:val="auto"/>
                <w:w w:val="88"/>
              </w:rPr>
              <w:t>Stock Options</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restart"/>
          </w:tcPr>
          <w:p>
            <w:pPr>
              <w:jc w:val="center"/>
              <w:ind w:left="326"/>
              <w:spacing w:after="0"/>
              <w:rPr>
                <w:sz w:val="20"/>
                <w:szCs w:val="20"/>
                <w:color w:val="auto"/>
              </w:rPr>
            </w:pPr>
            <w:r>
              <w:rPr>
                <w:rFonts w:ascii="Arial" w:cs="Arial" w:eastAsia="Arial" w:hAnsi="Arial"/>
                <w:sz w:val="11"/>
                <w:szCs w:val="11"/>
                <w:b w:val="1"/>
                <w:bCs w:val="1"/>
                <w:color w:val="auto"/>
                <w:w w:val="90"/>
              </w:rPr>
              <w:t>Weighted-</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ind w:left="186"/>
              <w:spacing w:after="0" w:line="97" w:lineRule="exact"/>
              <w:rPr>
                <w:sz w:val="20"/>
                <w:szCs w:val="20"/>
                <w:color w:val="auto"/>
              </w:rPr>
            </w:pPr>
            <w:r>
              <w:rPr>
                <w:rFonts w:ascii="Arial" w:cs="Arial" w:eastAsia="Arial" w:hAnsi="Arial"/>
                <w:sz w:val="11"/>
                <w:szCs w:val="11"/>
                <w:b w:val="1"/>
                <w:bCs w:val="1"/>
                <w:color w:val="auto"/>
                <w:w w:val="90"/>
              </w:rPr>
              <w:t>Weighted-</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Outstanding</w:t>
            </w:r>
          </w:p>
        </w:tc>
        <w:tc>
          <w:tcPr>
            <w:tcW w:w="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ind w:left="166"/>
              <w:spacing w:after="0" w:line="102" w:lineRule="exact"/>
              <w:rPr>
                <w:sz w:val="20"/>
                <w:szCs w:val="20"/>
                <w:color w:val="auto"/>
              </w:rPr>
            </w:pPr>
            <w:r>
              <w:rPr>
                <w:rFonts w:ascii="Arial" w:cs="Arial" w:eastAsia="Arial" w:hAnsi="Arial"/>
                <w:sz w:val="11"/>
                <w:szCs w:val="11"/>
                <w:b w:val="1"/>
                <w:bCs w:val="1"/>
                <w:color w:val="auto"/>
                <w:w w:val="87"/>
              </w:rPr>
              <w:t>Average</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vMerge w:val="restart"/>
          </w:tcPr>
          <w:p>
            <w:pPr>
              <w:jc w:val="center"/>
              <w:ind w:right="219"/>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jc w:val="center"/>
              <w:ind w:left="346"/>
              <w:spacing w:after="0" w:line="102" w:lineRule="exact"/>
              <w:rPr>
                <w:sz w:val="20"/>
                <w:szCs w:val="20"/>
                <w:color w:val="auto"/>
              </w:rPr>
            </w:pPr>
            <w:r>
              <w:rPr>
                <w:rFonts w:ascii="Arial" w:cs="Arial" w:eastAsia="Arial" w:hAnsi="Arial"/>
                <w:sz w:val="11"/>
                <w:szCs w:val="11"/>
                <w:b w:val="1"/>
                <w:bCs w:val="1"/>
                <w:color w:val="auto"/>
                <w:w w:val="87"/>
              </w:rPr>
              <w:t>Average</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ind w:left="186"/>
              <w:spacing w:after="0" w:line="102" w:lineRule="exact"/>
              <w:rPr>
                <w:sz w:val="20"/>
                <w:szCs w:val="20"/>
                <w:color w:val="auto"/>
              </w:rPr>
            </w:pPr>
            <w:r>
              <w:rPr>
                <w:rFonts w:ascii="Arial" w:cs="Arial" w:eastAsia="Arial" w:hAnsi="Arial"/>
                <w:sz w:val="11"/>
                <w:szCs w:val="11"/>
                <w:b w:val="1"/>
                <w:bCs w:val="1"/>
                <w:color w:val="auto"/>
                <w:w w:val="92"/>
              </w:rPr>
              <w:t>Remaining</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1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8"/>
                <w:szCs w:val="8"/>
                <w:color w:val="auto"/>
              </w:rPr>
            </w:pPr>
          </w:p>
        </w:tc>
        <w:tc>
          <w:tcPr>
            <w:tcW w:w="1060" w:type="dxa"/>
            <w:vAlign w:val="bottom"/>
          </w:tcPr>
          <w:p>
            <w:pPr>
              <w:jc w:val="center"/>
              <w:ind w:left="346"/>
              <w:spacing w:after="0" w:line="102" w:lineRule="exact"/>
              <w:rPr>
                <w:sz w:val="20"/>
                <w:szCs w:val="20"/>
                <w:color w:val="auto"/>
              </w:rPr>
            </w:pPr>
            <w:r>
              <w:rPr>
                <w:rFonts w:ascii="Arial" w:cs="Arial" w:eastAsia="Arial" w:hAnsi="Arial"/>
                <w:sz w:val="11"/>
                <w:szCs w:val="11"/>
                <w:b w:val="1"/>
                <w:bCs w:val="1"/>
                <w:color w:val="auto"/>
                <w:w w:val="83"/>
              </w:rPr>
              <w:t>Exercise</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ind w:left="186"/>
              <w:spacing w:after="0" w:line="102" w:lineRule="exact"/>
              <w:rPr>
                <w:sz w:val="20"/>
                <w:szCs w:val="20"/>
                <w:color w:val="auto"/>
              </w:rPr>
            </w:pPr>
            <w:r>
              <w:rPr>
                <w:rFonts w:ascii="Arial" w:cs="Arial" w:eastAsia="Arial" w:hAnsi="Arial"/>
                <w:sz w:val="11"/>
                <w:szCs w:val="11"/>
                <w:b w:val="1"/>
                <w:bCs w:val="1"/>
                <w:color w:val="auto"/>
                <w:w w:val="91"/>
              </w:rPr>
              <w:t>Contractual</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jc w:val="center"/>
              <w:ind w:right="219"/>
              <w:spacing w:after="0" w:line="102"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80" w:type="dxa"/>
            <w:vAlign w:val="bottom"/>
          </w:tcPr>
          <w:p>
            <w:pPr>
              <w:spacing w:after="0"/>
              <w:rPr>
                <w:sz w:val="12"/>
                <w:szCs w:val="12"/>
                <w:color w:val="auto"/>
              </w:rPr>
            </w:pPr>
          </w:p>
        </w:tc>
        <w:tc>
          <w:tcPr>
            <w:tcW w:w="1060" w:type="dxa"/>
            <w:vAlign w:val="bottom"/>
            <w:tcBorders>
              <w:bottom w:val="single" w:sz="8" w:color="auto"/>
            </w:tcBorders>
          </w:tcPr>
          <w:p>
            <w:pPr>
              <w:jc w:val="center"/>
              <w:ind w:left="326"/>
              <w:spacing w:after="0"/>
              <w:rPr>
                <w:sz w:val="20"/>
                <w:szCs w:val="20"/>
                <w:color w:val="auto"/>
              </w:rPr>
            </w:pPr>
            <w:r>
              <w:rPr>
                <w:rFonts w:ascii="Arial" w:cs="Arial" w:eastAsia="Arial" w:hAnsi="Arial"/>
                <w:sz w:val="11"/>
                <w:szCs w:val="11"/>
                <w:b w:val="1"/>
                <w:bCs w:val="1"/>
                <w:color w:val="auto"/>
                <w:w w:val="89"/>
              </w:rPr>
              <w:t>Price</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0"/>
              </w:rPr>
              <w:t>Life (Years)</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99"/>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gridSpan w:val="4"/>
          </w:tcPr>
          <w:p>
            <w:pPr>
              <w:jc w:val="center"/>
              <w:ind w:left="186"/>
              <w:spacing w:after="0"/>
              <w:rPr>
                <w:sz w:val="20"/>
                <w:szCs w:val="20"/>
                <w:color w:val="auto"/>
              </w:rPr>
            </w:pPr>
            <w:r>
              <w:rPr>
                <w:rFonts w:ascii="Arial" w:cs="Arial" w:eastAsia="Arial" w:hAnsi="Arial"/>
                <w:sz w:val="11"/>
                <w:szCs w:val="11"/>
                <w:b w:val="1"/>
                <w:bCs w:val="1"/>
                <w:color w:val="auto"/>
                <w:w w:val="87"/>
              </w:rPr>
              <w:t>(in thousands, except share, life, and per share data)</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9,239,504</w:t>
            </w:r>
          </w:p>
        </w:tc>
        <w:tc>
          <w:tcPr>
            <w:tcW w:w="1140" w:type="dxa"/>
            <w:vAlign w:val="bottom"/>
            <w:gridSpan w:val="2"/>
            <w:shd w:val="clear" w:color="auto" w:fill="CCEEFF"/>
          </w:tcPr>
          <w:p>
            <w:pPr>
              <w:jc w:val="right"/>
              <w:ind w:right="926"/>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3,371,457</w:t>
            </w:r>
          </w:p>
        </w:tc>
        <w:tc>
          <w:tcPr>
            <w:tcW w:w="0" w:type="dxa"/>
            <w:vAlign w:val="bottom"/>
          </w:tcPr>
          <w:p>
            <w:pPr>
              <w:spacing w:after="0"/>
              <w:rPr>
                <w:sz w:val="1"/>
                <w:szCs w:val="1"/>
                <w:color w:val="auto"/>
              </w:rPr>
            </w:pPr>
          </w:p>
        </w:tc>
      </w:tr>
      <w:tr>
        <w:trPr>
          <w:trHeight w:val="173"/>
        </w:trPr>
        <w:tc>
          <w:tcPr>
            <w:tcW w:w="5240" w:type="dxa"/>
            <w:vAlign w:val="bottom"/>
          </w:tcPr>
          <w:p>
            <w:pPr>
              <w:ind w:left="16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926"/>
              <w:spacing w:after="0"/>
              <w:rPr>
                <w:sz w:val="20"/>
                <w:szCs w:val="20"/>
                <w:color w:val="auto"/>
              </w:rPr>
            </w:pPr>
            <w:r>
              <w:rPr>
                <w:rFonts w:ascii="Arial" w:cs="Arial" w:eastAsia="Arial" w:hAnsi="Arial"/>
                <w:sz w:val="14"/>
                <w:szCs w:val="14"/>
                <w:color w:val="auto"/>
              </w:rPr>
              <w:t>$</w:t>
            </w:r>
          </w:p>
        </w:tc>
        <w:tc>
          <w:tcPr>
            <w:tcW w:w="1680" w:type="dxa"/>
            <w:vAlign w:val="bottom"/>
            <w:gridSpan w:val="3"/>
          </w:tcPr>
          <w:p>
            <w:pPr>
              <w:jc w:val="right"/>
              <w:ind w:right="128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(2,205,249)</w:t>
            </w:r>
          </w:p>
        </w:tc>
        <w:tc>
          <w:tcPr>
            <w:tcW w:w="1140" w:type="dxa"/>
            <w:vAlign w:val="bottom"/>
            <w:gridSpan w:val="2"/>
            <w:shd w:val="clear" w:color="auto" w:fill="CCEEFF"/>
          </w:tcPr>
          <w:p>
            <w:pPr>
              <w:jc w:val="right"/>
              <w:ind w:right="926"/>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2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Canceled/forfeited/expired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(128,780)</w:t>
            </w:r>
          </w:p>
        </w:tc>
        <w:tc>
          <w:tcPr>
            <w:tcW w:w="1140" w:type="dxa"/>
            <w:vAlign w:val="bottom"/>
            <w:tcBorders>
              <w:bottom w:val="single" w:sz="8" w:color="CCEEFF"/>
            </w:tcBorders>
            <w:gridSpan w:val="2"/>
          </w:tcPr>
          <w:p>
            <w:pPr>
              <w:jc w:val="right"/>
              <w:ind w:right="926"/>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October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6,905,475</w:t>
            </w:r>
          </w:p>
        </w:tc>
        <w:tc>
          <w:tcPr>
            <w:tcW w:w="1140" w:type="dxa"/>
            <w:vAlign w:val="bottom"/>
            <w:tcBorders>
              <w:bottom w:val="single" w:sz="8" w:color="CCEEFF"/>
            </w:tcBorders>
            <w:gridSpan w:val="2"/>
            <w:shd w:val="clear" w:color="auto" w:fill="CCEEFF"/>
          </w:tcPr>
          <w:p>
            <w:pPr>
              <w:jc w:val="right"/>
              <w:ind w:right="926"/>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1,842,547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240" w:type="dxa"/>
            <w:vAlign w:val="bottom"/>
          </w:tcPr>
          <w:p>
            <w:pPr>
              <w:ind w:left="20"/>
              <w:spacing w:after="0" w:line="135" w:lineRule="exact"/>
              <w:rPr>
                <w:sz w:val="20"/>
                <w:szCs w:val="20"/>
                <w:color w:val="auto"/>
              </w:rPr>
            </w:pPr>
            <w:r>
              <w:rPr>
                <w:rFonts w:ascii="Arial" w:cs="Arial" w:eastAsia="Arial" w:hAnsi="Arial"/>
                <w:sz w:val="14"/>
                <w:szCs w:val="14"/>
                <w:color w:val="auto"/>
              </w:rPr>
              <w:t>Vested and exercisable as of October 31, 2021</w:t>
            </w:r>
          </w:p>
        </w:tc>
        <w:tc>
          <w:tcPr>
            <w:tcW w:w="1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4,978,217</w:t>
            </w:r>
          </w:p>
        </w:tc>
        <w:tc>
          <w:tcPr>
            <w:tcW w:w="1140" w:type="dxa"/>
            <w:vAlign w:val="bottom"/>
            <w:gridSpan w:val="2"/>
          </w:tcPr>
          <w:p>
            <w:pPr>
              <w:jc w:val="right"/>
              <w:ind w:right="926"/>
              <w:spacing w:after="0" w:line="13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4"/>
                <w:szCs w:val="14"/>
                <w:color w:val="auto"/>
              </w:rPr>
              <w:t>5.16</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1"/>
                <w:szCs w:val="11"/>
                <w:color w:val="auto"/>
              </w:rPr>
            </w:pPr>
          </w:p>
        </w:tc>
        <w:tc>
          <w:tcPr>
            <w:tcW w:w="280" w:type="dxa"/>
            <w:vAlign w:val="bottom"/>
          </w:tcPr>
          <w:p>
            <w:pPr>
              <w:jc w:val="right"/>
              <w:ind w:right="132"/>
              <w:spacing w:after="0" w:line="13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35" w:lineRule="exact"/>
              <w:rPr>
                <w:sz w:val="20"/>
                <w:szCs w:val="20"/>
                <w:color w:val="auto"/>
              </w:rPr>
            </w:pPr>
            <w:r>
              <w:rPr>
                <w:rFonts w:ascii="Arial" w:cs="Arial" w:eastAsia="Arial" w:hAnsi="Arial"/>
                <w:sz w:val="14"/>
                <w:szCs w:val="14"/>
                <w:color w:val="auto"/>
              </w:rPr>
              <w:t>1,341,584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As of October 31, 2021, unrecognized stock-based compensation expense related to outstanding unvested stock options was $26.1 million, which is expected to be recognized over a weighted-average period of 0.9 years.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summary of restricted stock unit (“RSU”) activity under our equity incentive plan and related information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900" w:type="dxa"/>
            <w:vAlign w:val="bottom"/>
          </w:tcPr>
          <w:p>
            <w:pPr>
              <w:spacing w:after="0"/>
              <w:rPr>
                <w:sz w:val="12"/>
                <w:szCs w:val="12"/>
                <w:color w:val="auto"/>
              </w:rPr>
            </w:pPr>
          </w:p>
        </w:tc>
        <w:tc>
          <w:tcPr>
            <w:tcW w:w="20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1"/>
                <w:szCs w:val="11"/>
                <w:b w:val="1"/>
                <w:bCs w:val="1"/>
                <w:color w:val="auto"/>
              </w:rPr>
              <w:t>RSUs</w:t>
            </w: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7900" w:type="dxa"/>
            <w:vAlign w:val="bottom"/>
          </w:tcPr>
          <w:p>
            <w:pPr>
              <w:spacing w:after="0"/>
              <w:rPr>
                <w:sz w:val="8"/>
                <w:szCs w:val="8"/>
                <w:color w:val="auto"/>
              </w:rPr>
            </w:pPr>
          </w:p>
        </w:tc>
        <w:tc>
          <w:tcPr>
            <w:tcW w:w="1660" w:type="dxa"/>
            <w:vAlign w:val="bottom"/>
            <w:vMerge w:val="restart"/>
          </w:tcPr>
          <w:p>
            <w:pPr>
              <w:jc w:val="right"/>
              <w:ind w:right="557"/>
              <w:spacing w:after="0"/>
              <w:rPr>
                <w:sz w:val="20"/>
                <w:szCs w:val="20"/>
                <w:color w:val="auto"/>
              </w:rPr>
            </w:pPr>
            <w:r>
              <w:rPr>
                <w:rFonts w:ascii="Arial" w:cs="Arial" w:eastAsia="Arial" w:hAnsi="Arial"/>
                <w:sz w:val="11"/>
                <w:szCs w:val="11"/>
                <w:b w:val="1"/>
                <w:bCs w:val="1"/>
                <w:color w:val="auto"/>
              </w:rPr>
              <w:t>Unvested</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jc w:val="right"/>
              <w:ind w:right="516"/>
              <w:spacing w:after="0" w:line="97"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02"/>
        </w:trPr>
        <w:tc>
          <w:tcPr>
            <w:tcW w:w="79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jc w:val="right"/>
              <w:ind w:right="576"/>
              <w:spacing w:after="0" w:line="102"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rPr>
              <w:t>RSUs</w:t>
            </w:r>
          </w:p>
        </w:tc>
        <w:tc>
          <w:tcPr>
            <w:tcW w:w="8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3"/>
              </w:rPr>
              <w:t>Grant Date Fair Value Per Share</w:t>
            </w:r>
          </w:p>
        </w:tc>
        <w:tc>
          <w:tcPr>
            <w:tcW w:w="0" w:type="dxa"/>
            <w:vAlign w:val="bottom"/>
          </w:tcPr>
          <w:p>
            <w:pPr>
              <w:spacing w:after="0"/>
              <w:rPr>
                <w:sz w:val="1"/>
                <w:szCs w:val="1"/>
                <w:color w:val="auto"/>
              </w:rPr>
            </w:pPr>
          </w:p>
        </w:tc>
      </w:tr>
      <w:tr>
        <w:trPr>
          <w:trHeight w:val="165"/>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as of January 31, 2021</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4,510,730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194.57</w:t>
            </w:r>
          </w:p>
        </w:tc>
        <w:tc>
          <w:tcPr>
            <w:tcW w:w="0" w:type="dxa"/>
            <w:vAlign w:val="bottom"/>
          </w:tcPr>
          <w:p>
            <w:pPr>
              <w:spacing w:after="0"/>
              <w:rPr>
                <w:sz w:val="1"/>
                <w:szCs w:val="1"/>
                <w:color w:val="auto"/>
              </w:rPr>
            </w:pPr>
          </w:p>
        </w:tc>
      </w:tr>
      <w:tr>
        <w:trPr>
          <w:trHeight w:val="173"/>
        </w:trPr>
        <w:tc>
          <w:tcPr>
            <w:tcW w:w="7900" w:type="dxa"/>
            <w:vAlign w:val="bottom"/>
          </w:tcPr>
          <w:p>
            <w:pPr>
              <w:ind w:left="160"/>
              <w:spacing w:after="0"/>
              <w:rPr>
                <w:sz w:val="20"/>
                <w:szCs w:val="20"/>
                <w:color w:val="auto"/>
              </w:rPr>
            </w:pPr>
            <w:r>
              <w:rPr>
                <w:rFonts w:ascii="Arial" w:cs="Arial" w:eastAsia="Arial" w:hAnsi="Arial"/>
                <w:sz w:val="14"/>
                <w:szCs w:val="14"/>
                <w:color w:val="auto"/>
              </w:rPr>
              <w:t>Granted</w:t>
            </w:r>
          </w:p>
        </w:tc>
        <w:tc>
          <w:tcPr>
            <w:tcW w:w="1660" w:type="dxa"/>
            <w:vAlign w:val="bottom"/>
          </w:tcPr>
          <w:p>
            <w:pPr>
              <w:jc w:val="right"/>
              <w:spacing w:after="0"/>
              <w:rPr>
                <w:sz w:val="20"/>
                <w:szCs w:val="20"/>
                <w:color w:val="auto"/>
              </w:rPr>
            </w:pPr>
            <w:r>
              <w:rPr>
                <w:rFonts w:ascii="Arial" w:cs="Arial" w:eastAsia="Arial" w:hAnsi="Arial"/>
                <w:sz w:val="14"/>
                <w:szCs w:val="14"/>
                <w:color w:val="auto"/>
              </w:rPr>
              <w:t>2,046,653</w:t>
            </w:r>
          </w:p>
        </w:tc>
        <w:tc>
          <w:tcPr>
            <w:tcW w:w="4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312.71</w:t>
            </w:r>
          </w:p>
        </w:tc>
        <w:tc>
          <w:tcPr>
            <w:tcW w:w="0" w:type="dxa"/>
            <w:vAlign w:val="bottom"/>
          </w:tcPr>
          <w:p>
            <w:pPr>
              <w:spacing w:after="0"/>
              <w:rPr>
                <w:sz w:val="1"/>
                <w:szCs w:val="1"/>
                <w:color w:val="auto"/>
              </w:rPr>
            </w:pPr>
          </w:p>
        </w:tc>
      </w:tr>
      <w:tr>
        <w:trPr>
          <w:trHeight w:val="174"/>
        </w:trPr>
        <w:tc>
          <w:tcPr>
            <w:tcW w:w="7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(1,480,536)</w:t>
            </w:r>
          </w:p>
        </w:tc>
        <w:tc>
          <w:tcPr>
            <w:tcW w:w="4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187.38</w:t>
            </w:r>
          </w:p>
        </w:tc>
        <w:tc>
          <w:tcPr>
            <w:tcW w:w="0" w:type="dxa"/>
            <w:vAlign w:val="bottom"/>
          </w:tcPr>
          <w:p>
            <w:pPr>
              <w:spacing w:after="0"/>
              <w:rPr>
                <w:sz w:val="1"/>
                <w:szCs w:val="1"/>
                <w:color w:val="auto"/>
              </w:rPr>
            </w:pPr>
          </w:p>
        </w:tc>
      </w:tr>
      <w:tr>
        <w:trPr>
          <w:trHeight w:val="173"/>
        </w:trPr>
        <w:tc>
          <w:tcPr>
            <w:tcW w:w="79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Canceled/forfeited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(233,344)</w:t>
            </w:r>
          </w:p>
        </w:tc>
        <w:tc>
          <w:tcPr>
            <w:tcW w:w="42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248.84</w:t>
            </w:r>
          </w:p>
        </w:tc>
        <w:tc>
          <w:tcPr>
            <w:tcW w:w="0" w:type="dxa"/>
            <w:vAlign w:val="bottom"/>
          </w:tcPr>
          <w:p>
            <w:pPr>
              <w:spacing w:after="0"/>
              <w:rPr>
                <w:sz w:val="1"/>
                <w:szCs w:val="1"/>
                <w:color w:val="auto"/>
              </w:rPr>
            </w:pPr>
          </w:p>
        </w:tc>
      </w:tr>
      <w:tr>
        <w:trPr>
          <w:trHeight w:val="189"/>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as of October 31,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4,843,503</w:t>
            </w:r>
          </w:p>
        </w:tc>
        <w:tc>
          <w:tcPr>
            <w:tcW w:w="42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244.07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In October 2021, an update made to our equity compensation program resulted in the modification of the value of RSUs offered to our employees. This had an immaterial impact on our condensed consolidated statement of operations for the three months ended October 31, 2021.</w:t>
      </w:r>
    </w:p>
    <w:p>
      <w:pPr>
        <w:spacing w:after="0" w:line="58"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As of October 31, 2021, unrecognized stock-based compensation expense related to RSUs was $1,243.8 million, including the impact of the modification, which is expected to be recognized over a weighted-average period of 2.6 years.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2019 Employee Stock Purchase Plan</w:t>
      </w:r>
    </w:p>
    <w:p>
      <w:pPr>
        <w:spacing w:after="0" w:line="8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In April 2019, we adopted the 2019 Employee Stock Purchase Plan (“ESPP”). As of October 31, 2021, unrecognized stock-based compensation expense related to the ESPP was $52.1 million, which is expected to be recognized over a weighted-average period of 1.6 years.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stock-based compensation expense by line item in the accompanying condensed consolidated statements of operations is summarized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440" w:type="dxa"/>
            <w:vAlign w:val="bottom"/>
          </w:tcPr>
          <w:p>
            <w:pPr>
              <w:spacing w:after="0"/>
              <w:rPr>
                <w:sz w:val="12"/>
                <w:szCs w:val="12"/>
                <w:color w:val="auto"/>
              </w:rPr>
            </w:pPr>
          </w:p>
        </w:tc>
        <w:tc>
          <w:tcPr>
            <w:tcW w:w="28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1"/>
                <w:szCs w:val="11"/>
                <w:b w:val="1"/>
                <w:bCs w:val="1"/>
                <w:color w:val="auto"/>
              </w:rPr>
              <w:t>Three Months Ended October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Nine Months Ended October 31,</w:t>
            </w:r>
          </w:p>
        </w:tc>
        <w:tc>
          <w:tcPr>
            <w:tcW w:w="940" w:type="dxa"/>
            <w:vAlign w:val="bottom"/>
            <w:tcBorders>
              <w:bottom w:val="single" w:sz="8" w:color="auto"/>
            </w:tcBorders>
          </w:tcPr>
          <w:p>
            <w:pPr>
              <w:spacing w:after="0"/>
              <w:rPr>
                <w:sz w:val="12"/>
                <w:szCs w:val="12"/>
                <w:color w:val="auto"/>
              </w:rPr>
            </w:pPr>
          </w:p>
        </w:tc>
      </w:tr>
      <w:tr>
        <w:trPr>
          <w:trHeight w:val="136"/>
        </w:trPr>
        <w:tc>
          <w:tcPr>
            <w:tcW w:w="4440" w:type="dxa"/>
            <w:vAlign w:val="bottom"/>
          </w:tcPr>
          <w:p>
            <w:pPr>
              <w:spacing w:after="0"/>
              <w:rPr>
                <w:sz w:val="11"/>
                <w:szCs w:val="11"/>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56"/>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w w:val="81"/>
              </w:rPr>
              <w:t>2020</w:t>
            </w:r>
          </w:p>
        </w:tc>
      </w:tr>
      <w:tr>
        <w:trPr>
          <w:trHeight w:val="160"/>
        </w:trPr>
        <w:tc>
          <w:tcPr>
            <w:tcW w:w="4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gridSpan w:val="3"/>
          </w:tcPr>
          <w:p>
            <w:pPr>
              <w:jc w:val="right"/>
              <w:ind w:right="132"/>
              <w:spacing w:after="0"/>
              <w:rPr>
                <w:sz w:val="20"/>
                <w:szCs w:val="20"/>
                <w:color w:val="auto"/>
              </w:rPr>
            </w:pPr>
            <w:r>
              <w:rPr>
                <w:rFonts w:ascii="Arial" w:cs="Arial" w:eastAsia="Arial" w:hAnsi="Arial"/>
                <w:sz w:val="11"/>
                <w:szCs w:val="11"/>
                <w:b w:val="1"/>
                <w:bCs w:val="1"/>
                <w:color w:val="auto"/>
              </w:rPr>
              <w:t>(in 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8"/>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17,206</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7"/>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22,263</w:t>
            </w:r>
          </w:p>
        </w:tc>
      </w:tr>
      <w:tr>
        <w:trPr>
          <w:trHeight w:val="173"/>
        </w:trPr>
        <w:tc>
          <w:tcPr>
            <w:tcW w:w="44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27,879</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16,035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71,615</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31,269</w:t>
            </w:r>
          </w:p>
        </w:tc>
      </w:tr>
      <w:tr>
        <w:trPr>
          <w:trHeight w:val="17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54,220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156,888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96,237</w:t>
            </w:r>
          </w:p>
        </w:tc>
      </w:tr>
      <w:tr>
        <w:trPr>
          <w:trHeight w:val="17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15,496</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19,887</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41,359</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29,788</w:t>
            </w:r>
          </w:p>
        </w:tc>
      </w:tr>
      <w:tr>
        <w:trPr>
          <w:trHeight w:val="189"/>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stock-based compensation expense</w:t>
            </w:r>
          </w:p>
        </w:tc>
        <w:tc>
          <w:tcPr>
            <w:tcW w:w="104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114,801</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93,925</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315,912</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179,557</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2"/>
          <w:szCs w:val="12"/>
          <w:b w:val="1"/>
          <w:bCs w:val="1"/>
          <w:color w:val="auto"/>
        </w:rPr>
        <w:t>Income Taxes</w:t>
      </w:r>
    </w:p>
    <w:p>
      <w:pPr>
        <w:spacing w:after="0" w:line="86"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Our tax provision for interim periods is determined using an estimated annual effective tax rate, adjusted for discrete items arising in the applicable quarter. In each quarter, we update the estimated annual effective tax rate and make a year-to-date adjustment to the provision. The estimated annual effective tax rate is subject to significant volatility due to several factors, including our ability to accurately predict the proportion of our pretax income in multiple jurisdictions and certain book-tax differences.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provides details of the provision for (benefit from) income taxes: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2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1"/>
                <w:szCs w:val="11"/>
                <w:b w:val="1"/>
                <w:bCs w:val="1"/>
                <w:color w:val="auto"/>
                <w:w w:val="89"/>
              </w:rPr>
              <w:t>Three Months Ended October 31,</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Nine Months Ended October 31,</w:t>
            </w:r>
          </w:p>
        </w:tc>
        <w:tc>
          <w:tcPr>
            <w:tcW w:w="980" w:type="dxa"/>
            <w:vAlign w:val="bottom"/>
            <w:tcBorders>
              <w:bottom w:val="single" w:sz="8" w:color="auto"/>
            </w:tcBorders>
          </w:tcPr>
          <w:p>
            <w:pPr>
              <w:spacing w:after="0"/>
              <w:rPr>
                <w:sz w:val="12"/>
                <w:szCs w:val="12"/>
                <w:color w:val="auto"/>
              </w:rPr>
            </w:pPr>
          </w:p>
        </w:tc>
      </w:tr>
      <w:tr>
        <w:trPr>
          <w:trHeight w:val="136"/>
        </w:trPr>
        <w:tc>
          <w:tcPr>
            <w:tcW w:w="4220" w:type="dxa"/>
            <w:vAlign w:val="bottom"/>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75"/>
              <w:spacing w:after="0"/>
              <w:rPr>
                <w:sz w:val="20"/>
                <w:szCs w:val="20"/>
                <w:color w:val="auto"/>
              </w:rPr>
            </w:pPr>
            <w:r>
              <w:rPr>
                <w:rFonts w:ascii="Arial" w:cs="Arial" w:eastAsia="Arial" w:hAnsi="Arial"/>
                <w:sz w:val="11"/>
                <w:szCs w:val="11"/>
                <w:b w:val="1"/>
                <w:bCs w:val="1"/>
                <w:color w:val="auto"/>
                <w:w w:val="89"/>
              </w:rPr>
              <w:t>2020</w:t>
            </w:r>
          </w:p>
        </w:tc>
      </w:tr>
      <w:tr>
        <w:trPr>
          <w:trHeight w:val="160"/>
        </w:trPr>
        <w:tc>
          <w:tcPr>
            <w:tcW w:w="4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4"/>
          </w:tcPr>
          <w:p>
            <w:pPr>
              <w:jc w:val="right"/>
              <w:ind w:right="179"/>
              <w:spacing w:after="0"/>
              <w:rPr>
                <w:sz w:val="20"/>
                <w:szCs w:val="20"/>
                <w:color w:val="auto"/>
              </w:rPr>
            </w:pPr>
            <w:r>
              <w:rPr>
                <w:rFonts w:ascii="Arial" w:cs="Arial" w:eastAsia="Arial" w:hAnsi="Arial"/>
                <w:sz w:val="11"/>
                <w:szCs w:val="11"/>
                <w:b w:val="1"/>
                <w:bCs w:val="1"/>
                <w:color w:val="auto"/>
              </w:rPr>
              <w:t>(in thousands, except percentages)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8"/>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provision for (benefit from) income taxes</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410,283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8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94"/>
              </w:rPr>
              <w:t>194,021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963,098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413,381</w:t>
            </w:r>
          </w:p>
        </w:tc>
      </w:tr>
      <w:tr>
        <w:trPr>
          <w:trHeight w:val="173"/>
        </w:trPr>
        <w:tc>
          <w:tcPr>
            <w:tcW w:w="422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960" w:type="dxa"/>
            <w:vAlign w:val="bottom"/>
          </w:tcPr>
          <w:p>
            <w:pPr>
              <w:spacing w:after="0"/>
              <w:rPr>
                <w:sz w:val="15"/>
                <w:szCs w:val="15"/>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color w:val="auto"/>
              </w:rPr>
              <w:t>69,900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(4,621)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78,100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color w:val="auto"/>
              </w:rPr>
              <w:t>1,675</w:t>
            </w:r>
          </w:p>
        </w:tc>
      </w:tr>
      <w:tr>
        <w:trPr>
          <w:trHeight w:val="174"/>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8.1 %</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r>
    </w:tbl>
    <w:p>
      <w:pPr>
        <w:spacing w:after="0" w:line="224" w:lineRule="exact"/>
        <w:rPr>
          <w:sz w:val="20"/>
          <w:szCs w:val="20"/>
          <w:color w:val="auto"/>
        </w:rPr>
      </w:pPr>
    </w:p>
    <w:p>
      <w:pPr>
        <w:jc w:val="both"/>
        <w:ind w:firstLine="367"/>
        <w:spacing w:after="0" w:line="246" w:lineRule="auto"/>
        <w:rPr>
          <w:sz w:val="20"/>
          <w:szCs w:val="20"/>
          <w:color w:val="auto"/>
        </w:rPr>
      </w:pPr>
      <w:r>
        <w:rPr>
          <w:rFonts w:ascii="Arial" w:cs="Arial" w:eastAsia="Arial" w:hAnsi="Arial"/>
          <w:sz w:val="14"/>
          <w:szCs w:val="14"/>
          <w:color w:val="auto"/>
        </w:rPr>
        <w:t>We had a provision for income taxes of $69.9 million for the three months ended October 31, 2021, and a benefit from income taxes of $4.6 million for the three months ended October 31, 2020. The provision for income taxes was $78.1 million and $1.7 million for the nine months ended October 31, 2021 and 2020, respectively. The provision for income taxes for the three and nine months ended October 31, 2021 consisted primarily of federal, state, and foreign income taxes. For the three and nine months ended October 31, 2021 and 2020, the provision for income taxes and benefit from income taxes differed from the U.S. federal statutory rate primarily due to stock-based compensation and the valuation allowance on the U.S. and the U.K. deferred tax assets. The increase in the provision for the three and nine months ended October 31, 2021 was primarily due to an increase in global income, certain elections and accounting method changes creating additional book-tax differences, as well as a decrease in stock-based compensation for tax purposes. Given their nature, these additional book-tax differences necessitated the recording of deferred tax assets, and a valuation allowance was recorded on those new deferred tax assets.</w:t>
      </w:r>
    </w:p>
    <w:p>
      <w:pPr>
        <w:spacing w:after="0" w:line="69"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and nine months ended October 31, 2021, we continue to believe that it is more likely than not that the tax benefits of the U.S. and the U.K. net deferred tax assets may not be realized. Accordingly, we recorded a full valuation allowance against the tax benefits of these net deferred tax assets. We intend to maintain the full valuation allowance until sufficient positive evidence exists to support a reversal of, or decrease in, the valuation allowance.</w:t>
      </w:r>
    </w:p>
    <w:p>
      <w:pPr>
        <w:spacing w:after="0" w:line="67"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In our valuation allowance evaluation, we give more weight to evidence that can be objectively verified than to evidence that cannot be objectively verified. Our consideration of the evidence requires management to make a number of significant judgements, estimates, and assumptions about highly complex and inherently uncertain matters. Given our current earnings and anticipated future earnings, we believe that there is a reasonable possibility that in the short-term, sufficient positive evidence may become available that results in a conclusion that a portion of the valuation allowance will no longer be needed. Release of the valuation allowance would result in the recognition of net deferred tax assets on our condensed consolidated balance sheets and would decrease income tax expense in the period the release is recorded. However, the exact timing and amount of the valuation allowance release are subject to change based on a number of factors, including but not limited to, the level of profitability (pretax income adjusted for permanent differences) that we are able to accurately forecast and/or acquisitions of other businesses.</w:t>
      </w:r>
    </w:p>
    <w:p>
      <w:pPr>
        <w:spacing w:after="0" w:line="4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During the three and nine months ended October 31, 2021, there were no material changes to the total amount of unrecognized tax benefits and we do not expect any significant changes in the next 12 months.</w:t>
      </w:r>
    </w:p>
    <w:p>
      <w:pPr>
        <w:spacing w:after="0" w:line="58"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On March 11, 2021, the American Rescue Plan Act of 2021 (“American Rescue Plan Act”) was passed into law and amended portions of relevant tax laws. The American Rescue Plan Act did not have a significant impact on the provision for income taxes for the three and nine months ended October 31, 2021.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2"/>
          <w:szCs w:val="12"/>
          <w:b w:val="1"/>
          <w:bCs w:val="1"/>
          <w:color w:val="auto"/>
        </w:rPr>
        <w:t>Net Income Per Share Attributable to Common Stockholders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sets forth the computation of basic and diluted net income per share attributable to common stockholders for the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9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5"/>
          </w:tcPr>
          <w:p>
            <w:pPr>
              <w:ind w:left="140"/>
              <w:spacing w:after="0"/>
              <w:rPr>
                <w:sz w:val="20"/>
                <w:szCs w:val="20"/>
                <w:color w:val="auto"/>
              </w:rPr>
            </w:pPr>
            <w:r>
              <w:rPr>
                <w:rFonts w:ascii="Arial" w:cs="Arial" w:eastAsia="Arial" w:hAnsi="Arial"/>
                <w:sz w:val="11"/>
                <w:szCs w:val="11"/>
                <w:b w:val="1"/>
                <w:bCs w:val="1"/>
                <w:color w:val="auto"/>
              </w:rPr>
              <w:t>Three Months Ended October 31,</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1"/>
                <w:szCs w:val="11"/>
                <w:b w:val="1"/>
                <w:bCs w:val="1"/>
                <w:color w:val="auto"/>
                <w:w w:val="98"/>
              </w:rPr>
              <w:t>Nine Months Ended October 31,</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9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2021</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2020</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1"/>
                <w:szCs w:val="11"/>
                <w:b w:val="1"/>
                <w:bCs w:val="1"/>
                <w:color w:val="auto"/>
              </w:rPr>
              <w:t>2021</w:t>
            </w: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w w:val="81"/>
              </w:rPr>
              <w:t>2020</w:t>
            </w: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Class A</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Class B</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Class A</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Class B</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Class A</w:t>
            </w: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Class B</w:t>
            </w: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Class A</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Class B</w:t>
            </w:r>
          </w:p>
        </w:tc>
        <w:tc>
          <w:tcPr>
            <w:tcW w:w="0" w:type="dxa"/>
            <w:vAlign w:val="bottom"/>
          </w:tcPr>
          <w:p>
            <w:pPr>
              <w:spacing w:after="0"/>
              <w:rPr>
                <w:sz w:val="1"/>
                <w:szCs w:val="1"/>
                <w:color w:val="auto"/>
              </w:rPr>
            </w:pPr>
          </w:p>
        </w:tc>
      </w:tr>
      <w:tr>
        <w:trPr>
          <w:trHeight w:val="214"/>
        </w:trPr>
        <w:tc>
          <w:tcPr>
            <w:tcW w:w="1980" w:type="dxa"/>
            <w:vAlign w:val="bottom"/>
          </w:tcPr>
          <w:p>
            <w:pPr>
              <w:ind w:left="20"/>
              <w:spacing w:after="0"/>
              <w:rPr>
                <w:sz w:val="20"/>
                <w:szCs w:val="20"/>
                <w:color w:val="auto"/>
              </w:rPr>
            </w:pPr>
            <w:r>
              <w:rPr>
                <w:rFonts w:ascii="Arial" w:cs="Arial" w:eastAsia="Arial" w:hAnsi="Arial"/>
                <w:sz w:val="12"/>
                <w:szCs w:val="12"/>
                <w:b w:val="1"/>
                <w:bCs w:val="1"/>
                <w:color w:val="auto"/>
              </w:rPr>
              <w:t>Numerator: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tcPr>
          <w:p>
            <w:pPr>
              <w:ind w:left="60"/>
              <w:spacing w:after="0"/>
              <w:rPr>
                <w:sz w:val="20"/>
                <w:szCs w:val="20"/>
                <w:color w:val="auto"/>
              </w:rPr>
            </w:pPr>
            <w:r>
              <w:rPr>
                <w:rFonts w:ascii="Arial" w:cs="Arial" w:eastAsia="Arial" w:hAnsi="Arial"/>
                <w:sz w:val="11"/>
                <w:szCs w:val="11"/>
                <w:b w:val="1"/>
                <w:bCs w:val="1"/>
                <w:color w:val="auto"/>
                <w:w w:val="90"/>
              </w:rPr>
              <w:t>(in thousands, except share and per share data)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276,024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64,359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61,793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707,188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177,810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256,176</w:t>
            </w: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155,530</w:t>
            </w:r>
          </w:p>
        </w:tc>
        <w:tc>
          <w:tcPr>
            <w:tcW w:w="0" w:type="dxa"/>
            <w:vAlign w:val="bottom"/>
          </w:tcPr>
          <w:p>
            <w:pPr>
              <w:spacing w:after="0"/>
              <w:rPr>
                <w:sz w:val="1"/>
                <w:szCs w:val="1"/>
                <w:color w:val="auto"/>
              </w:rPr>
            </w:pPr>
          </w:p>
        </w:tc>
      </w:tr>
      <w:tr>
        <w:trPr>
          <w:trHeight w:val="126"/>
        </w:trPr>
        <w:tc>
          <w:tcPr>
            <w:tcW w:w="1980" w:type="dxa"/>
            <w:vAlign w:val="bottom"/>
          </w:tcPr>
          <w:p>
            <w:pPr>
              <w:ind w:left="20"/>
              <w:spacing w:after="0" w:line="126" w:lineRule="exact"/>
              <w:rPr>
                <w:sz w:val="20"/>
                <w:szCs w:val="20"/>
                <w:color w:val="auto"/>
              </w:rPr>
            </w:pPr>
            <w:r>
              <w:rPr>
                <w:rFonts w:ascii="Arial" w:cs="Arial" w:eastAsia="Arial" w:hAnsi="Arial"/>
                <w:sz w:val="12"/>
                <w:szCs w:val="12"/>
                <w:color w:val="auto"/>
              </w:rPr>
              <w:t>Less: undistributed earnings</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(202)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(430)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(531)</w:t>
            </w:r>
          </w:p>
        </w:tc>
        <w:tc>
          <w:tcPr>
            <w:tcW w:w="0" w:type="dxa"/>
            <w:vAlign w:val="bottom"/>
          </w:tcPr>
          <w:p>
            <w:pPr>
              <w:spacing w:after="0"/>
              <w:rPr>
                <w:sz w:val="1"/>
                <w:szCs w:val="1"/>
                <w:color w:val="auto"/>
              </w:rPr>
            </w:pPr>
          </w:p>
        </w:tc>
      </w:tr>
      <w:tr>
        <w:trPr>
          <w:trHeight w:val="157"/>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w w:val="99"/>
              </w:rPr>
              <w:t>attributable to participating securities</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80" w:type="dxa"/>
            <w:vAlign w:val="bottom"/>
            <w:shd w:val="clear" w:color="auto" w:fill="CCEEFF"/>
          </w:tcPr>
          <w:p>
            <w:pPr>
              <w:ind w:left="20"/>
              <w:spacing w:after="0" w:line="109" w:lineRule="exact"/>
              <w:rPr>
                <w:sz w:val="20"/>
                <w:szCs w:val="20"/>
                <w:color w:val="auto"/>
              </w:rPr>
            </w:pPr>
            <w:r>
              <w:rPr>
                <w:rFonts w:ascii="Arial" w:cs="Arial" w:eastAsia="Arial" w:hAnsi="Arial"/>
                <w:sz w:val="12"/>
                <w:szCs w:val="12"/>
                <w:color w:val="auto"/>
              </w:rPr>
              <w:t>Net income attributable to common</w:t>
            </w:r>
          </w:p>
        </w:tc>
        <w:tc>
          <w:tcPr>
            <w:tcW w:w="220" w:type="dxa"/>
            <w:vAlign w:val="bottom"/>
            <w:vMerge w:val="restart"/>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276,024</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64,247</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136,849</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61,591</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707,188</w:t>
            </w:r>
          </w:p>
        </w:tc>
        <w:tc>
          <w:tcPr>
            <w:tcW w:w="1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177,380</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256,176</w:t>
            </w:r>
          </w:p>
        </w:tc>
        <w:tc>
          <w:tcPr>
            <w:tcW w:w="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154,999</w:t>
            </w: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basic</w:t>
            </w: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60" w:type="dxa"/>
            <w:vAlign w:val="bottom"/>
            <w:gridSpan w:val="3"/>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w w:val="95"/>
              </w:rPr>
              <w:t>Reallocation of net income attributable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(5,756)</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5,756</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(4,094)</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4,094</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(15,965)</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15,965</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(9,083)</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9,083</w:t>
            </w:r>
          </w:p>
        </w:tc>
        <w:tc>
          <w:tcPr>
            <w:tcW w:w="0" w:type="dxa"/>
            <w:vAlign w:val="bottom"/>
          </w:tcPr>
          <w:p>
            <w:pPr>
              <w:spacing w:after="0"/>
              <w:rPr>
                <w:sz w:val="1"/>
                <w:szCs w:val="1"/>
                <w:color w:val="auto"/>
              </w:rPr>
            </w:pPr>
          </w:p>
        </w:tc>
      </w:tr>
      <w:tr>
        <w:trPr>
          <w:trHeight w:val="157"/>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 common stockholders</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80" w:type="dxa"/>
            <w:vAlign w:val="bottom"/>
            <w:shd w:val="clear" w:color="auto" w:fill="CCEEFF"/>
          </w:tcPr>
          <w:p>
            <w:pPr>
              <w:ind w:left="20"/>
              <w:spacing w:after="0" w:line="109" w:lineRule="exact"/>
              <w:rPr>
                <w:sz w:val="20"/>
                <w:szCs w:val="20"/>
                <w:color w:val="auto"/>
              </w:rPr>
            </w:pPr>
            <w:r>
              <w:rPr>
                <w:rFonts w:ascii="Arial" w:cs="Arial" w:eastAsia="Arial" w:hAnsi="Arial"/>
                <w:sz w:val="12"/>
                <w:szCs w:val="12"/>
                <w:color w:val="auto"/>
              </w:rPr>
              <w:t>Net income attributable to common</w:t>
            </w:r>
          </w:p>
        </w:tc>
        <w:tc>
          <w:tcPr>
            <w:tcW w:w="220" w:type="dxa"/>
            <w:vAlign w:val="bottom"/>
            <w:vMerge w:val="restart"/>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270,268</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70,003</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132,755</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65,685</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691,223</w:t>
            </w:r>
          </w:p>
        </w:tc>
        <w:tc>
          <w:tcPr>
            <w:tcW w:w="1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193,345</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247,093</w:t>
            </w:r>
          </w:p>
        </w:tc>
        <w:tc>
          <w:tcPr>
            <w:tcW w:w="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164,082</w:t>
            </w: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diluted</w:t>
            </w: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60" w:type="dxa"/>
            <w:vAlign w:val="bottom"/>
            <w:gridSpan w:val="3"/>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9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9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Weighted-average shares used in</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rPr>
              <w:t>computing net income per share</w:t>
            </w: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w w:val="98"/>
              </w:rPr>
              <w:t>attributable to common stockholders,</w:t>
            </w: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241,227,457</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56,147,554</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196,393,625</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88,389,381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236,362,585</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59,285,041</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176,047,037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106,517,444</w:t>
            </w:r>
          </w:p>
        </w:tc>
        <w:tc>
          <w:tcPr>
            <w:tcW w:w="0" w:type="dxa"/>
            <w:vAlign w:val="bottom"/>
          </w:tcPr>
          <w:p>
            <w:pPr>
              <w:spacing w:after="0"/>
              <w:rPr>
                <w:sz w:val="1"/>
                <w:szCs w:val="1"/>
                <w:color w:val="auto"/>
              </w:rPr>
            </w:pPr>
          </w:p>
        </w:tc>
      </w:tr>
      <w:tr>
        <w:trPr>
          <w:trHeight w:val="160"/>
        </w:trPr>
        <w:tc>
          <w:tcPr>
            <w:tcW w:w="1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basic</w:t>
            </w:r>
          </w:p>
        </w:tc>
        <w:tc>
          <w:tcPr>
            <w:tcW w:w="2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980" w:type="dxa"/>
            <w:vAlign w:val="bottom"/>
          </w:tcPr>
          <w:p>
            <w:pPr>
              <w:ind w:left="20"/>
              <w:spacing w:after="0" w:line="126" w:lineRule="exact"/>
              <w:rPr>
                <w:sz w:val="20"/>
                <w:szCs w:val="20"/>
                <w:color w:val="auto"/>
              </w:rPr>
            </w:pPr>
            <w:r>
              <w:rPr>
                <w:rFonts w:ascii="Arial" w:cs="Arial" w:eastAsia="Arial" w:hAnsi="Arial"/>
                <w:sz w:val="12"/>
                <w:szCs w:val="12"/>
                <w:color w:val="auto"/>
              </w:rPr>
              <w:t>Weighted-average shares used in</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20"/>
              <w:spacing w:after="0" w:line="122" w:lineRule="exact"/>
              <w:rPr>
                <w:sz w:val="20"/>
                <w:szCs w:val="20"/>
                <w:color w:val="auto"/>
              </w:rPr>
            </w:pPr>
            <w:r>
              <w:rPr>
                <w:rFonts w:ascii="Arial" w:cs="Arial" w:eastAsia="Arial" w:hAnsi="Arial"/>
                <w:sz w:val="12"/>
                <w:szCs w:val="12"/>
                <w:color w:val="auto"/>
              </w:rPr>
              <w:t>computing net income per share</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20"/>
              <w:spacing w:after="0" w:line="122" w:lineRule="exact"/>
              <w:rPr>
                <w:sz w:val="20"/>
                <w:szCs w:val="20"/>
                <w:color w:val="auto"/>
              </w:rPr>
            </w:pPr>
            <w:r>
              <w:rPr>
                <w:rFonts w:ascii="Arial" w:cs="Arial" w:eastAsia="Arial" w:hAnsi="Arial"/>
                <w:sz w:val="12"/>
                <w:szCs w:val="12"/>
                <w:color w:val="auto"/>
                <w:w w:val="98"/>
              </w:rPr>
              <w:t>attributable to common stockholders,</w:t>
            </w:r>
          </w:p>
        </w:tc>
        <w:tc>
          <w:tcPr>
            <w:tcW w:w="2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243,024,399</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62,915,225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200,202,338</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99,056,427</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238,904,473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66,822,260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178,844,073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118,761,868</w:t>
            </w:r>
          </w:p>
        </w:tc>
        <w:tc>
          <w:tcPr>
            <w:tcW w:w="0" w:type="dxa"/>
            <w:vAlign w:val="bottom"/>
          </w:tcPr>
          <w:p>
            <w:pPr>
              <w:spacing w:after="0"/>
              <w:rPr>
                <w:sz w:val="1"/>
                <w:szCs w:val="1"/>
                <w:color w:val="auto"/>
              </w:rPr>
            </w:pPr>
          </w:p>
        </w:tc>
      </w:tr>
      <w:tr>
        <w:trPr>
          <w:trHeight w:val="157"/>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diluted</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80" w:type="dxa"/>
            <w:vAlign w:val="bottom"/>
            <w:shd w:val="clear" w:color="auto" w:fill="CCEEFF"/>
          </w:tcPr>
          <w:p>
            <w:pPr>
              <w:ind w:left="20"/>
              <w:spacing w:after="0" w:line="109" w:lineRule="exact"/>
              <w:rPr>
                <w:sz w:val="20"/>
                <w:szCs w:val="20"/>
                <w:color w:val="auto"/>
              </w:rPr>
            </w:pPr>
            <w:r>
              <w:rPr>
                <w:rFonts w:ascii="Arial" w:cs="Arial" w:eastAsia="Arial" w:hAnsi="Arial"/>
                <w:sz w:val="12"/>
                <w:szCs w:val="12"/>
                <w:color w:val="auto"/>
              </w:rPr>
              <w:t>Net income per share attributable to</w:t>
            </w:r>
          </w:p>
        </w:tc>
        <w:tc>
          <w:tcPr>
            <w:tcW w:w="220" w:type="dxa"/>
            <w:vAlign w:val="bottom"/>
            <w:vMerge w:val="restart"/>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0.70</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0.70</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2.99</w:t>
            </w:r>
          </w:p>
        </w:tc>
        <w:tc>
          <w:tcPr>
            <w:tcW w:w="1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2.99</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stockholders, basic</w:t>
            </w: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60" w:type="dxa"/>
            <w:vAlign w:val="bottom"/>
            <w:gridSpan w:val="3"/>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Net income per share attributable to</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980" w:type="dxa"/>
            <w:vAlign w:val="bottom"/>
            <w:vMerge w:val="continue"/>
          </w:tcPr>
          <w:p>
            <w:pPr>
              <w:spacing w:after="0"/>
              <w:rPr>
                <w:sz w:val="5"/>
                <w:szCs w:val="5"/>
                <w:color w:val="auto"/>
              </w:rPr>
            </w:pPr>
          </w:p>
        </w:tc>
        <w:tc>
          <w:tcPr>
            <w:tcW w:w="220" w:type="dxa"/>
            <w:vAlign w:val="bottom"/>
            <w:vMerge w:val="restart"/>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1.11</w:t>
            </w:r>
          </w:p>
        </w:tc>
        <w:tc>
          <w:tcPr>
            <w:tcW w:w="80" w:type="dxa"/>
            <w:vAlign w:val="bottom"/>
          </w:tcPr>
          <w:p>
            <w:pPr>
              <w:spacing w:after="0"/>
              <w:rPr>
                <w:sz w:val="5"/>
                <w:szCs w:val="5"/>
                <w:color w:val="auto"/>
              </w:rPr>
            </w:pPr>
          </w:p>
        </w:tc>
        <w:tc>
          <w:tcPr>
            <w:tcW w:w="220" w:type="dxa"/>
            <w:vAlign w:val="bottom"/>
            <w:vMerge w:val="restart"/>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1.11</w:t>
            </w:r>
          </w:p>
        </w:tc>
        <w:tc>
          <w:tcPr>
            <w:tcW w:w="80" w:type="dxa"/>
            <w:vAlign w:val="bottom"/>
          </w:tcPr>
          <w:p>
            <w:pPr>
              <w:spacing w:after="0"/>
              <w:rPr>
                <w:sz w:val="5"/>
                <w:szCs w:val="5"/>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0.66</w:t>
            </w:r>
          </w:p>
        </w:tc>
        <w:tc>
          <w:tcPr>
            <w:tcW w:w="80" w:type="dxa"/>
            <w:vAlign w:val="bottom"/>
          </w:tcPr>
          <w:p>
            <w:pPr>
              <w:spacing w:after="0"/>
              <w:rPr>
                <w:sz w:val="5"/>
                <w:szCs w:val="5"/>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0.66</w:t>
            </w:r>
          </w:p>
        </w:tc>
        <w:tc>
          <w:tcPr>
            <w:tcW w:w="80" w:type="dxa"/>
            <w:vAlign w:val="bottom"/>
          </w:tcPr>
          <w:p>
            <w:pPr>
              <w:spacing w:after="0"/>
              <w:rPr>
                <w:sz w:val="5"/>
                <w:szCs w:val="5"/>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2"/>
                <w:szCs w:val="12"/>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2.89</w:t>
            </w:r>
          </w:p>
        </w:tc>
        <w:tc>
          <w:tcPr>
            <w:tcW w:w="100" w:type="dxa"/>
            <w:vAlign w:val="bottom"/>
          </w:tcPr>
          <w:p>
            <w:pPr>
              <w:spacing w:after="0"/>
              <w:rPr>
                <w:sz w:val="5"/>
                <w:szCs w:val="5"/>
                <w:color w:val="auto"/>
              </w:rPr>
            </w:pPr>
          </w:p>
        </w:tc>
        <w:tc>
          <w:tcPr>
            <w:tcW w:w="240" w:type="dxa"/>
            <w:vAlign w:val="bottom"/>
            <w:vMerge w:val="restart"/>
          </w:tcPr>
          <w:p>
            <w:pPr>
              <w:jc w:val="right"/>
              <w:ind w:right="99"/>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2.89</w:t>
            </w:r>
          </w:p>
        </w:tc>
        <w:tc>
          <w:tcPr>
            <w:tcW w:w="100" w:type="dxa"/>
            <w:vAlign w:val="bottom"/>
          </w:tcPr>
          <w:p>
            <w:pPr>
              <w:spacing w:after="0"/>
              <w:rPr>
                <w:sz w:val="5"/>
                <w:szCs w:val="5"/>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2"/>
                <w:szCs w:val="12"/>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1.38</w:t>
            </w:r>
          </w:p>
        </w:tc>
        <w:tc>
          <w:tcPr>
            <w:tcW w:w="36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39"/>
        </w:trPr>
        <w:tc>
          <w:tcPr>
            <w:tcW w:w="1980" w:type="dxa"/>
            <w:vAlign w:val="bottom"/>
          </w:tcPr>
          <w:p>
            <w:pPr>
              <w:ind w:left="20"/>
              <w:spacing w:after="0"/>
              <w:rPr>
                <w:sz w:val="20"/>
                <w:szCs w:val="20"/>
                <w:color w:val="auto"/>
              </w:rPr>
            </w:pPr>
            <w:r>
              <w:rPr>
                <w:rFonts w:ascii="Arial" w:cs="Arial" w:eastAsia="Arial" w:hAnsi="Arial"/>
                <w:sz w:val="12"/>
                <w:szCs w:val="12"/>
                <w:color w:val="auto"/>
              </w:rPr>
              <w:t>common stockholders, diluted</w:t>
            </w:r>
          </w:p>
        </w:tc>
        <w:tc>
          <w:tcPr>
            <w:tcW w:w="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potential shares of common stock that were excluded from the computation of diluted net income per share attributable to common stockholders for the periods presented, because including them</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20"/>
                <w:szCs w:val="20"/>
                <w:color w:val="auto"/>
              </w:rPr>
            </w:pPr>
            <w:r>
              <w:rPr>
                <w:rFonts w:ascii="Arial" w:cs="Arial" w:eastAsia="Arial" w:hAnsi="Arial"/>
                <w:sz w:val="14"/>
                <w:szCs w:val="14"/>
                <w:color w:val="auto"/>
              </w:rPr>
              <w:t>would</w:t>
            </w:r>
          </w:p>
        </w:tc>
        <w:tc>
          <w:tcPr>
            <w:tcW w:w="1680" w:type="dxa"/>
            <w:vAlign w:val="bottom"/>
            <w:gridSpan w:val="4"/>
          </w:tcPr>
          <w:p>
            <w:pPr>
              <w:jc w:val="right"/>
              <w:ind w:right="1340"/>
              <w:spacing w:after="0"/>
              <w:rPr>
                <w:sz w:val="20"/>
                <w:szCs w:val="20"/>
                <w:color w:val="auto"/>
              </w:rPr>
            </w:pPr>
            <w:r>
              <w:rPr>
                <w:rFonts w:ascii="Arial" w:cs="Arial" w:eastAsia="Arial" w:hAnsi="Arial"/>
                <w:sz w:val="14"/>
                <w:szCs w:val="14"/>
                <w:color w:val="auto"/>
              </w:rPr>
              <w:t>have</w:t>
            </w:r>
          </w:p>
        </w:tc>
        <w:tc>
          <w:tcPr>
            <w:tcW w:w="780" w:type="dxa"/>
            <w:vAlign w:val="bottom"/>
            <w:gridSpan w:val="2"/>
          </w:tcPr>
          <w:p>
            <w:pPr>
              <w:ind w:left="160"/>
              <w:spacing w:after="0"/>
              <w:rPr>
                <w:sz w:val="20"/>
                <w:szCs w:val="20"/>
                <w:color w:val="auto"/>
              </w:rPr>
            </w:pPr>
            <w:r>
              <w:rPr>
                <w:rFonts w:ascii="Arial" w:cs="Arial" w:eastAsia="Arial" w:hAnsi="Arial"/>
                <w:sz w:val="14"/>
                <w:szCs w:val="14"/>
                <w:color w:val="auto"/>
              </w:rPr>
              <w:t>been</w:t>
            </w:r>
          </w:p>
        </w:tc>
        <w:tc>
          <w:tcPr>
            <w:tcW w:w="1100" w:type="dxa"/>
            <w:vAlign w:val="bottom"/>
          </w:tcPr>
          <w:p>
            <w:pPr>
              <w:spacing w:after="0"/>
              <w:rPr>
                <w:sz w:val="15"/>
                <w:szCs w:val="15"/>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4"/>
                <w:szCs w:val="14"/>
                <w:color w:val="auto"/>
                <w:w w:val="96"/>
              </w:rPr>
              <w:t>anti-dilutive,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4"/>
                <w:szCs w:val="14"/>
                <w:color w:val="auto"/>
              </w:rPr>
              <w:t>are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as</w:t>
            </w:r>
          </w:p>
        </w:tc>
        <w:tc>
          <w:tcPr>
            <w:tcW w:w="1120" w:type="dxa"/>
            <w:vAlign w:val="bottom"/>
          </w:tcPr>
          <w:p>
            <w:pPr>
              <w:ind w:left="680"/>
              <w:spacing w:after="0"/>
              <w:rPr>
                <w:sz w:val="20"/>
                <w:szCs w:val="20"/>
                <w:color w:val="auto"/>
              </w:rPr>
            </w:pPr>
            <w:r>
              <w:rPr>
                <w:rFonts w:ascii="Arial" w:cs="Arial" w:eastAsia="Arial" w:hAnsi="Arial"/>
                <w:sz w:val="14"/>
                <w:szCs w:val="14"/>
                <w:color w:val="auto"/>
                <w:w w:val="89"/>
              </w:rPr>
              <w:t>follows:</w:t>
            </w:r>
          </w:p>
        </w:tc>
        <w:tc>
          <w:tcPr>
            <w:tcW w:w="0" w:type="dxa"/>
            <w:vAlign w:val="bottom"/>
          </w:tcPr>
          <w:p>
            <w:pPr>
              <w:spacing w:after="0"/>
              <w:rPr>
                <w:sz w:val="1"/>
                <w:szCs w:val="1"/>
                <w:color w:val="auto"/>
              </w:rPr>
            </w:pPr>
          </w:p>
        </w:tc>
      </w:tr>
      <w:tr>
        <w:trPr>
          <w:trHeight w:val="150"/>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w w:val="98"/>
              </w:rPr>
              <w:t>Three Months Ended October 31,</w:t>
            </w: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1"/>
                <w:szCs w:val="11"/>
                <w:b w:val="1"/>
                <w:bCs w:val="1"/>
                <w:color w:val="auto"/>
              </w:rPr>
              <w:t>Nine Months Ended October 31,</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606"/>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800"/>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33"/>
        </w:trPr>
        <w:tc>
          <w:tcPr>
            <w:tcW w:w="17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Class A</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Class B</w:t>
            </w:r>
          </w:p>
        </w:tc>
        <w:tc>
          <w:tcPr>
            <w:tcW w:w="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Class A</w:t>
            </w: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Class B</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Class A</w:t>
            </w: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Class B</w:t>
            </w:r>
          </w:p>
        </w:tc>
        <w:tc>
          <w:tcPr>
            <w:tcW w:w="10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Class A</w:t>
            </w:r>
          </w:p>
        </w:tc>
        <w:tc>
          <w:tcPr>
            <w:tcW w:w="1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Class B</w:t>
            </w:r>
          </w:p>
        </w:tc>
        <w:tc>
          <w:tcPr>
            <w:tcW w:w="0" w:type="dxa"/>
            <w:vAlign w:val="bottom"/>
          </w:tcPr>
          <w:p>
            <w:pPr>
              <w:spacing w:after="0"/>
              <w:rPr>
                <w:sz w:val="1"/>
                <w:szCs w:val="1"/>
                <w:color w:val="auto"/>
              </w:rPr>
            </w:pPr>
          </w:p>
        </w:tc>
      </w:tr>
      <w:tr>
        <w:trPr>
          <w:trHeight w:val="154"/>
        </w:trPr>
        <w:tc>
          <w:tcPr>
            <w:tcW w:w="17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Unvested RSUs</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816,953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39,872</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473,104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200,420</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1760" w:type="dxa"/>
            <w:vAlign w:val="bottom"/>
          </w:tcPr>
          <w:p>
            <w:pPr>
              <w:ind w:left="380"/>
              <w:spacing w:after="0" w:line="126" w:lineRule="exact"/>
              <w:rPr>
                <w:sz w:val="20"/>
                <w:szCs w:val="20"/>
                <w:color w:val="auto"/>
              </w:rPr>
            </w:pPr>
            <w:r>
              <w:rPr>
                <w:rFonts w:ascii="Arial" w:cs="Arial" w:eastAsia="Arial" w:hAnsi="Arial"/>
                <w:sz w:val="12"/>
                <w:szCs w:val="12"/>
                <w:color w:val="auto"/>
                <w:w w:val="95"/>
              </w:rPr>
              <w:t>Purchase rights committed</w:t>
            </w:r>
          </w:p>
        </w:tc>
        <w:tc>
          <w:tcPr>
            <w:tcW w:w="100" w:type="dxa"/>
            <w:vAlign w:val="bottom"/>
            <w:vMerge w:val="restart"/>
          </w:tcPr>
          <w:p>
            <w:pPr>
              <w:spacing w:after="0"/>
              <w:rPr>
                <w:sz w:val="10"/>
                <w:szCs w:val="10"/>
                <w:color w:val="auto"/>
              </w:rPr>
            </w:pPr>
          </w:p>
        </w:tc>
        <w:tc>
          <w:tcPr>
            <w:tcW w:w="1120" w:type="dxa"/>
            <w:vAlign w:val="bottom"/>
            <w:vMerge w:val="restart"/>
          </w:tcPr>
          <w:p>
            <w:pPr>
              <w:jc w:val="right"/>
              <w:ind w:right="3"/>
              <w:spacing w:after="0"/>
              <w:rPr>
                <w:sz w:val="20"/>
                <w:szCs w:val="20"/>
                <w:color w:val="auto"/>
              </w:rPr>
            </w:pPr>
            <w:r>
              <w:rPr>
                <w:rFonts w:ascii="Arial" w:cs="Arial" w:eastAsia="Arial" w:hAnsi="Arial"/>
                <w:sz w:val="12"/>
                <w:szCs w:val="12"/>
                <w:color w:val="auto"/>
              </w:rPr>
              <w:t>584,212</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vMerge w:val="restart"/>
          </w:tcPr>
          <w:p>
            <w:pPr>
              <w:ind w:left="54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284,454</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vMerge w:val="restart"/>
          </w:tcPr>
          <w:p>
            <w:pPr>
              <w:ind w:left="54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10"/>
                <w:szCs w:val="10"/>
                <w:color w:val="auto"/>
              </w:rPr>
            </w:pPr>
          </w:p>
        </w:tc>
        <w:tc>
          <w:tcPr>
            <w:tcW w:w="1120" w:type="dxa"/>
            <w:vAlign w:val="bottom"/>
            <w:vMerge w:val="restart"/>
          </w:tcPr>
          <w:p>
            <w:pPr>
              <w:ind w:left="9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1760" w:type="dxa"/>
            <w:vAlign w:val="bottom"/>
            <w:tcBorders>
              <w:bottom w:val="single" w:sz="8" w:color="CCEEFF"/>
            </w:tcBorders>
          </w:tcPr>
          <w:p>
            <w:pPr>
              <w:jc w:val="right"/>
              <w:ind w:right="917"/>
              <w:spacing w:after="0"/>
              <w:rPr>
                <w:sz w:val="20"/>
                <w:szCs w:val="20"/>
                <w:color w:val="auto"/>
              </w:rPr>
            </w:pPr>
            <w:r>
              <w:rPr>
                <w:rFonts w:ascii="Arial" w:cs="Arial" w:eastAsia="Arial" w:hAnsi="Arial"/>
                <w:sz w:val="12"/>
                <w:szCs w:val="12"/>
                <w:color w:val="auto"/>
                <w:w w:val="88"/>
              </w:rPr>
              <w:t>under the ESPP</w:t>
            </w:r>
          </w:p>
        </w:tc>
        <w:tc>
          <w:tcPr>
            <w:tcW w:w="100" w:type="dxa"/>
            <w:vAlign w:val="bottom"/>
            <w:tcBorders>
              <w:bottom w:val="single" w:sz="8" w:color="CCEEFF"/>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jc w:val="right"/>
              <w:ind w:right="917"/>
              <w:spacing w:after="0"/>
              <w:rPr>
                <w:sz w:val="20"/>
                <w:szCs w:val="20"/>
                <w:color w:val="auto"/>
              </w:rPr>
            </w:pPr>
            <w:r>
              <w:rPr>
                <w:rFonts w:ascii="Arial" w:cs="Arial" w:eastAsia="Arial" w:hAnsi="Arial"/>
                <w:sz w:val="12"/>
                <w:szCs w:val="12"/>
                <w:color w:val="auto"/>
              </w:rPr>
              <w:t>Total</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1,401,165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39,872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757,558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200,420</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The table above does not include 405,156 shares of issued Class A common stock held by us as of October 31, 2021 and 2020 that are reserved for the sole purpose of being transferred to nonprofit organizations.</w:t>
      </w:r>
    </w:p>
    <w:p>
      <w:pPr>
        <w:spacing w:after="0" w:line="117"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86"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345" w:lineRule="auto"/>
        <w:rPr>
          <w:sz w:val="20"/>
          <w:szCs w:val="20"/>
          <w:color w:val="auto"/>
        </w:rPr>
      </w:pPr>
      <w:r>
        <w:rPr>
          <w:rFonts w:ascii="Arial" w:cs="Arial" w:eastAsia="Arial" w:hAnsi="Arial"/>
          <w:sz w:val="12"/>
          <w:szCs w:val="12"/>
          <w:i w:val="1"/>
          <w:iCs w:val="1"/>
          <w:color w:val="auto"/>
        </w:rPr>
        <w:t>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mission is to make video communications frictionless and secure.</w:t>
      </w:r>
    </w:p>
    <w:p>
      <w:pPr>
        <w:spacing w:after="0" w:line="84"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We provide a communications platform that delivers happiness and helps our users express ideas and connect to others. We connect people through our communications platform, which encompasses unified communications, developer, and events solutions. Our platform is chosen by enterprises around the globe because it is reliable; scalable; secure; easy to deploy, use, and manage; provides an attractive return on investment; and integrates with a vast ecosystem of applications and physical spaces. We believe that face-to-face communications build greater empathy and trust. We strive to live up to the trust our customers place in us by delivering a communications solution while prioritizing their privacy and security. Our 22 co-located data centers worldwide and the public cloud enable us to provide both high-quality and high-definition, real-time video to our customers even in low-bandwidth environments.</w:t>
      </w:r>
    </w:p>
    <w:p>
      <w:pPr>
        <w:spacing w:after="0" w:line="38"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We generate revenue from the sale of subscriptions to our communications platform. Subscription revenue is driven primarily by the number of paid hosts as well as purchases of additional products, including Zoom Rooms, Zoom Video Webinars, Zoom Phone, Zoom Events, and Hardware-as-a-Service (“HaaS”) for rooms and phones. A host is any user of our communications platform who initiates a Zoom Meeting and invites one or more participants to join that meeting. We refer to hosts who subscribe to a paid Zoom Meeting plan as “paid hosts.” We define a customer as a separate and distinct buying entity, which can be a single paid user or host or an organization of any size (including a distinct unit of an organization) that has multiple paid hosts. Our Basic offering is free and gives hosts access to Zoom Meetings with core features but with the limitation that meetings with more than two endpoints time-out at 40 minutes. Our paid offerings include our Pro, Business, Enterprise, Education, and Healthcare plans, which provide incremental features and functionality, such as different participant limits, administrative controls, and reporting.</w:t>
      </w:r>
    </w:p>
    <w:p>
      <w:pPr>
        <w:spacing w:after="0" w:line="40"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three specific markets (United States/Canada, United Kingdom/Ireland, and Australia/New Zealand). In addition, we introduced the Global Select plan in August 2020, which allows customers to select from local numbers and domestic calling in more than 45 countries and territories where Zoom has local public switched telephone network (“PSTN”) coverage. In addition, the Zoom United plan launched in December 2020 provides a single license for customers to purchase Zoom Phone, Meetings and chat capabilities as a bundled offering.</w:t>
      </w:r>
    </w:p>
    <w:p>
      <w:pPr>
        <w:spacing w:after="0" w:line="69"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auto"/>
        </w:rPr>
        <w:t>Our revenue was $1,050.8 million and $777.2 million for the three months ended October 31, 2021 and 2020, respectively, representing period-over-period growth of 35%. We had net income of $340.4 million and $198.6 million for the three months ended October 31, 2021 and 2020, respectively. Our revenue was $3,028.5 million and $1,768.9 million for the nine months ended October 31, 2021 and 2020, respectively, representing period-over-period growth of 71%. We had net income of $885.0 million and $411.7 million for the nine months ended October 31, 2021 and 2020, respectively. Net cash provided by operating activities was $1,395.9 million and $1,071.8 million for the nine months ended October 31, 2021 and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the COVID-19 Pandemic</w:t>
      </w:r>
    </w:p>
    <w:p>
      <w:pPr>
        <w:spacing w:after="0" w:line="86"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In March 2020, the World Health Organization declared COVID-19 a pandemic, affecting many countries around the world. Governments have instituted lockdown or other similar measures to slow infection rates. Many organizations have resorted to mandating employees to work from home, which has resulted in these organizations seeking out video communication solutions like ours to keep employees as productive as possible, even while working from home. Schools, colleges, and universities globally have also closed as a result of this pandemic. Many of these institutions are utilizing our platform to provide remote instruction to their students. To help teachers and students navigate this unprecedented situation, we have temporarily removed the 40-minute time limit for meetings with more than two endpoints from our free Basic accounts for more than 125,000 K-12 domains worldwide.</w:t>
      </w:r>
    </w:p>
    <w:p>
      <w:pPr>
        <w:spacing w:after="0" w:line="38"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While we have experienced a significant increase in paid hosts and revenue due to the pandemic, the aforementioned factors have also driven increased usage of our services and have required us to expand our network, data storage, and processing capacity, both in our own co-located data centers as well as through third-party cloud hosting, which has resulted, and is continuing to result, in an increase in our operating costs. Furthermore, a significant portion of the increase in usage of our platform is attributable to free Basic accounts and our removal of the time limit for school domains, which do not generate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any revenue, but still require us to incur these additional operating costs to expand our capacity. Therefore, the recent increase in usage of our platform has adversely affected, and may continue to adversely affect, our gross margin.</w:t>
      </w:r>
    </w:p>
    <w:p>
      <w:pPr>
        <w:spacing w:after="0" w:line="58"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In addition, there is no assurance that we will experience an increase in paid hosts or that new or existing users will continue to utilize our service after the COVID-19 pandemic has tapered globally. Moreover, the tapering of the COVID-19 pandemic, particularly as vaccines become widely available and distributed, may result in a decline in paid hosts and users once individuals are no longer working or attending school from home.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Acquiring New Customers</w:t>
      </w:r>
    </w:p>
    <w:p>
      <w:pPr>
        <w:spacing w:after="0" w:line="84"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Expansion of Zoom Across Existing Customers</w:t>
      </w:r>
    </w:p>
    <w:p>
      <w:pPr>
        <w:spacing w:after="0" w:line="84"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We believe that there is a large opportunity for growth with many of our existing customers. Many customers have increased the size of their subscriptions as they have expanded their use of our platform across their operations. Some of our larger enterprise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Zoom HaaS, Zoom for Home, Zoom Rooms at each office location, Developer Platform solutions, Zoom Events, and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40"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2"/>
          <w:szCs w:val="12"/>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We then calculate the ARR from these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for customers with more than 10 employees was greater than 130% as of October 31, 2021 and 2020.</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Innovation and Expansion of Our Platform</w:t>
      </w:r>
    </w:p>
    <w:p>
      <w:pPr>
        <w:spacing w:after="0" w:line="84"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We continue to invest resources to enhance the capabilities of our platform. For example, we have recently introduced a number of product enhancements, including new features for Zoom Phone, Zoom Meetings, and Zoom Video Webinars. We addressed new work-from-home realities with the introduction of Zoom for Home, a solution designed for the home office that combines Zoom software enhancements with compatible hardware. We also expanded our geographic footprint with Zoom Phone availability to a total of 46 countries and territories as of October 31, 2021.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An end-to-end encryption (“E2EE”) option is available to free and paid Zoom customers globally who host meetings with up to 200 participants. Zoom’s E2EE uses the same AES-256-GCM encryption that secures Zoom meetings by default, but with Zoom’s new E2EE, the meeting host generates encryption keys and uses public key cryptography to distribute these keys to the other meeting participants.</w:t>
      </w:r>
    </w:p>
    <w:p>
      <w:pPr>
        <w:spacing w:after="0" w:line="6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In October 2020, we introduced two additions to the Zoom platform: OnZoom and Zoom Apps. OnZoom is an online event platform for Zoom users to create and host free, paid, and fundraising events. OnZoom is currently offered as a public beta for U.S. users to attend online events. Zoom Apps, which became generally available in July 2021, is a new type of in-product integration that lets users bring their apps into Zoom Meetings to make their meetings more efficient and engaging.</w:t>
      </w:r>
    </w:p>
    <w:p>
      <w:pPr>
        <w:spacing w:after="0" w:line="6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In July 2021, we introduced Zoom Events. Zoom Events provides everything users need to build, host, and manage a virtual or hybrid event. Its capabilities include branded event hubs, multi-session events, chat-based attendee networking, and customizable ticketing and registration. In September 2021, we introduced Zoom Events Conference, an upcoming event type that will allow hosts to organize multi-track and multi-day events. Additionally, we announced new security features and end-to-end encryption for Zoom Phone.</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International Expansion</w:t>
      </w:r>
    </w:p>
    <w:p>
      <w:pPr>
        <w:spacing w:after="0" w:line="84"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Our platform addresses the communications needs of users worldwide, and we see international expansion as a major opportunity. Our revenue from the rest of world (APAC and EMEA) represented 33% and 31% of our total revenue for the three months ended October 31, 2021 and 2020, respectively, and 33% and 30% of our total revenue for the nine months ended October 31, 2021 and 2020,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Metrics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review the following key business metrics to measure our performance, identify trends, formulate financial projections, and make strategic decisions.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Customers with More Than 10 Employees</w:t>
      </w:r>
    </w:p>
    <w:p>
      <w:pPr>
        <w:spacing w:after="0" w:line="84"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October 31, 2021 and 2020, we had approximately 512,100 and 433,700 customers, respectively, with more than 10 employees. When disclosing the number of customers, we round down to the nearest hundred.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Customers Contributing More Than $100,000 of Trailing 12 Months Revenue</w:t>
      </w:r>
    </w:p>
    <w:p>
      <w:pPr>
        <w:spacing w:after="0" w:line="84"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auto"/>
        </w:rPr>
        <w:t>We focus on growing the number of customers that contribute more than $100,000 of trailing 12 months revenue as it is a measure of our ability to scale with our customers and attract larger organizations to Zoom. Revenue from these customers represented 22% and 18% of total revenue for the three months ended October 31, 2021 and 2020, respectively, and 21% and 20% of total revenue for the nine months ended October 31, 2021 and 2020, respectively. As of October 31, 2021 and 2020, we had 2,507 and 1,289 customers, respectively, that contributed more than $100,000 of trailing 12 months revenue, demonstrating our rapid penetration of larger organizations, including enterprises. These customers are a subset of the customers with more than 10 employees.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addition to our results determined in accordance with GAAP, we believe that free cash flow (“FCF”), a non-GAAP financial measure, is useful in evaluating our liquidity.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Free Cash Flow</w:t>
      </w:r>
    </w:p>
    <w:p>
      <w:pPr>
        <w:spacing w:after="0" w:line="84"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314" w:lineRule="auto"/>
        <w:rPr>
          <w:sz w:val="20"/>
          <w:szCs w:val="20"/>
          <w:color w:val="auto"/>
        </w:rPr>
      </w:pPr>
      <w:r>
        <w:rPr>
          <w:rFonts w:ascii="Arial" w:cs="Arial" w:eastAsia="Arial" w:hAnsi="Arial"/>
          <w:sz w:val="12"/>
          <w:szCs w:val="12"/>
          <w:color w:val="auto"/>
        </w:rPr>
        <w:t>presented for supplemental informational purposes only,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3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The following table presents a summary of our cash flows for the periods presented and a reconciliation of FCF to net cash provided by operating activities, the most directly comparable financial measure calculated in accordance with GAAP:</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8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Nine Months Ended October 31,</w:t>
            </w: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840" w:type="dxa"/>
            <w:vAlign w:val="bottom"/>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w w:val="89"/>
              </w:rPr>
              <w:t>2020</w:t>
            </w:r>
          </w:p>
        </w:tc>
        <w:tc>
          <w:tcPr>
            <w:tcW w:w="0" w:type="dxa"/>
            <w:vAlign w:val="bottom"/>
          </w:tcPr>
          <w:p>
            <w:pPr>
              <w:spacing w:after="0"/>
              <w:rPr>
                <w:sz w:val="1"/>
                <w:szCs w:val="1"/>
                <w:color w:val="auto"/>
              </w:rPr>
            </w:pPr>
          </w:p>
        </w:tc>
      </w:tr>
      <w:tr>
        <w:trPr>
          <w:trHeight w:val="160"/>
        </w:trPr>
        <w:tc>
          <w:tcPr>
            <w:tcW w:w="7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gridSpan w:val="3"/>
          </w:tcPr>
          <w:p>
            <w:pPr>
              <w:jc w:val="right"/>
              <w:ind w:right="352"/>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shd w:val="clear" w:color="auto" w:fill="CFF0FC"/>
          </w:tcPr>
          <w:p>
            <w:pPr>
              <w:jc w:val="right"/>
              <w:ind w:right="815"/>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1,395,870</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1,071,781</w:t>
            </w:r>
          </w:p>
        </w:tc>
        <w:tc>
          <w:tcPr>
            <w:tcW w:w="0" w:type="dxa"/>
            <w:vAlign w:val="bottom"/>
          </w:tcPr>
          <w:p>
            <w:pPr>
              <w:spacing w:after="0"/>
              <w:rPr>
                <w:sz w:val="1"/>
                <w:szCs w:val="1"/>
                <w:color w:val="auto"/>
              </w:rPr>
            </w:pPr>
          </w:p>
        </w:tc>
      </w:tr>
      <w:tr>
        <w:trPr>
          <w:trHeight w:val="17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purchases of property and equipment</w:t>
            </w: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(111,816)</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(58,517)</w:t>
            </w:r>
          </w:p>
        </w:tc>
        <w:tc>
          <w:tcPr>
            <w:tcW w:w="0" w:type="dxa"/>
            <w:vAlign w:val="bottom"/>
          </w:tcPr>
          <w:p>
            <w:pPr>
              <w:spacing w:after="0"/>
              <w:rPr>
                <w:sz w:val="1"/>
                <w:szCs w:val="1"/>
                <w:color w:val="auto"/>
              </w:rPr>
            </w:pPr>
          </w:p>
        </w:tc>
      </w:tr>
      <w:tr>
        <w:trPr>
          <w:trHeight w:val="189"/>
        </w:trPr>
        <w:tc>
          <w:tcPr>
            <w:tcW w:w="7840" w:type="dxa"/>
            <w:vAlign w:val="bottom"/>
            <w:tcBorders>
              <w:bottom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Free cash flow (non-GAAP)</w:t>
            </w:r>
          </w:p>
        </w:tc>
        <w:tc>
          <w:tcPr>
            <w:tcW w:w="96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1,284,054</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1,013,264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840" w:type="dxa"/>
            <w:vAlign w:val="bottom"/>
            <w:vMerge w:val="continue"/>
          </w:tcPr>
          <w:p>
            <w:pPr>
              <w:spacing w:after="0"/>
              <w:rPr>
                <w:sz w:val="11"/>
                <w:szCs w:val="11"/>
                <w:color w:val="auto"/>
              </w:rPr>
            </w:pPr>
          </w:p>
        </w:tc>
        <w:tc>
          <w:tcPr>
            <w:tcW w:w="960" w:type="dxa"/>
            <w:vAlign w:val="bottom"/>
            <w:tcBorders>
              <w:bottom w:val="single" w:sz="8" w:color="auto"/>
            </w:tcBorders>
          </w:tcPr>
          <w:p>
            <w:pPr>
              <w:jc w:val="right"/>
              <w:ind w:right="815"/>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4"/>
              </w:rPr>
              <w:t>(2,367,098)</w:t>
            </w:r>
          </w:p>
        </w:tc>
        <w:tc>
          <w:tcPr>
            <w:tcW w:w="100" w:type="dxa"/>
            <w:vAlign w:val="bottom"/>
          </w:tcPr>
          <w:p>
            <w:pPr>
              <w:spacing w:after="0"/>
              <w:rPr>
                <w:sz w:val="11"/>
                <w:szCs w:val="11"/>
                <w:color w:val="auto"/>
              </w:rPr>
            </w:pPr>
          </w:p>
        </w:tc>
        <w:tc>
          <w:tcPr>
            <w:tcW w:w="700" w:type="dxa"/>
            <w:vAlign w:val="bottom"/>
            <w:tcBorders>
              <w:bottom w:val="single" w:sz="8" w:color="auto"/>
            </w:tcBorders>
          </w:tcPr>
          <w:p>
            <w:pPr>
              <w:jc w:val="right"/>
              <w:ind w:right="552"/>
              <w:spacing w:after="0" w:line="13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(673,377)</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840" w:type="dxa"/>
            <w:vAlign w:val="bottom"/>
            <w:tcBorders>
              <w:bottom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Net cash provided by financing activities</w:t>
            </w:r>
          </w:p>
        </w:tc>
        <w:tc>
          <w:tcPr>
            <w:tcW w:w="960" w:type="dxa"/>
            <w:vAlign w:val="bottom"/>
            <w:tcBorders>
              <w:bottom w:val="single" w:sz="8" w:color="auto"/>
            </w:tcBorders>
            <w:shd w:val="clear" w:color="auto" w:fill="CCEEFF"/>
          </w:tcPr>
          <w:p>
            <w:pPr>
              <w:jc w:val="right"/>
              <w:ind w:right="815"/>
              <w:spacing w:after="0" w:line="154"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auto"/>
              </w:rPr>
              <w:t>20,885</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2"/>
              <w:spacing w:after="0" w:line="154"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auto"/>
              </w:rPr>
              <w:t>296,242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Revenue</w:t>
      </w:r>
    </w:p>
    <w:p>
      <w:pPr>
        <w:spacing w:after="0" w:line="84"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We derive our revenue from subscription agreements with customers for access to our communications platform. Our customers generally do not have the ability to take possession of our software. We also provide services, which include professional services, consulting services, and online event hosting, which are generally considered distinct from the access to our communications platform.</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Cost of Revenue</w:t>
      </w:r>
    </w:p>
    <w:p>
      <w:pPr>
        <w:spacing w:after="0" w:line="84"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Cost of revenue primarily consists of costs related to hosting our communications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 We expect our cost of revenue to increase in absolute dollars for the foreseeable future, as we expand our data center capacity due to increased usage stemming from the COVID-19 pandemic. However, the cost of revenue as a percentage of revenue may decrease over time as we scale our data centers to accommodate usage from our increased customer base and as the ratio of free to paid users varies.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Research and Development</w:t>
      </w:r>
    </w:p>
    <w:p>
      <w:pPr>
        <w:spacing w:after="0" w:line="84"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primarily by increasing research and development headcount, as we focus on further developing our platform, enhancing its use cases, and strengthening security and privacy. As a result, we expect our research and development expenses to increase both in absolute dollars and as a percentage of revenue for the rest of the current fiscal year.</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Sales and Marketing</w:t>
      </w:r>
    </w:p>
    <w:p>
      <w:pPr>
        <w:spacing w:after="0" w:line="84"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 We plan to increase our investment in sales and marketing over the foreseeable future, primarily by increasing the headcount of our direct sales force and marketing investments in demand generation. As a result, we expect our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sales and marketing expenses to increase both in absolute dollars and as a percentage of revenue for the rest of the current fiscal year.</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General and Administrative</w:t>
      </w:r>
    </w:p>
    <w:p>
      <w:pPr>
        <w:spacing w:after="0" w:line="84"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General and administrative expenses primarily consist of personnel-related expenses associated with our finance and legal organizations; professional fees for external legal, accounting, and other consulting services; expected credit losses; insurance; indirect taxes; litigation settlements; and allocated overhead. We expect to increase the size of our general and administrative function to support the growth and complexity of our business. As a result, we expect our general and administrative expenses to increase both in absolute dollars and as a percentage of revenue for the rest of the current fiscal year.</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Gains on Strategic Investments, Net</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Gains on strategic investments, net consist primarily of remeasurement gains or losses on our equity investments.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Interest Income and Other, Net</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income and other, net consists primarily of interest income and net accretion on our marketable securities and effect of changes in foreign currency exchange rates.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Provision for income taxes consists primarily of income taxes related to federal, state, and foreign jurisdictions where we conduct business.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tables set forth selected condensed consolidated statements of operations data and such data as a percentage of revenue for each of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440" w:type="dxa"/>
            <w:vAlign w:val="bottom"/>
          </w:tcPr>
          <w:p>
            <w:pPr>
              <w:spacing w:after="0"/>
              <w:rPr>
                <w:sz w:val="12"/>
                <w:szCs w:val="12"/>
                <w:color w:val="auto"/>
              </w:rPr>
            </w:pPr>
          </w:p>
        </w:tc>
        <w:tc>
          <w:tcPr>
            <w:tcW w:w="278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1"/>
                <w:szCs w:val="11"/>
                <w:b w:val="1"/>
                <w:bCs w:val="1"/>
                <w:color w:val="auto"/>
              </w:rPr>
              <w:t>Three Months Ended October 31,</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Nine Months Ended October 31,</w:t>
            </w:r>
          </w:p>
        </w:tc>
        <w:tc>
          <w:tcPr>
            <w:tcW w:w="940" w:type="dxa"/>
            <w:vAlign w:val="bottom"/>
            <w:tcBorders>
              <w:bottom w:val="single" w:sz="8" w:color="auto"/>
            </w:tcBorders>
          </w:tcPr>
          <w:p>
            <w:pPr>
              <w:spacing w:after="0"/>
              <w:rPr>
                <w:sz w:val="12"/>
                <w:szCs w:val="12"/>
                <w:color w:val="auto"/>
              </w:rPr>
            </w:pPr>
          </w:p>
        </w:tc>
      </w:tr>
      <w:tr>
        <w:trPr>
          <w:trHeight w:val="136"/>
        </w:trPr>
        <w:tc>
          <w:tcPr>
            <w:tcW w:w="4440" w:type="dxa"/>
            <w:vAlign w:val="bottom"/>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w w:val="81"/>
              </w:rPr>
              <w:t>2020</w:t>
            </w:r>
          </w:p>
        </w:tc>
      </w:tr>
      <w:tr>
        <w:trPr>
          <w:trHeight w:val="160"/>
        </w:trPr>
        <w:tc>
          <w:tcPr>
            <w:tcW w:w="4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gridSpan w:val="3"/>
          </w:tcPr>
          <w:p>
            <w:pPr>
              <w:jc w:val="right"/>
              <w:ind w:right="132"/>
              <w:spacing w:after="0"/>
              <w:rPr>
                <w:sz w:val="20"/>
                <w:szCs w:val="20"/>
                <w:color w:val="auto"/>
              </w:rPr>
            </w:pPr>
            <w:r>
              <w:rPr>
                <w:rFonts w:ascii="Arial" w:cs="Arial" w:eastAsia="Arial" w:hAnsi="Arial"/>
                <w:sz w:val="11"/>
                <w:szCs w:val="11"/>
                <w:b w:val="1"/>
                <w:bCs w:val="1"/>
                <w:color w:val="auto"/>
              </w:rPr>
              <w:t>(in thousands)</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8"/>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1,050,756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7"/>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777,196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3,028,488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1,768,883</w:t>
            </w:r>
          </w:p>
        </w:tc>
      </w:tr>
      <w:tr>
        <w:trPr>
          <w:trHeight w:val="173"/>
        </w:trPr>
        <w:tc>
          <w:tcPr>
            <w:tcW w:w="4440" w:type="dxa"/>
            <w:vAlign w:val="bottom"/>
            <w:tcBorders>
              <w:bottom w:val="single" w:sz="8" w:color="CCEEFF"/>
            </w:tcBorders>
          </w:tcPr>
          <w:p>
            <w:pPr>
              <w:ind w:left="20"/>
              <w:spacing w:after="0" w:line="173" w:lineRule="exact"/>
              <w:rPr>
                <w:sz w:val="20"/>
                <w:szCs w:val="20"/>
                <w:color w:val="auto"/>
              </w:rPr>
            </w:pPr>
            <w:r>
              <w:rPr>
                <w:rFonts w:ascii="Arial" w:cs="Arial" w:eastAsia="Arial" w:hAnsi="Arial"/>
                <w:sz w:val="14"/>
                <w:szCs w:val="14"/>
                <w:color w:val="auto"/>
              </w:rPr>
              <w:t xml:space="preserve">Cost of revenue </w:t>
            </w:r>
            <w:r>
              <w:rPr>
                <w:rFonts w:ascii="Arial" w:cs="Arial" w:eastAsia="Arial" w:hAnsi="Arial"/>
                <w:sz w:val="17"/>
                <w:szCs w:val="17"/>
                <w:color w:val="auto"/>
                <w:vertAlign w:val="superscript"/>
              </w:rPr>
              <w:t>(1)</w:t>
            </w: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270,957</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258,727</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797,207</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554,705</w:t>
            </w:r>
          </w:p>
        </w:tc>
      </w:tr>
      <w:tr>
        <w:trPr>
          <w:trHeight w:val="16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9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779,799</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518,469</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2,231,281</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1,214,178</w:t>
            </w:r>
          </w:p>
        </w:tc>
      </w:tr>
      <w:tr>
        <w:trPr>
          <w:trHeight w:val="153"/>
        </w:trPr>
        <w:tc>
          <w:tcPr>
            <w:tcW w:w="4440" w:type="dxa"/>
            <w:vAlign w:val="bottom"/>
          </w:tcPr>
          <w:p>
            <w:pPr>
              <w:ind w:left="20"/>
              <w:spacing w:after="0" w:line="153" w:lineRule="exact"/>
              <w:rPr>
                <w:sz w:val="20"/>
                <w:szCs w:val="20"/>
                <w:color w:val="auto"/>
              </w:rPr>
            </w:pPr>
            <w:r>
              <w:rPr>
                <w:rFonts w:ascii="Arial" w:cs="Arial" w:eastAsia="Arial" w:hAnsi="Arial"/>
                <w:sz w:val="14"/>
                <w:szCs w:val="14"/>
                <w:color w:val="auto"/>
              </w:rPr>
              <w:t>Operating expenses:</w:t>
            </w: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4"/>
        </w:trPr>
        <w:tc>
          <w:tcPr>
            <w:tcW w:w="4440" w:type="dxa"/>
            <w:vAlign w:val="bottom"/>
            <w:shd w:val="clear" w:color="auto" w:fill="CCEEFF"/>
          </w:tcPr>
          <w:p>
            <w:pPr>
              <w:ind w:left="160"/>
              <w:spacing w:after="0" w:line="174" w:lineRule="exact"/>
              <w:rPr>
                <w:sz w:val="20"/>
                <w:szCs w:val="20"/>
                <w:color w:val="auto"/>
              </w:rPr>
            </w:pPr>
            <w:r>
              <w:rPr>
                <w:rFonts w:ascii="Arial" w:cs="Arial" w:eastAsia="Arial" w:hAnsi="Arial"/>
                <w:sz w:val="14"/>
                <w:szCs w:val="14"/>
                <w:color w:val="auto"/>
              </w:rPr>
              <w:t xml:space="preserve">Research and development </w:t>
            </w:r>
            <w:r>
              <w:rPr>
                <w:rFonts w:ascii="Arial" w:cs="Arial" w:eastAsia="Arial" w:hAnsi="Arial"/>
                <w:sz w:val="17"/>
                <w:szCs w:val="17"/>
                <w:color w:val="auto"/>
                <w:vertAlign w:val="superscript"/>
              </w:rPr>
              <w:t>(1)</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98,508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42,582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245,994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111,705</w:t>
            </w:r>
          </w:p>
        </w:tc>
      </w:tr>
      <w:tr>
        <w:trPr>
          <w:trHeight w:val="173"/>
        </w:trPr>
        <w:tc>
          <w:tcPr>
            <w:tcW w:w="4440" w:type="dxa"/>
            <w:vAlign w:val="bottom"/>
          </w:tcPr>
          <w:p>
            <w:pPr>
              <w:ind w:left="160"/>
              <w:spacing w:after="0" w:line="173" w:lineRule="exact"/>
              <w:rPr>
                <w:sz w:val="20"/>
                <w:szCs w:val="20"/>
                <w:color w:val="auto"/>
              </w:rPr>
            </w:pPr>
            <w:r>
              <w:rPr>
                <w:rFonts w:ascii="Arial" w:cs="Arial" w:eastAsia="Arial" w:hAnsi="Arial"/>
                <w:sz w:val="14"/>
                <w:szCs w:val="14"/>
                <w:color w:val="auto"/>
              </w:rPr>
              <w:t xml:space="preserve">Sales and marketing </w:t>
            </w:r>
            <w:r>
              <w:rPr>
                <w:rFonts w:ascii="Arial" w:cs="Arial" w:eastAsia="Arial" w:hAnsi="Arial"/>
                <w:sz w:val="17"/>
                <w:szCs w:val="17"/>
                <w:color w:val="auto"/>
                <w:vertAlign w:val="superscript"/>
              </w:rPr>
              <w:t>(1)</w:t>
            </w: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293,698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190,157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810,544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470,886</w:t>
            </w:r>
          </w:p>
        </w:tc>
      </w:tr>
      <w:tr>
        <w:trPr>
          <w:trHeight w:val="173"/>
        </w:trPr>
        <w:tc>
          <w:tcPr>
            <w:tcW w:w="4440" w:type="dxa"/>
            <w:vAlign w:val="bottom"/>
            <w:shd w:val="clear" w:color="auto" w:fill="CCEEFF"/>
          </w:tcPr>
          <w:p>
            <w:pPr>
              <w:ind w:left="160"/>
              <w:spacing w:after="0" w:line="173" w:lineRule="exact"/>
              <w:rPr>
                <w:sz w:val="20"/>
                <w:szCs w:val="20"/>
                <w:color w:val="auto"/>
              </w:rPr>
            </w:pPr>
            <w:r>
              <w:rPr>
                <w:rFonts w:ascii="Arial" w:cs="Arial" w:eastAsia="Arial" w:hAnsi="Arial"/>
                <w:sz w:val="14"/>
                <w:szCs w:val="14"/>
                <w:color w:val="auto"/>
              </w:rPr>
              <w:t xml:space="preserve">General and administrative </w:t>
            </w:r>
            <w:r>
              <w:rPr>
                <w:rFonts w:ascii="Arial" w:cs="Arial" w:eastAsia="Arial" w:hAnsi="Arial"/>
                <w:sz w:val="17"/>
                <w:szCs w:val="17"/>
                <w:color w:val="auto"/>
                <w:vertAlign w:val="superscript"/>
              </w:rPr>
              <w:t>(1)</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96,736</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93,488</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362,971</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227,856</w:t>
            </w:r>
          </w:p>
        </w:tc>
      </w:tr>
      <w:tr>
        <w:trPr>
          <w:trHeight w:val="164"/>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operating expenses</w:t>
            </w: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488,942</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326,227</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1,419,509</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810,447</w:t>
            </w:r>
          </w:p>
        </w:tc>
      </w:tr>
      <w:tr>
        <w:trPr>
          <w:trHeight w:val="16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290,857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192,242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811,772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403,731</w:t>
            </w:r>
          </w:p>
        </w:tc>
      </w:tr>
      <w:tr>
        <w:trPr>
          <w:trHeight w:val="173"/>
        </w:trPr>
        <w:tc>
          <w:tcPr>
            <w:tcW w:w="4440" w:type="dxa"/>
            <w:vAlign w:val="bottom"/>
          </w:tcPr>
          <w:p>
            <w:pPr>
              <w:ind w:left="20"/>
              <w:spacing w:after="0"/>
              <w:rPr>
                <w:sz w:val="20"/>
                <w:szCs w:val="20"/>
                <w:color w:val="auto"/>
              </w:rPr>
            </w:pPr>
            <w:r>
              <w:rPr>
                <w:rFonts w:ascii="Arial" w:cs="Arial" w:eastAsia="Arial" w:hAnsi="Arial"/>
                <w:sz w:val="14"/>
                <w:szCs w:val="14"/>
                <w:color w:val="auto"/>
              </w:rPr>
              <w:t>Gains on strategic investments, net</w:t>
            </w: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122,421</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154,497</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2,538</w:t>
            </w:r>
          </w:p>
        </w:tc>
      </w:tr>
      <w:tr>
        <w:trPr>
          <w:trHeight w:val="17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and other, net</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(2,995)</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(3,171)</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7,112</w:t>
            </w:r>
          </w:p>
        </w:tc>
      </w:tr>
      <w:tr>
        <w:trPr>
          <w:trHeight w:val="164"/>
        </w:trPr>
        <w:tc>
          <w:tcPr>
            <w:tcW w:w="4440" w:type="dxa"/>
            <w:vAlign w:val="bottom"/>
          </w:tcPr>
          <w:p>
            <w:pPr>
              <w:ind w:left="20"/>
              <w:spacing w:after="0"/>
              <w:rPr>
                <w:sz w:val="20"/>
                <w:szCs w:val="20"/>
                <w:color w:val="auto"/>
              </w:rPr>
            </w:pPr>
            <w:r>
              <w:rPr>
                <w:rFonts w:ascii="Arial" w:cs="Arial" w:eastAsia="Arial" w:hAnsi="Arial"/>
                <w:sz w:val="14"/>
                <w:szCs w:val="14"/>
                <w:color w:val="auto"/>
              </w:rPr>
              <w:t>Income before provision for (benefit from) income taxes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410,283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194,021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963,098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413,381</w:t>
            </w:r>
          </w:p>
        </w:tc>
      </w:tr>
      <w:tr>
        <w:trPr>
          <w:trHeight w:val="17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69,900</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(4,621)</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78,100</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r>
      <w:tr>
        <w:trPr>
          <w:trHeight w:val="164"/>
        </w:trPr>
        <w:tc>
          <w:tcPr>
            <w:tcW w:w="4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340,383</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198,642</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884,998</w:t>
            </w: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411,706</w:t>
            </w:r>
          </w:p>
        </w:tc>
      </w:tr>
      <w:tr>
        <w:trPr>
          <w:trHeight w:val="20"/>
        </w:trPr>
        <w:tc>
          <w:tcPr>
            <w:tcW w:w="4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60" w:hanging="145"/>
        <w:spacing w:after="0"/>
        <w:tabs>
          <w:tab w:leader="none" w:pos="16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Includes stock-based compensation expense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revenue</w:t>
            </w:r>
          </w:p>
        </w:tc>
        <w:tc>
          <w:tcPr>
            <w:tcW w:w="600" w:type="dxa"/>
            <w:vAlign w:val="bottom"/>
            <w:shd w:val="clear" w:color="auto" w:fill="CFF0FC"/>
          </w:tcPr>
          <w:p>
            <w:pPr>
              <w:jc w:val="right"/>
              <w:ind w:right="452"/>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17,206</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92"/>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11,287</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72"/>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46,050</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72"/>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22,263</w:t>
            </w:r>
          </w:p>
        </w:tc>
      </w:tr>
      <w:tr>
        <w:trPr>
          <w:trHeight w:val="173"/>
        </w:trPr>
        <w:tc>
          <w:tcPr>
            <w:tcW w:w="44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27,879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16,035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71,615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31,269</w:t>
            </w:r>
          </w:p>
        </w:tc>
      </w:tr>
      <w:tr>
        <w:trPr>
          <w:trHeight w:val="174"/>
        </w:trPr>
        <w:tc>
          <w:tcPr>
            <w:tcW w:w="4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6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54,220</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46,716</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156,888</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96,237</w:t>
            </w:r>
          </w:p>
        </w:tc>
      </w:tr>
      <w:tr>
        <w:trPr>
          <w:trHeight w:val="173"/>
        </w:trPr>
        <w:tc>
          <w:tcPr>
            <w:tcW w:w="444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General and administrative</w:t>
            </w: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15,496</w:t>
            </w: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19,887</w:t>
            </w:r>
          </w:p>
        </w:tc>
        <w:tc>
          <w:tcPr>
            <w:tcW w:w="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41,359</w:t>
            </w:r>
          </w:p>
        </w:tc>
        <w:tc>
          <w:tcPr>
            <w:tcW w:w="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29,788</w:t>
            </w:r>
          </w:p>
        </w:tc>
      </w:tr>
      <w:tr>
        <w:trPr>
          <w:trHeight w:val="189"/>
        </w:trPr>
        <w:tc>
          <w:tcPr>
            <w:tcW w:w="44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4"/>
                <w:szCs w:val="14"/>
                <w:color w:val="auto"/>
              </w:rPr>
              <w:t>Total stock-based compensation expense</w:t>
            </w:r>
          </w:p>
        </w:tc>
        <w:tc>
          <w:tcPr>
            <w:tcW w:w="600" w:type="dxa"/>
            <w:vAlign w:val="bottom"/>
            <w:tcBorders>
              <w:bottom w:val="single" w:sz="8" w:color="auto"/>
            </w:tcBorders>
            <w:shd w:val="clear" w:color="auto" w:fill="CFF0FC"/>
          </w:tcPr>
          <w:p>
            <w:pPr>
              <w:jc w:val="right"/>
              <w:ind w:right="45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114,801</w:t>
            </w: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92"/>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93,925</w:t>
            </w:r>
          </w:p>
        </w:tc>
        <w:tc>
          <w:tcPr>
            <w:tcW w:w="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7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315,912</w:t>
            </w:r>
          </w:p>
        </w:tc>
        <w:tc>
          <w:tcPr>
            <w:tcW w:w="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72"/>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179,557</w:t>
            </w: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r>
        <w:trPr>
          <w:trHeight w:val="613"/>
        </w:trPr>
        <w:tc>
          <w:tcPr>
            <w:tcW w:w="4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3"/>
        </w:trPr>
        <w:tc>
          <w:tcPr>
            <w:tcW w:w="44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-24765</wp:posOffset>
            </wp:positionV>
            <wp:extent cx="3175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-24765</wp:posOffset>
            </wp:positionV>
            <wp:extent cx="3175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26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w w:val="89"/>
              </w:rPr>
              <w:t>Three Months Ended October 31,</w:t>
            </w: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w w:val="88"/>
              </w:rPr>
              <w:t>Nine Months Ended October 31,</w:t>
            </w:r>
          </w:p>
        </w:tc>
        <w:tc>
          <w:tcPr>
            <w:tcW w:w="5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36"/>
        </w:trPr>
        <w:tc>
          <w:tcPr>
            <w:tcW w:w="4260" w:type="dxa"/>
            <w:vAlign w:val="bottom"/>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w w:val="81"/>
              </w:rPr>
              <w:t>2020</w:t>
            </w: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w w:val="89"/>
              </w:rPr>
              <w:t>2020</w:t>
            </w: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60"/>
        </w:trPr>
        <w:tc>
          <w:tcPr>
            <w:tcW w:w="4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00" w:type="dxa"/>
            <w:vAlign w:val="bottom"/>
            <w:gridSpan w:val="5"/>
          </w:tcPr>
          <w:p>
            <w:pPr>
              <w:jc w:val="right"/>
              <w:spacing w:after="0"/>
              <w:rPr>
                <w:sz w:val="20"/>
                <w:szCs w:val="20"/>
                <w:color w:val="auto"/>
              </w:rPr>
            </w:pPr>
            <w:r>
              <w:rPr>
                <w:rFonts w:ascii="Arial" w:cs="Arial" w:eastAsia="Arial" w:hAnsi="Arial"/>
                <w:sz w:val="11"/>
                <w:szCs w:val="11"/>
                <w:b w:val="1"/>
                <w:bCs w:val="1"/>
                <w:color w:val="auto"/>
              </w:rPr>
              <w:t>(as a percentage of revenue)</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8"/>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73"/>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640" w:type="dxa"/>
            <w:vAlign w:val="bottom"/>
          </w:tcPr>
          <w:p>
            <w:pPr>
              <w:jc w:val="right"/>
              <w:ind w:right="13"/>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5"/>
                <w:szCs w:val="15"/>
                <w:color w:val="auto"/>
              </w:rPr>
            </w:pPr>
          </w:p>
        </w:tc>
      </w:tr>
      <w:tr>
        <w:trPr>
          <w:trHeight w:val="164"/>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74</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69</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r>
      <w:tr>
        <w:trPr>
          <w:trHeight w:val="153"/>
        </w:trPr>
        <w:tc>
          <w:tcPr>
            <w:tcW w:w="4260" w:type="dxa"/>
            <w:vAlign w:val="bottom"/>
          </w:tcPr>
          <w:p>
            <w:pPr>
              <w:ind w:left="20"/>
              <w:spacing w:after="0" w:line="153" w:lineRule="exact"/>
              <w:rPr>
                <w:sz w:val="20"/>
                <w:szCs w:val="20"/>
                <w:color w:val="auto"/>
              </w:rPr>
            </w:pPr>
            <w:r>
              <w:rPr>
                <w:rFonts w:ascii="Arial" w:cs="Arial" w:eastAsia="Arial" w:hAnsi="Arial"/>
                <w:sz w:val="14"/>
                <w:szCs w:val="14"/>
                <w:color w:val="auto"/>
              </w:rPr>
              <w:t>Operating expenses:</w:t>
            </w: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5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Research and development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5"/>
                <w:szCs w:val="15"/>
                <w:color w:val="auto"/>
              </w:rPr>
            </w:pPr>
          </w:p>
        </w:tc>
      </w:tr>
      <w:tr>
        <w:trPr>
          <w:trHeight w:val="173"/>
        </w:trPr>
        <w:tc>
          <w:tcPr>
            <w:tcW w:w="5220" w:type="dxa"/>
            <w:vAlign w:val="bottom"/>
            <w:gridSpan w:val="2"/>
          </w:tcPr>
          <w:p>
            <w:pPr>
              <w:ind w:left="160"/>
              <w:spacing w:after="0"/>
              <w:rPr>
                <w:sz w:val="20"/>
                <w:szCs w:val="20"/>
                <w:color w:val="auto"/>
              </w:rPr>
            </w:pPr>
            <w:r>
              <w:rPr>
                <w:rFonts w:ascii="Arial" w:cs="Arial" w:eastAsia="Arial" w:hAnsi="Arial"/>
                <w:sz w:val="14"/>
                <w:szCs w:val="14"/>
                <w:color w:val="auto"/>
              </w:rPr>
              <w:t>Sales and marketing</w:t>
            </w:r>
          </w:p>
        </w:tc>
        <w:tc>
          <w:tcPr>
            <w:tcW w:w="640" w:type="dxa"/>
            <w:vAlign w:val="bottom"/>
          </w:tcPr>
          <w:p>
            <w:pPr>
              <w:jc w:val="right"/>
              <w:ind w:right="13"/>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5"/>
                <w:szCs w:val="15"/>
                <w:color w:val="auto"/>
              </w:rPr>
            </w:pPr>
          </w:p>
        </w:tc>
      </w:tr>
      <w:tr>
        <w:trPr>
          <w:trHeight w:val="174"/>
        </w:trPr>
        <w:tc>
          <w:tcPr>
            <w:tcW w:w="5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General and administrative</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5"/>
                <w:szCs w:val="15"/>
                <w:color w:val="auto"/>
              </w:rPr>
            </w:pPr>
          </w:p>
        </w:tc>
      </w:tr>
      <w:tr>
        <w:trPr>
          <w:trHeight w:val="164"/>
        </w:trPr>
        <w:tc>
          <w:tcPr>
            <w:tcW w:w="42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operating expenses</w:t>
            </w:r>
          </w:p>
        </w:tc>
        <w:tc>
          <w:tcPr>
            <w:tcW w:w="9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46</w:t>
            </w: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46</w:t>
            </w:r>
          </w:p>
        </w:tc>
        <w:tc>
          <w:tcPr>
            <w:tcW w:w="20" w:type="dxa"/>
            <w:vAlign w:val="bottom"/>
            <w:tcBorders>
              <w:top w:val="single" w:sz="8" w:color="auto"/>
              <w:bottom w:val="single" w:sz="8" w:color="auto"/>
            </w:tcBorders>
          </w:tcPr>
          <w:p>
            <w:pPr>
              <w:spacing w:after="0"/>
              <w:rPr>
                <w:sz w:val="14"/>
                <w:szCs w:val="14"/>
                <w:color w:val="auto"/>
              </w:rPr>
            </w:pPr>
          </w:p>
        </w:tc>
      </w:tr>
      <w:tr>
        <w:trPr>
          <w:trHeight w:val="164"/>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9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23</w:t>
            </w:r>
          </w:p>
        </w:tc>
        <w:tc>
          <w:tcPr>
            <w:tcW w:w="20" w:type="dxa"/>
            <w:vAlign w:val="bottom"/>
            <w:shd w:val="clear" w:color="auto" w:fill="CCEEFF"/>
          </w:tcPr>
          <w:p>
            <w:pPr>
              <w:spacing w:after="0"/>
              <w:rPr>
                <w:sz w:val="14"/>
                <w:szCs w:val="14"/>
                <w:color w:val="auto"/>
              </w:rPr>
            </w:pPr>
          </w:p>
        </w:tc>
      </w:tr>
      <w:tr>
        <w:trPr>
          <w:trHeight w:val="173"/>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Gains on strategic investments, net</w:t>
            </w:r>
          </w:p>
        </w:tc>
        <w:tc>
          <w:tcPr>
            <w:tcW w:w="640" w:type="dxa"/>
            <w:vAlign w:val="bottom"/>
          </w:tcPr>
          <w:p>
            <w:pPr>
              <w:jc w:val="right"/>
              <w:ind w:right="13"/>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15"/>
                <w:szCs w:val="15"/>
                <w:color w:val="auto"/>
              </w:rPr>
            </w:pPr>
          </w:p>
        </w:tc>
      </w:tr>
      <w:tr>
        <w:trPr>
          <w:trHeight w:val="174"/>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and other, net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5"/>
                <w:szCs w:val="15"/>
                <w:color w:val="auto"/>
              </w:rPr>
            </w:pPr>
          </w:p>
        </w:tc>
      </w:tr>
      <w:tr>
        <w:trPr>
          <w:trHeight w:val="164"/>
        </w:trPr>
        <w:tc>
          <w:tcPr>
            <w:tcW w:w="4260" w:type="dxa"/>
            <w:vAlign w:val="bottom"/>
          </w:tcPr>
          <w:p>
            <w:pPr>
              <w:ind w:left="20"/>
              <w:spacing w:after="0"/>
              <w:rPr>
                <w:sz w:val="20"/>
                <w:szCs w:val="20"/>
                <w:color w:val="auto"/>
              </w:rPr>
            </w:pPr>
            <w:r>
              <w:rPr>
                <w:rFonts w:ascii="Arial" w:cs="Arial" w:eastAsia="Arial" w:hAnsi="Arial"/>
                <w:sz w:val="14"/>
                <w:szCs w:val="14"/>
                <w:color w:val="auto"/>
              </w:rPr>
              <w:t>Income before provision for (benefit from) income taxes</w:t>
            </w:r>
          </w:p>
        </w:tc>
        <w:tc>
          <w:tcPr>
            <w:tcW w:w="9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23</w:t>
            </w:r>
          </w:p>
        </w:tc>
        <w:tc>
          <w:tcPr>
            <w:tcW w:w="20" w:type="dxa"/>
            <w:vAlign w:val="bottom"/>
            <w:tcBorders>
              <w:top w:val="single" w:sz="8" w:color="auto"/>
            </w:tcBorders>
          </w:tcPr>
          <w:p>
            <w:pPr>
              <w:spacing w:after="0"/>
              <w:rPr>
                <w:sz w:val="14"/>
                <w:szCs w:val="14"/>
                <w:color w:val="auto"/>
              </w:rPr>
            </w:pPr>
          </w:p>
        </w:tc>
      </w:tr>
      <w:tr>
        <w:trPr>
          <w:trHeight w:val="173"/>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9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shd w:val="clear" w:color="auto" w:fill="CCEEFF"/>
          </w:tcPr>
          <w:p>
            <w:pPr>
              <w:spacing w:after="0"/>
              <w:rPr>
                <w:sz w:val="15"/>
                <w:szCs w:val="15"/>
                <w:color w:val="auto"/>
              </w:rPr>
            </w:pPr>
          </w:p>
        </w:tc>
      </w:tr>
      <w:tr>
        <w:trPr>
          <w:trHeight w:val="164"/>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32 %</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4"/>
                <w:szCs w:val="14"/>
                <w:color w:val="auto"/>
              </w:rPr>
              <w:t>26 %</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29 %</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23 %</w:t>
            </w:r>
          </w:p>
        </w:tc>
      </w:tr>
      <w:tr>
        <w:trPr>
          <w:trHeight w:val="20"/>
        </w:trPr>
        <w:tc>
          <w:tcPr>
            <w:tcW w:w="4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60"/>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Comparison of the Three Months Ended October 31, 2021 and 2020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7"/>
        </w:trPr>
        <w:tc>
          <w:tcPr>
            <w:tcW w:w="5220" w:type="dxa"/>
            <w:vAlign w:val="bottom"/>
            <w:gridSpan w:val="2"/>
          </w:tcPr>
          <w:p>
            <w:pPr>
              <w:ind w:left="360"/>
              <w:spacing w:after="0"/>
              <w:rPr>
                <w:sz w:val="20"/>
                <w:szCs w:val="20"/>
                <w:color w:val="auto"/>
              </w:rPr>
            </w:pPr>
            <w:r>
              <w:rPr>
                <w:rFonts w:ascii="Arial" w:cs="Arial" w:eastAsia="Arial" w:hAnsi="Arial"/>
                <w:sz w:val="14"/>
                <w:szCs w:val="14"/>
                <w:b w:val="1"/>
                <w:bCs w:val="1"/>
                <w:i w:val="1"/>
                <w:iCs w:val="1"/>
                <w:color w:val="auto"/>
              </w:rPr>
              <w:t>Revenue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4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ind w:left="160"/>
              <w:spacing w:after="0"/>
              <w:rPr>
                <w:sz w:val="20"/>
                <w:szCs w:val="20"/>
                <w:color w:val="auto"/>
              </w:rPr>
            </w:pPr>
            <w:r>
              <w:rPr>
                <w:rFonts w:ascii="Arial" w:cs="Arial" w:eastAsia="Arial" w:hAnsi="Arial"/>
                <w:sz w:val="11"/>
                <w:szCs w:val="11"/>
                <w:b w:val="1"/>
                <w:bCs w:val="1"/>
                <w:color w:val="auto"/>
              </w:rPr>
              <w:t>Three Months Ended October 31,</w:t>
            </w: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6"/>
        </w:trPr>
        <w:tc>
          <w:tcPr>
            <w:tcW w:w="4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15"/>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w w:val="90"/>
              </w:rPr>
              <w:t>% Change</w:t>
            </w:r>
          </w:p>
        </w:tc>
        <w:tc>
          <w:tcPr>
            <w:tcW w:w="4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4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00" w:type="dxa"/>
            <w:vAlign w:val="bottom"/>
            <w:gridSpan w:val="5"/>
          </w:tcPr>
          <w:p>
            <w:pPr>
              <w:jc w:val="right"/>
              <w:ind w:right="279"/>
              <w:spacing w:after="0"/>
              <w:rPr>
                <w:sz w:val="20"/>
                <w:szCs w:val="20"/>
                <w:color w:val="auto"/>
              </w:rPr>
            </w:pPr>
            <w:r>
              <w:rPr>
                <w:rFonts w:ascii="Arial" w:cs="Arial" w:eastAsia="Arial" w:hAnsi="Arial"/>
                <w:sz w:val="11"/>
                <w:szCs w:val="11"/>
                <w:b w:val="1"/>
                <w:bCs w:val="1"/>
                <w:color w:val="auto"/>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8"/>
        </w:trPr>
        <w:tc>
          <w:tcPr>
            <w:tcW w:w="52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Revenue</w:t>
            </w:r>
          </w:p>
        </w:tc>
        <w:tc>
          <w:tcPr>
            <w:tcW w:w="1560" w:type="dxa"/>
            <w:vAlign w:val="bottom"/>
            <w:gridSpan w:val="4"/>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1,050,756</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79"/>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777,196</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14"/>
                <w:szCs w:val="14"/>
                <w:color w:val="auto"/>
              </w:rPr>
              <w:t>35</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bl>
    <w:p>
      <w:pPr>
        <w:spacing w:after="0" w:line="21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231F20"/>
        </w:rPr>
        <w:t xml:space="preserve">Revenue for the three months ended October 31, 2021 increased by $273.6 million, or 35%, compared to the three months ended October 31, 2020. The </w:t>
      </w:r>
      <w:r>
        <w:rPr>
          <w:rFonts w:ascii="Arial" w:cs="Arial" w:eastAsia="Arial" w:hAnsi="Arial"/>
          <w:sz w:val="14"/>
          <w:szCs w:val="14"/>
          <w:color w:val="000000"/>
        </w:rPr>
        <w:t>increase in revenue was due to a combination</w:t>
      </w:r>
      <w:r>
        <w:rPr>
          <w:rFonts w:ascii="Arial" w:cs="Arial" w:eastAsia="Arial" w:hAnsi="Arial"/>
          <w:sz w:val="14"/>
          <w:szCs w:val="14"/>
          <w:color w:val="231F20"/>
        </w:rPr>
        <w:t xml:space="preserve"> </w:t>
      </w:r>
      <w:r>
        <w:rPr>
          <w:rFonts w:ascii="Arial" w:cs="Arial" w:eastAsia="Arial" w:hAnsi="Arial"/>
          <w:sz w:val="14"/>
          <w:szCs w:val="14"/>
          <w:color w:val="000000"/>
        </w:rPr>
        <w:t>of subscription services provided to new customers, which accounted for approximately 74% of the increase, and subscription services provided to existing customers, which accounted for approximately 26% of the increase.</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Cost of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1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1"/>
                <w:szCs w:val="11"/>
                <w:b w:val="1"/>
                <w:bCs w:val="1"/>
                <w:color w:val="auto"/>
              </w:rPr>
              <w:t>Three Months Ended October 31,</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r>
      <w:tr>
        <w:trPr>
          <w:trHeight w:val="136"/>
        </w:trPr>
        <w:tc>
          <w:tcPr>
            <w:tcW w:w="5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2021</w:t>
            </w: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2020</w:t>
            </w: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 Change</w:t>
            </w:r>
          </w:p>
        </w:tc>
        <w:tc>
          <w:tcPr>
            <w:tcW w:w="260" w:type="dxa"/>
            <w:vAlign w:val="bottom"/>
            <w:tcBorders>
              <w:bottom w:val="single" w:sz="8" w:color="auto"/>
            </w:tcBorders>
          </w:tcPr>
          <w:p>
            <w:pPr>
              <w:spacing w:after="0"/>
              <w:rPr>
                <w:sz w:val="11"/>
                <w:szCs w:val="11"/>
                <w:color w:val="auto"/>
              </w:rPr>
            </w:pPr>
          </w:p>
        </w:tc>
      </w:tr>
      <w:tr>
        <w:trPr>
          <w:trHeight w:val="160"/>
        </w:trPr>
        <w:tc>
          <w:tcPr>
            <w:tcW w:w="5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gridSpan w:val="3"/>
          </w:tcPr>
          <w:p>
            <w:pPr>
              <w:jc w:val="right"/>
              <w:ind w:right="286"/>
              <w:spacing w:after="0"/>
              <w:rPr>
                <w:sz w:val="20"/>
                <w:szCs w:val="20"/>
                <w:color w:val="auto"/>
              </w:rPr>
            </w:pPr>
            <w:r>
              <w:rPr>
                <w:rFonts w:ascii="Arial" w:cs="Arial" w:eastAsia="Arial" w:hAnsi="Arial"/>
                <w:sz w:val="11"/>
                <w:szCs w:val="11"/>
                <w:b w:val="1"/>
                <w:bCs w:val="1"/>
                <w:color w:val="auto"/>
              </w:rPr>
              <w:t>(in thousands)</w:t>
            </w: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8"/>
        </w:trPr>
        <w:tc>
          <w:tcPr>
            <w:tcW w:w="5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Cost of revenue</w:t>
            </w:r>
          </w:p>
        </w:tc>
        <w:tc>
          <w:tcPr>
            <w:tcW w:w="800" w:type="dxa"/>
            <w:vAlign w:val="bottom"/>
            <w:shd w:val="clear" w:color="auto" w:fill="CFF0FC"/>
          </w:tcPr>
          <w:p>
            <w:pPr>
              <w:jc w:val="right"/>
              <w:ind w:right="272"/>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135"/>
              <w:spacing w:after="0"/>
              <w:rPr>
                <w:sz w:val="20"/>
                <w:szCs w:val="20"/>
                <w:color w:val="auto"/>
              </w:rPr>
            </w:pPr>
            <w:r>
              <w:rPr>
                <w:rFonts w:ascii="Arial" w:cs="Arial" w:eastAsia="Arial" w:hAnsi="Arial"/>
                <w:sz w:val="14"/>
                <w:szCs w:val="14"/>
                <w:color w:val="auto"/>
              </w:rPr>
              <w:t>270,957</w:t>
            </w:r>
          </w:p>
        </w:tc>
        <w:tc>
          <w:tcPr>
            <w:tcW w:w="1240" w:type="dxa"/>
            <w:vAlign w:val="bottom"/>
            <w:gridSpan w:val="3"/>
            <w:shd w:val="clear" w:color="auto" w:fill="CFF0FC"/>
          </w:tcPr>
          <w:p>
            <w:pPr>
              <w:jc w:val="right"/>
              <w:ind w:right="306"/>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255"/>
              <w:spacing w:after="0"/>
              <w:rPr>
                <w:sz w:val="20"/>
                <w:szCs w:val="20"/>
                <w:color w:val="auto"/>
              </w:rPr>
            </w:pPr>
            <w:r>
              <w:rPr>
                <w:rFonts w:ascii="Arial" w:cs="Arial" w:eastAsia="Arial" w:hAnsi="Arial"/>
                <w:sz w:val="14"/>
                <w:szCs w:val="14"/>
                <w:color w:val="auto"/>
              </w:rPr>
              <w:t>258,727</w:t>
            </w:r>
          </w:p>
        </w:tc>
        <w:tc>
          <w:tcPr>
            <w:tcW w:w="1740" w:type="dxa"/>
            <w:vAlign w:val="bottom"/>
            <w:gridSpan w:val="3"/>
            <w:shd w:val="clear" w:color="auto" w:fill="CFF0FC"/>
          </w:tcPr>
          <w:p>
            <w:pPr>
              <w:jc w:val="right"/>
              <w:ind w:right="206"/>
              <w:spacing w:after="0"/>
              <w:rPr>
                <w:sz w:val="20"/>
                <w:szCs w:val="20"/>
                <w:color w:val="auto"/>
              </w:rPr>
            </w:pPr>
            <w:r>
              <w:rPr>
                <w:rFonts w:ascii="Arial" w:cs="Arial" w:eastAsia="Arial" w:hAnsi="Arial"/>
                <w:sz w:val="14"/>
                <w:szCs w:val="14"/>
                <w:color w:val="auto"/>
              </w:rPr>
              <w:t>5</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5120" w:type="dxa"/>
            <w:vAlign w:val="bottom"/>
          </w:tcPr>
          <w:p>
            <w:pPr>
              <w:ind w:left="380"/>
              <w:spacing w:after="0"/>
              <w:rPr>
                <w:sz w:val="20"/>
                <w:szCs w:val="20"/>
                <w:color w:val="auto"/>
              </w:rPr>
            </w:pPr>
            <w:r>
              <w:rPr>
                <w:rFonts w:ascii="Arial" w:cs="Arial" w:eastAsia="Arial" w:hAnsi="Arial"/>
                <w:sz w:val="14"/>
                <w:szCs w:val="14"/>
                <w:color w:val="auto"/>
              </w:rPr>
              <w:t>Gross profit</w:t>
            </w:r>
          </w:p>
        </w:tc>
        <w:tc>
          <w:tcPr>
            <w:tcW w:w="800" w:type="dxa"/>
            <w:vAlign w:val="bottom"/>
          </w:tcPr>
          <w:p>
            <w:pPr>
              <w:spacing w:after="0"/>
              <w:rPr>
                <w:sz w:val="15"/>
                <w:szCs w:val="15"/>
                <w:color w:val="auto"/>
              </w:rPr>
            </w:pPr>
          </w:p>
        </w:tc>
        <w:tc>
          <w:tcPr>
            <w:tcW w:w="1000" w:type="dxa"/>
            <w:vAlign w:val="bottom"/>
          </w:tcPr>
          <w:p>
            <w:pPr>
              <w:jc w:val="right"/>
              <w:ind w:right="135"/>
              <w:spacing w:after="0"/>
              <w:rPr>
                <w:sz w:val="20"/>
                <w:szCs w:val="20"/>
                <w:color w:val="auto"/>
              </w:rPr>
            </w:pPr>
            <w:r>
              <w:rPr>
                <w:rFonts w:ascii="Arial" w:cs="Arial" w:eastAsia="Arial" w:hAnsi="Arial"/>
                <w:sz w:val="14"/>
                <w:szCs w:val="14"/>
                <w:color w:val="auto"/>
              </w:rPr>
              <w:t>779,799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jc w:val="right"/>
              <w:ind w:right="255"/>
              <w:spacing w:after="0"/>
              <w:rPr>
                <w:sz w:val="20"/>
                <w:szCs w:val="20"/>
                <w:color w:val="auto"/>
              </w:rPr>
            </w:pPr>
            <w:r>
              <w:rPr>
                <w:rFonts w:ascii="Arial" w:cs="Arial" w:eastAsia="Arial" w:hAnsi="Arial"/>
                <w:sz w:val="14"/>
                <w:szCs w:val="14"/>
                <w:color w:val="auto"/>
              </w:rPr>
              <w:t>518,469</w:t>
            </w:r>
          </w:p>
        </w:tc>
        <w:tc>
          <w:tcPr>
            <w:tcW w:w="1740" w:type="dxa"/>
            <w:vAlign w:val="bottom"/>
            <w:gridSpan w:val="3"/>
          </w:tcPr>
          <w:p>
            <w:pPr>
              <w:jc w:val="right"/>
              <w:ind w:right="206"/>
              <w:spacing w:after="0"/>
              <w:rPr>
                <w:sz w:val="20"/>
                <w:szCs w:val="20"/>
                <w:color w:val="auto"/>
              </w:rPr>
            </w:pPr>
            <w:r>
              <w:rPr>
                <w:rFonts w:ascii="Arial" w:cs="Arial" w:eastAsia="Arial" w:hAnsi="Arial"/>
                <w:sz w:val="14"/>
                <w:szCs w:val="14"/>
                <w:color w:val="auto"/>
              </w:rPr>
              <w:t>50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5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Gross margin</w:t>
            </w: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135"/>
              <w:spacing w:after="0"/>
              <w:rPr>
                <w:sz w:val="20"/>
                <w:szCs w:val="20"/>
                <w:color w:val="auto"/>
              </w:rPr>
            </w:pPr>
            <w:r>
              <w:rPr>
                <w:rFonts w:ascii="Arial" w:cs="Arial" w:eastAsia="Arial" w:hAnsi="Arial"/>
                <w:sz w:val="14"/>
                <w:szCs w:val="14"/>
                <w:color w:val="auto"/>
              </w:rPr>
              <w:t>74</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255"/>
              <w:spacing w:after="0"/>
              <w:rPr>
                <w:sz w:val="20"/>
                <w:szCs w:val="20"/>
                <w:color w:val="auto"/>
              </w:rPr>
            </w:pPr>
            <w:r>
              <w:rPr>
                <w:rFonts w:ascii="Arial" w:cs="Arial" w:eastAsia="Arial" w:hAnsi="Arial"/>
                <w:sz w:val="14"/>
                <w:szCs w:val="14"/>
                <w:color w:val="auto"/>
              </w:rPr>
              <w:t>67</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bl>
    <w:p>
      <w:pPr>
        <w:spacing w:after="0" w:line="224"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231F20"/>
        </w:rPr>
        <w:t xml:space="preserve">Cost of revenue for the three months ended October 31, 2021 increased by $12.2 million, or 5%, compared to the three months ended October 31, 2020. The increase was primarily due to an increase of $21.5 million in personnel-related expenses, which includes an increase of $5.9 million </w:t>
      </w:r>
      <w:r>
        <w:rPr>
          <w:rFonts w:ascii="Arial" w:cs="Arial" w:eastAsia="Arial" w:hAnsi="Arial"/>
          <w:sz w:val="12"/>
          <w:szCs w:val="12"/>
          <w:color w:val="000000"/>
        </w:rPr>
        <w:t>in stock-based compensation expense,</w:t>
      </w:r>
      <w:r>
        <w:rPr>
          <w:rFonts w:ascii="Arial" w:cs="Arial" w:eastAsia="Arial" w:hAnsi="Arial"/>
          <w:sz w:val="12"/>
          <w:szCs w:val="12"/>
          <w:color w:val="231F20"/>
        </w:rPr>
        <w:t xml:space="preserve"> mainly driven by additional headcount, and </w:t>
      </w:r>
      <w:r>
        <w:rPr>
          <w:rFonts w:ascii="Arial" w:cs="Arial" w:eastAsia="Arial" w:hAnsi="Arial"/>
          <w:sz w:val="12"/>
          <w:szCs w:val="12"/>
          <w:color w:val="000000"/>
        </w:rPr>
        <w:t>an increase of</w:t>
      </w:r>
      <w:r>
        <w:rPr>
          <w:rFonts w:ascii="Arial" w:cs="Arial" w:eastAsia="Arial" w:hAnsi="Arial"/>
          <w:sz w:val="12"/>
          <w:szCs w:val="12"/>
          <w:color w:val="231F20"/>
        </w:rPr>
        <w:t xml:space="preserve"> $6.8 million related to subscription to software-based services; partially offset by a decrease of $20.4 million in costs mainly related to third-party cloud hosting.</w:t>
      </w:r>
    </w:p>
    <w:p>
      <w:pPr>
        <w:spacing w:after="0" w:line="3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 xml:space="preserve">Gross margin increased to 74% for the three months ended </w:t>
      </w:r>
      <w:r>
        <w:rPr>
          <w:rFonts w:ascii="Arial" w:cs="Arial" w:eastAsia="Arial" w:hAnsi="Arial"/>
          <w:sz w:val="14"/>
          <w:szCs w:val="14"/>
          <w:color w:val="231F20"/>
        </w:rPr>
        <w:t>October 31, 2021</w:t>
      </w:r>
      <w:r>
        <w:rPr>
          <w:rFonts w:ascii="Arial" w:cs="Arial" w:eastAsia="Arial" w:hAnsi="Arial"/>
          <w:sz w:val="14"/>
          <w:szCs w:val="14"/>
          <w:color w:val="auto"/>
        </w:rPr>
        <w:t xml:space="preserve"> from 67% for the three months ended </w:t>
      </w:r>
      <w:r>
        <w:rPr>
          <w:rFonts w:ascii="Arial" w:cs="Arial" w:eastAsia="Arial" w:hAnsi="Arial"/>
          <w:sz w:val="14"/>
          <w:szCs w:val="14"/>
          <w:color w:val="231F20"/>
        </w:rPr>
        <w:t>October 31, 2020</w:t>
      </w:r>
      <w:r>
        <w:rPr>
          <w:rFonts w:ascii="Arial" w:cs="Arial" w:eastAsia="Arial" w:hAnsi="Arial"/>
          <w:sz w:val="14"/>
          <w:szCs w:val="14"/>
          <w:color w:val="auto"/>
        </w:rPr>
        <w:t>. The increase in gross margin was mainly due to increased efficiencies as we expanded our data center capacity to accommodate the increased usage as well as lower rates from third-party cloud hosting providers.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Research and Development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8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tcPr>
          <w:p>
            <w:pPr>
              <w:ind w:left="320"/>
              <w:spacing w:after="0"/>
              <w:rPr>
                <w:sz w:val="20"/>
                <w:szCs w:val="20"/>
                <w:color w:val="auto"/>
              </w:rPr>
            </w:pPr>
            <w:r>
              <w:rPr>
                <w:rFonts w:ascii="Arial" w:cs="Arial" w:eastAsia="Arial" w:hAnsi="Arial"/>
                <w:sz w:val="11"/>
                <w:szCs w:val="11"/>
                <w:b w:val="1"/>
                <w:bCs w:val="1"/>
                <w:color w:val="auto"/>
              </w:rPr>
              <w:t>Three Months Ended October 31,</w:t>
            </w:r>
          </w:p>
        </w:tc>
        <w:tc>
          <w:tcPr>
            <w:tcW w:w="10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6"/>
        </w:trPr>
        <w:tc>
          <w:tcPr>
            <w:tcW w:w="588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0"/>
        </w:trPr>
        <w:tc>
          <w:tcPr>
            <w:tcW w:w="5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8"/>
        </w:trPr>
        <w:tc>
          <w:tcPr>
            <w:tcW w:w="5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Research and development</w:t>
            </w:r>
          </w:p>
        </w:tc>
        <w:tc>
          <w:tcPr>
            <w:tcW w:w="1200" w:type="dxa"/>
            <w:vAlign w:val="bottom"/>
            <w:shd w:val="clear" w:color="auto" w:fill="CFF0FC"/>
          </w:tcPr>
          <w:p>
            <w:pPr>
              <w:jc w:val="right"/>
              <w:ind w:right="699"/>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98,508</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42,582</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4"/>
                <w:szCs w:val="14"/>
                <w:color w:val="auto"/>
              </w:rPr>
              <w:t>131</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4"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231F20"/>
        </w:rPr>
        <w:t xml:space="preserve">Research and development expense for the three months ended October 31, 2021 increased by $55.9 million, or 131%, compared to the three months ended October 31, 2020. </w:t>
      </w:r>
      <w:r>
        <w:rPr>
          <w:rFonts w:ascii="Arial" w:cs="Arial" w:eastAsia="Arial" w:hAnsi="Arial"/>
          <w:sz w:val="12"/>
          <w:szCs w:val="12"/>
          <w:color w:val="000000"/>
        </w:rPr>
        <w:t>The increase was</w:t>
      </w:r>
      <w:r>
        <w:rPr>
          <w:rFonts w:ascii="Arial" w:cs="Arial" w:eastAsia="Arial" w:hAnsi="Arial"/>
          <w:sz w:val="12"/>
          <w:szCs w:val="12"/>
          <w:color w:val="231F20"/>
        </w:rPr>
        <w:t xml:space="preserve"> </w:t>
      </w:r>
      <w:r>
        <w:rPr>
          <w:rFonts w:ascii="Arial" w:cs="Arial" w:eastAsia="Arial" w:hAnsi="Arial"/>
          <w:sz w:val="12"/>
          <w:szCs w:val="12"/>
          <w:color w:val="000000"/>
        </w:rPr>
        <w:t xml:space="preserve">primarily due to higher personnel-related expenses of </w:t>
      </w:r>
      <w:r>
        <w:rPr>
          <w:rFonts w:ascii="Arial" w:cs="Arial" w:eastAsia="Arial" w:hAnsi="Arial"/>
          <w:sz w:val="12"/>
          <w:szCs w:val="12"/>
          <w:color w:val="231F20"/>
        </w:rPr>
        <w:t>$47.0 million, which includes</w:t>
      </w:r>
      <w:r>
        <w:rPr>
          <w:rFonts w:ascii="Arial" w:cs="Arial" w:eastAsia="Arial" w:hAnsi="Arial"/>
          <w:sz w:val="12"/>
          <w:szCs w:val="12"/>
          <w:color w:val="000000"/>
        </w:rPr>
        <w:t xml:space="preserve"> a </w:t>
      </w:r>
      <w:r>
        <w:rPr>
          <w:rFonts w:ascii="Arial" w:cs="Arial" w:eastAsia="Arial" w:hAnsi="Arial"/>
          <w:sz w:val="12"/>
          <w:szCs w:val="12"/>
          <w:color w:val="231F20"/>
        </w:rPr>
        <w:t>$11.8 million</w:t>
      </w:r>
      <w:r>
        <w:rPr>
          <w:rFonts w:ascii="Arial" w:cs="Arial" w:eastAsia="Arial" w:hAnsi="Arial"/>
          <w:sz w:val="12"/>
          <w:szCs w:val="12"/>
          <w:color w:val="000000"/>
        </w:rPr>
        <w:t xml:space="preserve"> increase in stock-based compensation expense, mainly driven by additional headcount</w:t>
      </w:r>
      <w:r>
        <w:rPr>
          <w:rFonts w:ascii="Arial" w:cs="Arial" w:eastAsia="Arial" w:hAnsi="Arial"/>
          <w:sz w:val="12"/>
          <w:szCs w:val="12"/>
          <w:color w:val="231F20"/>
        </w:rPr>
        <w:t>.</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Sales and Marketing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tcPr>
          <w:p>
            <w:pPr>
              <w:ind w:left="300"/>
              <w:spacing w:after="0"/>
              <w:rPr>
                <w:sz w:val="20"/>
                <w:szCs w:val="20"/>
                <w:color w:val="auto"/>
              </w:rPr>
            </w:pPr>
            <w:r>
              <w:rPr>
                <w:rFonts w:ascii="Arial" w:cs="Arial" w:eastAsia="Arial" w:hAnsi="Arial"/>
                <w:sz w:val="11"/>
                <w:szCs w:val="11"/>
                <w:b w:val="1"/>
                <w:bCs w:val="1"/>
                <w:color w:val="auto"/>
              </w:rPr>
              <w:t>Three Months Ended October 31,</w:t>
            </w:r>
          </w:p>
        </w:tc>
        <w:tc>
          <w:tcPr>
            <w:tcW w:w="10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6"/>
        </w:trPr>
        <w:tc>
          <w:tcPr>
            <w:tcW w:w="5860" w:type="dxa"/>
            <w:vAlign w:val="bottom"/>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0"/>
        </w:trPr>
        <w:tc>
          <w:tcPr>
            <w:tcW w:w="5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8"/>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Sales and marketing</w:t>
            </w:r>
          </w:p>
        </w:tc>
        <w:tc>
          <w:tcPr>
            <w:tcW w:w="1180" w:type="dxa"/>
            <w:vAlign w:val="bottom"/>
            <w:shd w:val="clear" w:color="auto" w:fill="CFF0FC"/>
          </w:tcPr>
          <w:p>
            <w:pPr>
              <w:jc w:val="right"/>
              <w:ind w:right="679"/>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293,698</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190,157</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4"/>
                <w:szCs w:val="14"/>
                <w:color w:val="auto"/>
              </w:rPr>
              <w:t>54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14"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231F20"/>
        </w:rPr>
        <w:t xml:space="preserve">Sales and marketing expense for the three months ended October 31, 2021 increased by $103.5 million, or 54%, compared to the three months ended October 31, 2020. The increase in sales and marketing expense was primarily due to higher personnel-related expenses of $53.5 million, mainly driven by additional headcount in our sales force to support increased demand, which includes a $7.5 million </w:t>
      </w:r>
      <w:r>
        <w:rPr>
          <w:rFonts w:ascii="Arial" w:cs="Arial" w:eastAsia="Arial" w:hAnsi="Arial"/>
          <w:sz w:val="12"/>
          <w:szCs w:val="12"/>
          <w:color w:val="000000"/>
        </w:rPr>
        <w:t>increase in stock-based compensation expense and</w:t>
      </w:r>
      <w:r>
        <w:rPr>
          <w:rFonts w:ascii="Arial" w:cs="Arial" w:eastAsia="Arial" w:hAnsi="Arial"/>
          <w:sz w:val="12"/>
          <w:szCs w:val="12"/>
          <w:color w:val="231F20"/>
        </w:rPr>
        <w:t xml:space="preserve"> a $15.8 million increase in amortization of deferred contract acquisition costs driven by our increase in revenue. </w:t>
      </w:r>
      <w:r>
        <w:rPr>
          <w:rFonts w:ascii="Arial" w:cs="Arial" w:eastAsia="Arial" w:hAnsi="Arial"/>
          <w:sz w:val="12"/>
          <w:szCs w:val="12"/>
          <w:color w:val="000000"/>
        </w:rPr>
        <w:t>The remaining increase was</w:t>
      </w:r>
      <w:r>
        <w:rPr>
          <w:rFonts w:ascii="Arial" w:cs="Arial" w:eastAsia="Arial" w:hAnsi="Arial"/>
          <w:sz w:val="12"/>
          <w:szCs w:val="12"/>
          <w:color w:val="231F20"/>
        </w:rPr>
        <w:t xml:space="preserve"> </w:t>
      </w:r>
      <w:r>
        <w:rPr>
          <w:rFonts w:ascii="Arial" w:cs="Arial" w:eastAsia="Arial" w:hAnsi="Arial"/>
          <w:sz w:val="12"/>
          <w:szCs w:val="12"/>
          <w:color w:val="000000"/>
        </w:rPr>
        <w:t xml:space="preserve">primarily due to </w:t>
      </w:r>
      <w:r>
        <w:rPr>
          <w:rFonts w:ascii="Arial" w:cs="Arial" w:eastAsia="Arial" w:hAnsi="Arial"/>
          <w:sz w:val="12"/>
          <w:szCs w:val="12"/>
          <w:color w:val="231F20"/>
        </w:rPr>
        <w:t>an increase of $39.0 million in marketing and sales event-related costs, mainly due to an increase in digital programs.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General and Administrative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8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ind w:left="300"/>
              <w:spacing w:after="0"/>
              <w:rPr>
                <w:sz w:val="20"/>
                <w:szCs w:val="20"/>
                <w:color w:val="auto"/>
              </w:rPr>
            </w:pPr>
            <w:r>
              <w:rPr>
                <w:rFonts w:ascii="Arial" w:cs="Arial" w:eastAsia="Arial" w:hAnsi="Arial"/>
                <w:sz w:val="11"/>
                <w:szCs w:val="11"/>
                <w:b w:val="1"/>
                <w:bCs w:val="1"/>
                <w:color w:val="auto"/>
              </w:rPr>
              <w:t>Three Months Ended October 31,</w:t>
            </w:r>
          </w:p>
        </w:tc>
        <w:tc>
          <w:tcPr>
            <w:tcW w:w="10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r>
      <w:tr>
        <w:trPr>
          <w:trHeight w:val="136"/>
        </w:trPr>
        <w:tc>
          <w:tcPr>
            <w:tcW w:w="5880" w:type="dxa"/>
            <w:vAlign w:val="bottom"/>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 Change</w:t>
            </w:r>
          </w:p>
        </w:tc>
        <w:tc>
          <w:tcPr>
            <w:tcW w:w="280" w:type="dxa"/>
            <w:vAlign w:val="bottom"/>
            <w:tcBorders>
              <w:bottom w:val="single" w:sz="8" w:color="auto"/>
            </w:tcBorders>
          </w:tcPr>
          <w:p>
            <w:pPr>
              <w:spacing w:after="0"/>
              <w:rPr>
                <w:sz w:val="11"/>
                <w:szCs w:val="11"/>
                <w:color w:val="auto"/>
              </w:rPr>
            </w:pPr>
          </w:p>
        </w:tc>
      </w:tr>
      <w:tr>
        <w:trPr>
          <w:trHeight w:val="160"/>
        </w:trPr>
        <w:tc>
          <w:tcPr>
            <w:tcW w:w="5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78"/>
        </w:trPr>
        <w:tc>
          <w:tcPr>
            <w:tcW w:w="5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General and administrative</w:t>
            </w:r>
          </w:p>
        </w:tc>
        <w:tc>
          <w:tcPr>
            <w:tcW w:w="1220" w:type="dxa"/>
            <w:vAlign w:val="bottom"/>
            <w:shd w:val="clear" w:color="auto" w:fill="CFF0FC"/>
          </w:tcPr>
          <w:p>
            <w:pPr>
              <w:jc w:val="right"/>
              <w:ind w:right="699"/>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96,736</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93,488</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3</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4"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231F20"/>
        </w:rPr>
        <w:t xml:space="preserve">General and administrative expense for the three months ended October 31, 2021 increased by $3.2 million, or 3%, compared to the three months ended October 31, 2020. The increase in general and administrative expense was primarily </w:t>
      </w:r>
      <w:r>
        <w:rPr>
          <w:rFonts w:ascii="Arial" w:cs="Arial" w:eastAsia="Arial" w:hAnsi="Arial"/>
          <w:sz w:val="14"/>
          <w:szCs w:val="14"/>
          <w:color w:val="000000"/>
        </w:rPr>
        <w:t>due to an increase of</w:t>
      </w:r>
      <w:r>
        <w:rPr>
          <w:rFonts w:ascii="Arial" w:cs="Arial" w:eastAsia="Arial" w:hAnsi="Arial"/>
          <w:sz w:val="14"/>
          <w:szCs w:val="14"/>
          <w:color w:val="231F20"/>
        </w:rPr>
        <w:t xml:space="preserve"> $7.7 million </w:t>
      </w:r>
      <w:r>
        <w:rPr>
          <w:rFonts w:ascii="Arial" w:cs="Arial" w:eastAsia="Arial" w:hAnsi="Arial"/>
          <w:sz w:val="14"/>
          <w:szCs w:val="14"/>
          <w:color w:val="000000"/>
        </w:rPr>
        <w:t>in personnel-related expenses, mainly driven by additional headcount, an increase of</w:t>
      </w:r>
      <w:r>
        <w:rPr>
          <w:rFonts w:ascii="Arial" w:cs="Arial" w:eastAsia="Arial" w:hAnsi="Arial"/>
          <w:sz w:val="14"/>
          <w:szCs w:val="14"/>
          <w:color w:val="231F20"/>
        </w:rPr>
        <w:t xml:space="preserve"> $4.4 million </w:t>
      </w:r>
      <w:r>
        <w:rPr>
          <w:rFonts w:ascii="Arial" w:cs="Arial" w:eastAsia="Arial" w:hAnsi="Arial"/>
          <w:sz w:val="14"/>
          <w:szCs w:val="14"/>
          <w:color w:val="000000"/>
        </w:rPr>
        <w:t xml:space="preserve">related to subscription to software-based services, and an increase of </w:t>
      </w:r>
      <w:r>
        <w:rPr>
          <w:rFonts w:ascii="Arial" w:cs="Arial" w:eastAsia="Arial" w:hAnsi="Arial"/>
          <w:sz w:val="14"/>
          <w:szCs w:val="14"/>
          <w:color w:val="231F20"/>
        </w:rPr>
        <w:t>$2.4 million</w:t>
      </w:r>
      <w:r>
        <w:rPr>
          <w:rFonts w:ascii="Arial" w:cs="Arial" w:eastAsia="Arial" w:hAnsi="Arial"/>
          <w:sz w:val="14"/>
          <w:szCs w:val="14"/>
          <w:color w:val="000000"/>
        </w:rPr>
        <w:t xml:space="preserve"> in professional services consisting primarily of legal and other professional service fees, partially offset by a decrease of </w:t>
      </w:r>
      <w:r>
        <w:rPr>
          <w:rFonts w:ascii="Arial" w:cs="Arial" w:eastAsia="Arial" w:hAnsi="Arial"/>
          <w:sz w:val="14"/>
          <w:szCs w:val="14"/>
          <w:color w:val="231F20"/>
        </w:rPr>
        <w:t>$11.8 million</w:t>
      </w:r>
      <w:r>
        <w:rPr>
          <w:rFonts w:ascii="Arial" w:cs="Arial" w:eastAsia="Arial" w:hAnsi="Arial"/>
          <w:sz w:val="14"/>
          <w:szCs w:val="14"/>
          <w:color w:val="000000"/>
        </w:rPr>
        <w:t xml:space="preserve"> related to a contingent liability for sales and other indirect tax.</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Gains on Strategic Investments, Net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6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ind w:left="80"/>
              <w:spacing w:after="0"/>
              <w:rPr>
                <w:sz w:val="20"/>
                <w:szCs w:val="20"/>
                <w:color w:val="auto"/>
              </w:rPr>
            </w:pPr>
            <w:r>
              <w:rPr>
                <w:rFonts w:ascii="Arial" w:cs="Arial" w:eastAsia="Arial" w:hAnsi="Arial"/>
                <w:sz w:val="11"/>
                <w:szCs w:val="11"/>
                <w:b w:val="1"/>
                <w:bCs w:val="1"/>
                <w:color w:val="auto"/>
              </w:rPr>
              <w:t>Three Months Ended October 31,</w:t>
            </w:r>
          </w:p>
        </w:tc>
        <w:tc>
          <w:tcPr>
            <w:tcW w:w="1260" w:type="dxa"/>
            <w:vAlign w:val="bottom"/>
            <w:tcBorders>
              <w:bottom w:val="single" w:sz="8" w:color="auto"/>
            </w:tcBorders>
          </w:tcPr>
          <w:p>
            <w:pPr>
              <w:spacing w:after="0"/>
              <w:rPr>
                <w:sz w:val="12"/>
                <w:szCs w:val="12"/>
                <w:color w:val="auto"/>
              </w:rPr>
            </w:pPr>
          </w:p>
        </w:tc>
      </w:tr>
      <w:tr>
        <w:trPr>
          <w:trHeight w:val="136"/>
        </w:trPr>
        <w:tc>
          <w:tcPr>
            <w:tcW w:w="6680" w:type="dxa"/>
            <w:vAlign w:val="bottom"/>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 Change</w:t>
            </w:r>
          </w:p>
        </w:tc>
      </w:tr>
      <w:tr>
        <w:trPr>
          <w:trHeight w:val="160"/>
        </w:trPr>
        <w:tc>
          <w:tcPr>
            <w:tcW w:w="6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8"/>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Gains on strategic investments, net</w:t>
            </w:r>
          </w:p>
        </w:tc>
        <w:tc>
          <w:tcPr>
            <w:tcW w:w="880" w:type="dxa"/>
            <w:vAlign w:val="bottom"/>
            <w:shd w:val="clear" w:color="auto" w:fill="CFF0FC"/>
          </w:tcPr>
          <w:p>
            <w:pPr>
              <w:jc w:val="right"/>
              <w:ind w:right="73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122,421</w:t>
            </w:r>
          </w:p>
        </w:tc>
        <w:tc>
          <w:tcPr>
            <w:tcW w:w="5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FF0FC"/>
          </w:tcPr>
          <w:p>
            <w:pPr>
              <w:ind w:left="7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100 %</w:t>
            </w:r>
          </w:p>
        </w:tc>
      </w:tr>
    </w:tbl>
    <w:p>
      <w:pPr>
        <w:spacing w:after="0" w:line="22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231F20"/>
        </w:rPr>
        <w:t>Gains on strategic investments, net recognized during the three months ended October 31, 2021 was driven by $72.8 million unrealized gains recognized on our publicly traded equity securities and $49.6 million unrealized gains recognized on our privately held equity securities.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Interest Income and Other, Net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8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tcPr>
          <w:p>
            <w:pPr>
              <w:ind w:left="320"/>
              <w:spacing w:after="0"/>
              <w:rPr>
                <w:sz w:val="20"/>
                <w:szCs w:val="20"/>
                <w:color w:val="auto"/>
              </w:rPr>
            </w:pPr>
            <w:r>
              <w:rPr>
                <w:rFonts w:ascii="Arial" w:cs="Arial" w:eastAsia="Arial" w:hAnsi="Arial"/>
                <w:sz w:val="11"/>
                <w:szCs w:val="11"/>
                <w:b w:val="1"/>
                <w:bCs w:val="1"/>
                <w:color w:val="auto"/>
              </w:rPr>
              <w:t>Three Months Ended October 31,</w:t>
            </w:r>
          </w:p>
        </w:tc>
        <w:tc>
          <w:tcPr>
            <w:tcW w:w="10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6"/>
        </w:trPr>
        <w:tc>
          <w:tcPr>
            <w:tcW w:w="588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0"/>
        </w:trPr>
        <w:tc>
          <w:tcPr>
            <w:tcW w:w="5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8"/>
        </w:trPr>
        <w:tc>
          <w:tcPr>
            <w:tcW w:w="5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income and other, net</w:t>
            </w:r>
          </w:p>
        </w:tc>
        <w:tc>
          <w:tcPr>
            <w:tcW w:w="1200" w:type="dxa"/>
            <w:vAlign w:val="bottom"/>
            <w:shd w:val="clear" w:color="auto" w:fill="CFF0FC"/>
          </w:tcPr>
          <w:p>
            <w:pPr>
              <w:jc w:val="right"/>
              <w:ind w:right="699"/>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(2,995)</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1,779</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39"/>
              <w:spacing w:after="0"/>
              <w:rPr>
                <w:sz w:val="20"/>
                <w:szCs w:val="20"/>
                <w:color w:val="auto"/>
              </w:rPr>
            </w:pPr>
            <w:r>
              <w:rPr>
                <w:rFonts w:ascii="Arial" w:cs="Arial" w:eastAsia="Arial" w:hAnsi="Arial"/>
                <w:sz w:val="14"/>
                <w:szCs w:val="14"/>
                <w:color w:val="auto"/>
              </w:rPr>
              <w:t>(268)</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231F20"/>
        </w:rPr>
        <w:t>Interest income and other, net for the three months ended October 31, 2021 decreased by $4.8 million, or 268%, compared to the three months ended October 31, 2020. The decrease was primarily attributable to a loss of $4.6 million related to changes in foreign currency exchange rates.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Provision for (Benefit from) Income Taxes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8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tcPr>
          <w:p>
            <w:pPr>
              <w:ind w:left="320"/>
              <w:spacing w:after="0"/>
              <w:rPr>
                <w:sz w:val="20"/>
                <w:szCs w:val="20"/>
                <w:color w:val="auto"/>
              </w:rPr>
            </w:pPr>
            <w:r>
              <w:rPr>
                <w:rFonts w:ascii="Arial" w:cs="Arial" w:eastAsia="Arial" w:hAnsi="Arial"/>
                <w:sz w:val="11"/>
                <w:szCs w:val="11"/>
                <w:b w:val="1"/>
                <w:bCs w:val="1"/>
                <w:color w:val="auto"/>
              </w:rPr>
              <w:t>Three Months Ended October 31,</w:t>
            </w:r>
          </w:p>
        </w:tc>
        <w:tc>
          <w:tcPr>
            <w:tcW w:w="10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6"/>
        </w:trPr>
        <w:tc>
          <w:tcPr>
            <w:tcW w:w="588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0"/>
        </w:trPr>
        <w:tc>
          <w:tcPr>
            <w:tcW w:w="5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8"/>
        </w:trPr>
        <w:tc>
          <w:tcPr>
            <w:tcW w:w="5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for (benefit from) income taxes</w:t>
            </w:r>
          </w:p>
        </w:tc>
        <w:tc>
          <w:tcPr>
            <w:tcW w:w="1200" w:type="dxa"/>
            <w:vAlign w:val="bottom"/>
            <w:shd w:val="clear" w:color="auto" w:fill="CFF0FC"/>
          </w:tcPr>
          <w:p>
            <w:pPr>
              <w:jc w:val="right"/>
              <w:ind w:right="699"/>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69,900</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(4,621)</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4"/>
                <w:szCs w:val="14"/>
                <w:color w:val="auto"/>
              </w:rPr>
              <w:t>(1,613)</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1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 xml:space="preserve">Provision for income taxes for the three months ended October 31, 2021 increased by $74.5 million, or 1,613%, compared to the three months ended October 31, 2020. The change was </w:t>
      </w:r>
      <w:r>
        <w:rPr>
          <w:rFonts w:ascii="Arial" w:cs="Arial" w:eastAsia="Arial" w:hAnsi="Arial"/>
          <w:sz w:val="14"/>
          <w:szCs w:val="14"/>
          <w:color w:val="231F20"/>
        </w:rPr>
        <w:t>primarily due</w:t>
      </w:r>
      <w:r>
        <w:rPr>
          <w:rFonts w:ascii="Arial" w:cs="Arial" w:eastAsia="Arial" w:hAnsi="Arial"/>
          <w:sz w:val="14"/>
          <w:szCs w:val="14"/>
          <w:color w:val="auto"/>
        </w:rPr>
        <w:t xml:space="preserve"> </w:t>
      </w:r>
      <w:r>
        <w:rPr>
          <w:rFonts w:ascii="Arial" w:cs="Arial" w:eastAsia="Arial" w:hAnsi="Arial"/>
          <w:sz w:val="14"/>
          <w:szCs w:val="14"/>
          <w:color w:val="231F20"/>
        </w:rPr>
        <w:t>to an increase in global income, certain elections and accounting method changes creating additional book-tax differences, as well as a decrease in stock-based compensation for tax purposes. Our calculation of income tax expense is dependent in part on forecasts of full-year results.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Nine Months Ended October 31, 2021 and 2020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1"/>
                <w:szCs w:val="11"/>
                <w:b w:val="1"/>
                <w:bCs w:val="1"/>
                <w:color w:val="auto"/>
              </w:rPr>
              <w:t>Nine Months Ended October 31,</w:t>
            </w:r>
          </w:p>
        </w:tc>
        <w:tc>
          <w:tcPr>
            <w:tcW w:w="10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r>
      <w:tr>
        <w:trPr>
          <w:trHeight w:val="136"/>
        </w:trPr>
        <w:tc>
          <w:tcPr>
            <w:tcW w:w="58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 Change</w:t>
            </w:r>
          </w:p>
        </w:tc>
        <w:tc>
          <w:tcPr>
            <w:tcW w:w="280" w:type="dxa"/>
            <w:vAlign w:val="bottom"/>
            <w:tcBorders>
              <w:bottom w:val="single" w:sz="8" w:color="auto"/>
            </w:tcBorders>
          </w:tcPr>
          <w:p>
            <w:pPr>
              <w:spacing w:after="0"/>
              <w:rPr>
                <w:sz w:val="11"/>
                <w:szCs w:val="11"/>
                <w:color w:val="auto"/>
              </w:rPr>
            </w:pPr>
          </w:p>
        </w:tc>
      </w:tr>
      <w:tr>
        <w:trPr>
          <w:trHeight w:val="160"/>
        </w:trPr>
        <w:tc>
          <w:tcPr>
            <w:tcW w:w="5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2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78"/>
        </w:trPr>
        <w:tc>
          <w:tcPr>
            <w:tcW w:w="5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Revenue</w:t>
            </w:r>
          </w:p>
        </w:tc>
        <w:tc>
          <w:tcPr>
            <w:tcW w:w="700" w:type="dxa"/>
            <w:vAlign w:val="bottom"/>
            <w:shd w:val="clear" w:color="auto" w:fill="CFF0FC"/>
          </w:tcPr>
          <w:p>
            <w:pPr>
              <w:jc w:val="right"/>
              <w:ind w:right="172"/>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
              <w:spacing w:after="0"/>
              <w:rPr>
                <w:sz w:val="20"/>
                <w:szCs w:val="20"/>
                <w:color w:val="auto"/>
              </w:rPr>
            </w:pPr>
            <w:r>
              <w:rPr>
                <w:rFonts w:ascii="Arial" w:cs="Arial" w:eastAsia="Arial" w:hAnsi="Arial"/>
                <w:sz w:val="14"/>
                <w:szCs w:val="14"/>
                <w:color w:val="auto"/>
              </w:rPr>
              <w:t>3,028,488</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1,768,883</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71</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231F20"/>
        </w:rPr>
        <w:t xml:space="preserve">Revenue for the nine months ended October 31, 2021 increased by $1,259.6 million, or 71%, compared to the nine months ended October 31, 2020. The </w:t>
      </w:r>
      <w:r>
        <w:rPr>
          <w:rFonts w:ascii="Arial" w:cs="Arial" w:eastAsia="Arial" w:hAnsi="Arial"/>
          <w:sz w:val="14"/>
          <w:szCs w:val="14"/>
          <w:color w:val="000000"/>
        </w:rPr>
        <w:t>increase in revenue was due to a combination</w:t>
      </w:r>
      <w:r>
        <w:rPr>
          <w:rFonts w:ascii="Arial" w:cs="Arial" w:eastAsia="Arial" w:hAnsi="Arial"/>
          <w:sz w:val="14"/>
          <w:szCs w:val="14"/>
          <w:color w:val="231F20"/>
        </w:rPr>
        <w:t xml:space="preserve"> </w:t>
      </w:r>
      <w:r>
        <w:rPr>
          <w:rFonts w:ascii="Arial" w:cs="Arial" w:eastAsia="Arial" w:hAnsi="Arial"/>
          <w:sz w:val="14"/>
          <w:szCs w:val="14"/>
          <w:color w:val="000000"/>
        </w:rPr>
        <w:t>of subscription services provided to existing customers, which accounted for approximately 60% of the increase, and subscription services provided to new customers, which accounted for approximately 40% of the increase.</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Cost of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1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1"/>
                <w:szCs w:val="11"/>
                <w:b w:val="1"/>
                <w:bCs w:val="1"/>
                <w:color w:val="auto"/>
              </w:rPr>
              <w:t>Nine Months Ended October 31,</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r>
      <w:tr>
        <w:trPr>
          <w:trHeight w:val="136"/>
        </w:trPr>
        <w:tc>
          <w:tcPr>
            <w:tcW w:w="51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2021</w:t>
            </w: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2020</w:t>
            </w:r>
          </w:p>
        </w:tc>
        <w:tc>
          <w:tcPr>
            <w:tcW w:w="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 Change</w:t>
            </w:r>
          </w:p>
        </w:tc>
        <w:tc>
          <w:tcPr>
            <w:tcW w:w="260" w:type="dxa"/>
            <w:vAlign w:val="bottom"/>
            <w:tcBorders>
              <w:bottom w:val="single" w:sz="8" w:color="auto"/>
            </w:tcBorders>
          </w:tcPr>
          <w:p>
            <w:pPr>
              <w:spacing w:after="0"/>
              <w:rPr>
                <w:sz w:val="11"/>
                <w:szCs w:val="11"/>
                <w:color w:val="auto"/>
              </w:rPr>
            </w:pPr>
          </w:p>
        </w:tc>
      </w:tr>
      <w:tr>
        <w:trPr>
          <w:trHeight w:val="160"/>
        </w:trPr>
        <w:tc>
          <w:tcPr>
            <w:tcW w:w="5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gridSpan w:val="3"/>
          </w:tcPr>
          <w:p>
            <w:pPr>
              <w:jc w:val="right"/>
              <w:ind w:right="226"/>
              <w:spacing w:after="0"/>
              <w:rPr>
                <w:sz w:val="20"/>
                <w:szCs w:val="20"/>
                <w:color w:val="auto"/>
              </w:rPr>
            </w:pPr>
            <w:r>
              <w:rPr>
                <w:rFonts w:ascii="Arial" w:cs="Arial" w:eastAsia="Arial" w:hAnsi="Arial"/>
                <w:sz w:val="11"/>
                <w:szCs w:val="11"/>
                <w:b w:val="1"/>
                <w:bCs w:val="1"/>
                <w:color w:val="auto"/>
              </w:rPr>
              <w:t>(in thousands)</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8"/>
        </w:trPr>
        <w:tc>
          <w:tcPr>
            <w:tcW w:w="5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Cost of revenue</w:t>
            </w:r>
          </w:p>
        </w:tc>
        <w:tc>
          <w:tcPr>
            <w:tcW w:w="760" w:type="dxa"/>
            <w:vAlign w:val="bottom"/>
            <w:shd w:val="clear" w:color="auto" w:fill="CFF0FC"/>
          </w:tcPr>
          <w:p>
            <w:pPr>
              <w:jc w:val="right"/>
              <w:ind w:right="232"/>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35"/>
              <w:spacing w:after="0"/>
              <w:rPr>
                <w:sz w:val="20"/>
                <w:szCs w:val="20"/>
                <w:color w:val="auto"/>
              </w:rPr>
            </w:pPr>
            <w:r>
              <w:rPr>
                <w:rFonts w:ascii="Arial" w:cs="Arial" w:eastAsia="Arial" w:hAnsi="Arial"/>
                <w:sz w:val="14"/>
                <w:szCs w:val="14"/>
                <w:color w:val="auto"/>
              </w:rPr>
              <w:t>797,207</w:t>
            </w:r>
          </w:p>
        </w:tc>
        <w:tc>
          <w:tcPr>
            <w:tcW w:w="1180" w:type="dxa"/>
            <w:vAlign w:val="bottom"/>
            <w:gridSpan w:val="3"/>
            <w:shd w:val="clear" w:color="auto" w:fill="CFF0FC"/>
          </w:tcPr>
          <w:p>
            <w:pPr>
              <w:jc w:val="right"/>
              <w:ind w:right="246"/>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235"/>
              <w:spacing w:after="0"/>
              <w:rPr>
                <w:sz w:val="20"/>
                <w:szCs w:val="20"/>
                <w:color w:val="auto"/>
              </w:rPr>
            </w:pPr>
            <w:r>
              <w:rPr>
                <w:rFonts w:ascii="Arial" w:cs="Arial" w:eastAsia="Arial" w:hAnsi="Arial"/>
                <w:sz w:val="14"/>
                <w:szCs w:val="14"/>
                <w:color w:val="auto"/>
              </w:rPr>
              <w:t>554,705</w:t>
            </w:r>
          </w:p>
        </w:tc>
        <w:tc>
          <w:tcPr>
            <w:tcW w:w="1760" w:type="dxa"/>
            <w:vAlign w:val="bottom"/>
            <w:gridSpan w:val="3"/>
            <w:shd w:val="clear" w:color="auto" w:fill="CFF0FC"/>
          </w:tcPr>
          <w:p>
            <w:pPr>
              <w:jc w:val="right"/>
              <w:ind w:right="206"/>
              <w:spacing w:after="0"/>
              <w:rPr>
                <w:sz w:val="20"/>
                <w:szCs w:val="20"/>
                <w:color w:val="auto"/>
              </w:rPr>
            </w:pPr>
            <w:r>
              <w:rPr>
                <w:rFonts w:ascii="Arial" w:cs="Arial" w:eastAsia="Arial" w:hAnsi="Arial"/>
                <w:sz w:val="14"/>
                <w:szCs w:val="14"/>
                <w:color w:val="auto"/>
              </w:rPr>
              <w:t>44</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5120" w:type="dxa"/>
            <w:vAlign w:val="bottom"/>
          </w:tcPr>
          <w:p>
            <w:pPr>
              <w:ind w:left="380"/>
              <w:spacing w:after="0"/>
              <w:rPr>
                <w:sz w:val="20"/>
                <w:szCs w:val="20"/>
                <w:color w:val="auto"/>
              </w:rPr>
            </w:pPr>
            <w:r>
              <w:rPr>
                <w:rFonts w:ascii="Arial" w:cs="Arial" w:eastAsia="Arial" w:hAnsi="Arial"/>
                <w:sz w:val="14"/>
                <w:szCs w:val="14"/>
                <w:color w:val="auto"/>
              </w:rPr>
              <w:t>Gross profit</w:t>
            </w:r>
          </w:p>
        </w:tc>
        <w:tc>
          <w:tcPr>
            <w:tcW w:w="760" w:type="dxa"/>
            <w:vAlign w:val="bottom"/>
          </w:tcPr>
          <w:p>
            <w:pPr>
              <w:spacing w:after="0"/>
              <w:rPr>
                <w:sz w:val="15"/>
                <w:szCs w:val="15"/>
                <w:color w:val="auto"/>
              </w:rPr>
            </w:pPr>
          </w:p>
        </w:tc>
        <w:tc>
          <w:tcPr>
            <w:tcW w:w="1040" w:type="dxa"/>
            <w:vAlign w:val="bottom"/>
          </w:tcPr>
          <w:p>
            <w:pPr>
              <w:jc w:val="right"/>
              <w:ind w:right="135"/>
              <w:spacing w:after="0"/>
              <w:rPr>
                <w:sz w:val="20"/>
                <w:szCs w:val="20"/>
                <w:color w:val="auto"/>
              </w:rPr>
            </w:pPr>
            <w:r>
              <w:rPr>
                <w:rFonts w:ascii="Arial" w:cs="Arial" w:eastAsia="Arial" w:hAnsi="Arial"/>
                <w:sz w:val="14"/>
                <w:szCs w:val="14"/>
                <w:color w:val="auto"/>
              </w:rPr>
              <w:t>2,231,281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jc w:val="right"/>
              <w:ind w:right="235"/>
              <w:spacing w:after="0"/>
              <w:rPr>
                <w:sz w:val="20"/>
                <w:szCs w:val="20"/>
                <w:color w:val="auto"/>
              </w:rPr>
            </w:pPr>
            <w:r>
              <w:rPr>
                <w:rFonts w:ascii="Arial" w:cs="Arial" w:eastAsia="Arial" w:hAnsi="Arial"/>
                <w:sz w:val="14"/>
                <w:szCs w:val="14"/>
                <w:color w:val="auto"/>
              </w:rPr>
              <w:t>1,214,178</w:t>
            </w:r>
          </w:p>
        </w:tc>
        <w:tc>
          <w:tcPr>
            <w:tcW w:w="1760" w:type="dxa"/>
            <w:vAlign w:val="bottom"/>
            <w:gridSpan w:val="3"/>
          </w:tcPr>
          <w:p>
            <w:pPr>
              <w:jc w:val="right"/>
              <w:ind w:right="206"/>
              <w:spacing w:after="0"/>
              <w:rPr>
                <w:sz w:val="20"/>
                <w:szCs w:val="20"/>
                <w:color w:val="auto"/>
              </w:rPr>
            </w:pPr>
            <w:r>
              <w:rPr>
                <w:rFonts w:ascii="Arial" w:cs="Arial" w:eastAsia="Arial" w:hAnsi="Arial"/>
                <w:sz w:val="14"/>
                <w:szCs w:val="14"/>
                <w:color w:val="auto"/>
              </w:rPr>
              <w:t>84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5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Gross margin</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35"/>
              <w:spacing w:after="0"/>
              <w:rPr>
                <w:sz w:val="20"/>
                <w:szCs w:val="20"/>
                <w:color w:val="auto"/>
              </w:rPr>
            </w:pPr>
            <w:r>
              <w:rPr>
                <w:rFonts w:ascii="Arial" w:cs="Arial" w:eastAsia="Arial" w:hAnsi="Arial"/>
                <w:sz w:val="14"/>
                <w:szCs w:val="14"/>
                <w:color w:val="auto"/>
              </w:rPr>
              <w:t>74</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35"/>
              <w:spacing w:after="0"/>
              <w:rPr>
                <w:sz w:val="20"/>
                <w:szCs w:val="20"/>
                <w:color w:val="auto"/>
              </w:rPr>
            </w:pPr>
            <w:r>
              <w:rPr>
                <w:rFonts w:ascii="Arial" w:cs="Arial" w:eastAsia="Arial" w:hAnsi="Arial"/>
                <w:sz w:val="14"/>
                <w:szCs w:val="14"/>
                <w:color w:val="auto"/>
              </w:rPr>
              <w:t>69</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bl>
    <w:p>
      <w:pPr>
        <w:spacing w:after="0" w:line="224"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231F20"/>
        </w:rPr>
        <w:t xml:space="preserve">Cost of revenue for the nine months ended October 31, 2021 increased by $242.5 million, or 44%, compared to the nine months ended October 31, 2020. In response to the </w:t>
      </w:r>
      <w:r>
        <w:rPr>
          <w:rFonts w:ascii="Arial" w:cs="Arial" w:eastAsia="Arial" w:hAnsi="Arial"/>
          <w:sz w:val="12"/>
          <w:szCs w:val="12"/>
          <w:color w:val="000000"/>
        </w:rPr>
        <w:t>COVID-19 pandemic, we</w:t>
      </w:r>
      <w:r>
        <w:rPr>
          <w:rFonts w:ascii="Arial" w:cs="Arial" w:eastAsia="Arial" w:hAnsi="Arial"/>
          <w:sz w:val="12"/>
          <w:szCs w:val="12"/>
          <w:color w:val="231F20"/>
        </w:rPr>
        <w:t xml:space="preserve"> </w:t>
      </w:r>
      <w:r>
        <w:rPr>
          <w:rFonts w:ascii="Arial" w:cs="Arial" w:eastAsia="Arial" w:hAnsi="Arial"/>
          <w:sz w:val="12"/>
          <w:szCs w:val="12"/>
          <w:color w:val="000000"/>
        </w:rPr>
        <w:t xml:space="preserve">have temporarily removed the 40-minute time limit for meetings with more than two endpoints from our free Basic accounts for more than 125,000 K-12 school domains worldwide. We also continued to experience an increase in usage from paid users as more companies utilized our platform to allow their employees to work remotely. This increase in usage resulted in </w:t>
      </w:r>
      <w:r>
        <w:rPr>
          <w:rFonts w:ascii="Arial" w:cs="Arial" w:eastAsia="Arial" w:hAnsi="Arial"/>
          <w:sz w:val="12"/>
          <w:szCs w:val="12"/>
          <w:color w:val="231F20"/>
        </w:rPr>
        <w:t>an increase of $133.3 million in costs</w:t>
      </w:r>
      <w:r>
        <w:rPr>
          <w:rFonts w:ascii="Arial" w:cs="Arial" w:eastAsia="Arial" w:hAnsi="Arial"/>
          <w:sz w:val="12"/>
          <w:szCs w:val="12"/>
          <w:color w:val="000000"/>
        </w:rPr>
        <w:t xml:space="preserve"> </w:t>
      </w:r>
      <w:r>
        <w:rPr>
          <w:rFonts w:ascii="Arial" w:cs="Arial" w:eastAsia="Arial" w:hAnsi="Arial"/>
          <w:sz w:val="12"/>
          <w:szCs w:val="12"/>
          <w:color w:val="231F20"/>
        </w:rPr>
        <w:t xml:space="preserve">related to third-party cloud hosting and our co-located data centers to support the increase in customers and expanded use of our communications platform by existing and new customers. The remaining increase was primarily due to an increase of $71.2 million in personnel-related expenses, which includes an increase of $23.8 million </w:t>
      </w:r>
      <w:r>
        <w:rPr>
          <w:rFonts w:ascii="Arial" w:cs="Arial" w:eastAsia="Arial" w:hAnsi="Arial"/>
          <w:sz w:val="12"/>
          <w:szCs w:val="12"/>
          <w:color w:val="000000"/>
        </w:rPr>
        <w:t>in stock-based compensation expense,</w:t>
      </w:r>
      <w:r>
        <w:rPr>
          <w:rFonts w:ascii="Arial" w:cs="Arial" w:eastAsia="Arial" w:hAnsi="Arial"/>
          <w:sz w:val="12"/>
          <w:szCs w:val="12"/>
          <w:color w:val="231F20"/>
        </w:rPr>
        <w:t xml:space="preserve"> mainly driven by additional headcount; </w:t>
      </w:r>
      <w:r>
        <w:rPr>
          <w:rFonts w:ascii="Arial" w:cs="Arial" w:eastAsia="Arial" w:hAnsi="Arial"/>
          <w:sz w:val="12"/>
          <w:szCs w:val="12"/>
          <w:color w:val="000000"/>
        </w:rPr>
        <w:t>an increase of</w:t>
      </w:r>
      <w:r>
        <w:rPr>
          <w:rFonts w:ascii="Arial" w:cs="Arial" w:eastAsia="Arial" w:hAnsi="Arial"/>
          <w:sz w:val="12"/>
          <w:szCs w:val="12"/>
          <w:color w:val="231F20"/>
        </w:rPr>
        <w:t xml:space="preserve"> $17.5 million related to subscription to software-based services; and </w:t>
      </w:r>
      <w:r>
        <w:rPr>
          <w:rFonts w:ascii="Arial" w:cs="Arial" w:eastAsia="Arial" w:hAnsi="Arial"/>
          <w:sz w:val="12"/>
          <w:szCs w:val="12"/>
          <w:color w:val="000000"/>
        </w:rPr>
        <w:t>an increase of</w:t>
      </w:r>
      <w:r>
        <w:rPr>
          <w:rFonts w:ascii="Arial" w:cs="Arial" w:eastAsia="Arial" w:hAnsi="Arial"/>
          <w:sz w:val="12"/>
          <w:szCs w:val="12"/>
          <w:color w:val="231F20"/>
        </w:rPr>
        <w:t xml:space="preserve"> $8.8 million </w:t>
      </w:r>
      <w:r>
        <w:rPr>
          <w:rFonts w:ascii="Arial" w:cs="Arial" w:eastAsia="Arial" w:hAnsi="Arial"/>
          <w:sz w:val="12"/>
          <w:szCs w:val="12"/>
          <w:color w:val="000000"/>
        </w:rPr>
        <w:t>in professional services, mainly for customer support.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 xml:space="preserve">Gross margin increased to 74% for the nine months ended </w:t>
      </w:r>
      <w:r>
        <w:rPr>
          <w:rFonts w:ascii="Arial" w:cs="Arial" w:eastAsia="Arial" w:hAnsi="Arial"/>
          <w:sz w:val="14"/>
          <w:szCs w:val="14"/>
          <w:color w:val="231F20"/>
        </w:rPr>
        <w:t>October 31, 2021</w:t>
      </w:r>
      <w:r>
        <w:rPr>
          <w:rFonts w:ascii="Arial" w:cs="Arial" w:eastAsia="Arial" w:hAnsi="Arial"/>
          <w:sz w:val="14"/>
          <w:szCs w:val="14"/>
          <w:color w:val="auto"/>
        </w:rPr>
        <w:t xml:space="preserve"> from 69% for the nine months ended </w:t>
      </w:r>
      <w:r>
        <w:rPr>
          <w:rFonts w:ascii="Arial" w:cs="Arial" w:eastAsia="Arial" w:hAnsi="Arial"/>
          <w:sz w:val="14"/>
          <w:szCs w:val="14"/>
          <w:color w:val="231F20"/>
        </w:rPr>
        <w:t>October 31, 2020</w:t>
      </w:r>
      <w:r>
        <w:rPr>
          <w:rFonts w:ascii="Arial" w:cs="Arial" w:eastAsia="Arial" w:hAnsi="Arial"/>
          <w:sz w:val="14"/>
          <w:szCs w:val="14"/>
          <w:color w:val="auto"/>
        </w:rPr>
        <w:t>. The increase in gross margin was mainly due to increased efficiencies as we expanded our data center capacity to accommodate the increased usage as well as lower rates from third-party cloud hosting providers.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Research and Development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4"/>
          </w:tcPr>
          <w:p>
            <w:pPr>
              <w:ind w:left="320"/>
              <w:spacing w:after="0"/>
              <w:rPr>
                <w:sz w:val="20"/>
                <w:szCs w:val="20"/>
                <w:color w:val="auto"/>
              </w:rPr>
            </w:pPr>
            <w:r>
              <w:rPr>
                <w:rFonts w:ascii="Arial" w:cs="Arial" w:eastAsia="Arial" w:hAnsi="Arial"/>
                <w:sz w:val="11"/>
                <w:szCs w:val="11"/>
                <w:b w:val="1"/>
                <w:bCs w:val="1"/>
                <w:color w:val="auto"/>
              </w:rPr>
              <w:t>Nine Months Ended October 31,</w:t>
            </w:r>
          </w:p>
        </w:tc>
        <w:tc>
          <w:tcPr>
            <w:tcW w:w="10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6"/>
        </w:trPr>
        <w:tc>
          <w:tcPr>
            <w:tcW w:w="5880" w:type="dxa"/>
            <w:vAlign w:val="bottom"/>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0"/>
        </w:trPr>
        <w:tc>
          <w:tcPr>
            <w:tcW w:w="58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gridSpan w:val="3"/>
          </w:tcPr>
          <w:p>
            <w:pPr>
              <w:jc w:val="right"/>
              <w:ind w:right="179"/>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8"/>
        </w:trPr>
        <w:tc>
          <w:tcPr>
            <w:tcW w:w="5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Research and development</w:t>
            </w:r>
          </w:p>
        </w:tc>
        <w:tc>
          <w:tcPr>
            <w:tcW w:w="1180" w:type="dxa"/>
            <w:vAlign w:val="bottom"/>
            <w:shd w:val="clear" w:color="auto" w:fill="CFF0FC"/>
          </w:tcPr>
          <w:p>
            <w:pPr>
              <w:jc w:val="right"/>
              <w:ind w:right="679"/>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6"/>
              </w:rPr>
              <w:t>245,994</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111,705</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4"/>
                <w:szCs w:val="14"/>
                <w:color w:val="auto"/>
              </w:rPr>
              <w:t>120</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231F20"/>
        </w:rPr>
        <w:t xml:space="preserve">Research and development expense for the nine months ended October 31, 2021 increased by $134.3 million, or 120%, compared to the nine months ended October 31, 2020. </w:t>
      </w:r>
      <w:r>
        <w:rPr>
          <w:rFonts w:ascii="Arial" w:cs="Arial" w:eastAsia="Arial" w:hAnsi="Arial"/>
          <w:sz w:val="14"/>
          <w:szCs w:val="14"/>
          <w:color w:val="000000"/>
        </w:rPr>
        <w:t>The increase was</w:t>
      </w:r>
      <w:r>
        <w:rPr>
          <w:rFonts w:ascii="Arial" w:cs="Arial" w:eastAsia="Arial" w:hAnsi="Arial"/>
          <w:sz w:val="14"/>
          <w:szCs w:val="14"/>
          <w:color w:val="231F20"/>
        </w:rPr>
        <w:t xml:space="preserve"> </w:t>
      </w:r>
      <w:r>
        <w:rPr>
          <w:rFonts w:ascii="Arial" w:cs="Arial" w:eastAsia="Arial" w:hAnsi="Arial"/>
          <w:sz w:val="14"/>
          <w:szCs w:val="14"/>
          <w:color w:val="000000"/>
        </w:rPr>
        <w:t xml:space="preserve">primarily due to higher personnel-related expenses of </w:t>
      </w:r>
      <w:r>
        <w:rPr>
          <w:rFonts w:ascii="Arial" w:cs="Arial" w:eastAsia="Arial" w:hAnsi="Arial"/>
          <w:sz w:val="14"/>
          <w:szCs w:val="14"/>
          <w:color w:val="231F20"/>
        </w:rPr>
        <w:t>$123.2 million, which includes</w:t>
      </w:r>
      <w:r>
        <w:rPr>
          <w:rFonts w:ascii="Arial" w:cs="Arial" w:eastAsia="Arial" w:hAnsi="Arial"/>
          <w:sz w:val="14"/>
          <w:szCs w:val="14"/>
          <w:color w:val="000000"/>
        </w:rPr>
        <w:t xml:space="preserve"> a </w:t>
      </w:r>
      <w:r>
        <w:rPr>
          <w:rFonts w:ascii="Arial" w:cs="Arial" w:eastAsia="Arial" w:hAnsi="Arial"/>
          <w:sz w:val="14"/>
          <w:szCs w:val="14"/>
          <w:color w:val="231F20"/>
        </w:rPr>
        <w:t>$40.3 million</w:t>
      </w:r>
      <w:r>
        <w:rPr>
          <w:rFonts w:ascii="Arial" w:cs="Arial" w:eastAsia="Arial" w:hAnsi="Arial"/>
          <w:sz w:val="14"/>
          <w:szCs w:val="14"/>
          <w:color w:val="000000"/>
        </w:rPr>
        <w:t xml:space="preserve"> increase in stock-based compensation expense, mainly driven by additional headcount, and an increase of </w:t>
      </w:r>
      <w:r>
        <w:rPr>
          <w:rFonts w:ascii="Arial" w:cs="Arial" w:eastAsia="Arial" w:hAnsi="Arial"/>
          <w:sz w:val="14"/>
          <w:szCs w:val="14"/>
          <w:color w:val="231F20"/>
        </w:rPr>
        <w:t>$5.4 million related to subscription to software-based services.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Sales and Marketing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1"/>
                <w:szCs w:val="11"/>
                <w:b w:val="1"/>
                <w:bCs w:val="1"/>
                <w:color w:val="auto"/>
              </w:rPr>
              <w:t>Nine Months Ended October 31,</w:t>
            </w:r>
          </w:p>
        </w:tc>
        <w:tc>
          <w:tcPr>
            <w:tcW w:w="10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6"/>
        </w:trPr>
        <w:tc>
          <w:tcPr>
            <w:tcW w:w="5860" w:type="dxa"/>
            <w:vAlign w:val="bottom"/>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0"/>
        </w:trPr>
        <w:tc>
          <w:tcPr>
            <w:tcW w:w="5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8"/>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Sales and marketing</w:t>
            </w:r>
          </w:p>
        </w:tc>
        <w:tc>
          <w:tcPr>
            <w:tcW w:w="1180" w:type="dxa"/>
            <w:vAlign w:val="bottom"/>
            <w:shd w:val="clear" w:color="auto" w:fill="CFF0FC"/>
          </w:tcPr>
          <w:p>
            <w:pPr>
              <w:jc w:val="right"/>
              <w:ind w:right="679"/>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810,544</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470,886</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4"/>
                <w:szCs w:val="14"/>
                <w:color w:val="auto"/>
              </w:rPr>
              <w:t>72</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14"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231F20"/>
        </w:rPr>
        <w:t xml:space="preserve">Sales and marketing expense for the nine months ended October 31, 2021 increased by $339.7 million, or 72%, compared to the nine months ended October 31, 2020. The increase in sales and marketing expense was primarily due to higher personnel-related expenses of $226.7 million, mainly driven by additional headcount in our sales force to support increased demand, which includes a $60.7 million </w:t>
      </w:r>
      <w:r>
        <w:rPr>
          <w:rFonts w:ascii="Arial" w:cs="Arial" w:eastAsia="Arial" w:hAnsi="Arial"/>
          <w:sz w:val="14"/>
          <w:szCs w:val="14"/>
          <w:color w:val="000000"/>
        </w:rPr>
        <w:t>increase in stock-based compensation expense and</w:t>
      </w:r>
      <w:r>
        <w:rPr>
          <w:rFonts w:ascii="Arial" w:cs="Arial" w:eastAsia="Arial" w:hAnsi="Arial"/>
          <w:sz w:val="14"/>
          <w:szCs w:val="14"/>
          <w:color w:val="231F20"/>
        </w:rPr>
        <w:t xml:space="preserve"> a $54.4 million increase in amortization of deferred contract acquisition costs. </w:t>
      </w:r>
      <w:r>
        <w:rPr>
          <w:rFonts w:ascii="Arial" w:cs="Arial" w:eastAsia="Arial" w:hAnsi="Arial"/>
          <w:sz w:val="14"/>
          <w:szCs w:val="14"/>
          <w:color w:val="000000"/>
        </w:rPr>
        <w:t>The remaining increase was primarily due to</w:t>
      </w:r>
      <w:r>
        <w:rPr>
          <w:rFonts w:ascii="Arial" w:cs="Arial" w:eastAsia="Arial" w:hAnsi="Arial"/>
          <w:sz w:val="14"/>
          <w:szCs w:val="14"/>
          <w:color w:val="231F20"/>
        </w:rPr>
        <w:t xml:space="preserve"> an increase of $70.6 million in marketing and sales event-related costs, mainly due to an increase in digital and social media programs, an increase of $18.8 million in credit card processing fees as a result of increased online payments, and an increase of $5.0 million in professional service fees.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General and Administrative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1"/>
                <w:szCs w:val="11"/>
                <w:b w:val="1"/>
                <w:bCs w:val="1"/>
                <w:color w:val="auto"/>
              </w:rPr>
              <w:t>Nine Months Ended October 31,</w:t>
            </w:r>
          </w:p>
        </w:tc>
        <w:tc>
          <w:tcPr>
            <w:tcW w:w="10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6"/>
        </w:trPr>
        <w:tc>
          <w:tcPr>
            <w:tcW w:w="5860" w:type="dxa"/>
            <w:vAlign w:val="bottom"/>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0"/>
        </w:trPr>
        <w:tc>
          <w:tcPr>
            <w:tcW w:w="5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8"/>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General and administrative</w:t>
            </w:r>
          </w:p>
        </w:tc>
        <w:tc>
          <w:tcPr>
            <w:tcW w:w="1180" w:type="dxa"/>
            <w:vAlign w:val="bottom"/>
            <w:shd w:val="clear" w:color="auto" w:fill="CFF0FC"/>
          </w:tcPr>
          <w:p>
            <w:pPr>
              <w:jc w:val="right"/>
              <w:ind w:right="659"/>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362,971</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227,856</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4"/>
                <w:szCs w:val="14"/>
                <w:color w:val="auto"/>
              </w:rPr>
              <w:t>59</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4"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231F20"/>
        </w:rPr>
        <w:t xml:space="preserve">General and administrative expense for the nine months ended October 31, 2021 increased by $135.1 million, or 59%, compared to the nine months ended October 31, 2020. The increase in general and administrative expense was primarily </w:t>
      </w:r>
      <w:r>
        <w:rPr>
          <w:rFonts w:ascii="Arial" w:cs="Arial" w:eastAsia="Arial" w:hAnsi="Arial"/>
          <w:sz w:val="14"/>
          <w:szCs w:val="14"/>
          <w:color w:val="000000"/>
        </w:rPr>
        <w:t>due to an increase of</w:t>
      </w:r>
      <w:r>
        <w:rPr>
          <w:rFonts w:ascii="Arial" w:cs="Arial" w:eastAsia="Arial" w:hAnsi="Arial"/>
          <w:sz w:val="14"/>
          <w:szCs w:val="14"/>
          <w:color w:val="231F20"/>
        </w:rPr>
        <w:t xml:space="preserve"> $66.9 million in </w:t>
      </w:r>
      <w:r>
        <w:rPr>
          <w:rFonts w:ascii="Arial" w:cs="Arial" w:eastAsia="Arial" w:hAnsi="Arial"/>
          <w:sz w:val="14"/>
          <w:szCs w:val="14"/>
          <w:color w:val="000000"/>
        </w:rPr>
        <w:t>litigation settlement expense, net of amounts estimated to be covered by insurance; an increase of</w:t>
      </w:r>
      <w:r>
        <w:rPr>
          <w:rFonts w:ascii="Arial" w:cs="Arial" w:eastAsia="Arial" w:hAnsi="Arial"/>
          <w:sz w:val="14"/>
          <w:szCs w:val="14"/>
          <w:color w:val="231F20"/>
        </w:rPr>
        <w:t xml:space="preserve"> $50.4 million </w:t>
      </w:r>
      <w:r>
        <w:rPr>
          <w:rFonts w:ascii="Arial" w:cs="Arial" w:eastAsia="Arial" w:hAnsi="Arial"/>
          <w:sz w:val="14"/>
          <w:szCs w:val="14"/>
          <w:color w:val="000000"/>
        </w:rPr>
        <w:t xml:space="preserve">in personnel-related expenses, </w:t>
      </w:r>
      <w:r>
        <w:rPr>
          <w:rFonts w:ascii="Arial" w:cs="Arial" w:eastAsia="Arial" w:hAnsi="Arial"/>
          <w:sz w:val="14"/>
          <w:szCs w:val="14"/>
          <w:color w:val="231F20"/>
        </w:rPr>
        <w:t>which includes a $11.6 million</w:t>
      </w:r>
      <w:r>
        <w:rPr>
          <w:rFonts w:ascii="Arial" w:cs="Arial" w:eastAsia="Arial" w:hAnsi="Arial"/>
          <w:sz w:val="14"/>
          <w:szCs w:val="14"/>
          <w:color w:val="000000"/>
        </w:rPr>
        <w:t xml:space="preserve"> increase in stock-based compensation expense, mainly driven by additional headcount; an increase of </w:t>
      </w:r>
      <w:r>
        <w:rPr>
          <w:rFonts w:ascii="Arial" w:cs="Arial" w:eastAsia="Arial" w:hAnsi="Arial"/>
          <w:sz w:val="14"/>
          <w:szCs w:val="14"/>
          <w:color w:val="231F20"/>
        </w:rPr>
        <w:t>$37.6 million</w:t>
      </w:r>
      <w:r>
        <w:rPr>
          <w:rFonts w:ascii="Arial" w:cs="Arial" w:eastAsia="Arial" w:hAnsi="Arial"/>
          <w:sz w:val="14"/>
          <w:szCs w:val="14"/>
          <w:color w:val="000000"/>
        </w:rPr>
        <w:t xml:space="preserve"> in professional services consisting primarily of legal and other professional service fees; an increase of </w:t>
      </w:r>
      <w:r>
        <w:rPr>
          <w:rFonts w:ascii="Arial" w:cs="Arial" w:eastAsia="Arial" w:hAnsi="Arial"/>
          <w:sz w:val="14"/>
          <w:szCs w:val="14"/>
          <w:color w:val="231F20"/>
        </w:rPr>
        <w:t>$22.6 million related to subscription to software-based services</w:t>
      </w:r>
      <w:r>
        <w:rPr>
          <w:rFonts w:ascii="Arial" w:cs="Arial" w:eastAsia="Arial" w:hAnsi="Arial"/>
          <w:sz w:val="14"/>
          <w:szCs w:val="14"/>
          <w:color w:val="000000"/>
        </w:rPr>
        <w:t xml:space="preserve">; and an increase of </w:t>
      </w:r>
      <w:r>
        <w:rPr>
          <w:rFonts w:ascii="Arial" w:cs="Arial" w:eastAsia="Arial" w:hAnsi="Arial"/>
          <w:sz w:val="14"/>
          <w:szCs w:val="14"/>
          <w:color w:val="231F20"/>
        </w:rPr>
        <w:t>$6.3 million</w:t>
      </w:r>
      <w:r>
        <w:rPr>
          <w:rFonts w:ascii="Arial" w:cs="Arial" w:eastAsia="Arial" w:hAnsi="Arial"/>
          <w:sz w:val="14"/>
          <w:szCs w:val="14"/>
          <w:color w:val="000000"/>
        </w:rPr>
        <w:t xml:space="preserve"> in expenses related to mergers and strategic investments; partially offset by a decrease of </w:t>
      </w:r>
      <w:r>
        <w:rPr>
          <w:rFonts w:ascii="Arial" w:cs="Arial" w:eastAsia="Arial" w:hAnsi="Arial"/>
          <w:sz w:val="14"/>
          <w:szCs w:val="14"/>
          <w:color w:val="231F20"/>
        </w:rPr>
        <w:t>$25.2 million</w:t>
      </w:r>
      <w:r>
        <w:rPr>
          <w:rFonts w:ascii="Arial" w:cs="Arial" w:eastAsia="Arial" w:hAnsi="Arial"/>
          <w:sz w:val="14"/>
          <w:szCs w:val="14"/>
          <w:color w:val="000000"/>
        </w:rPr>
        <w:t xml:space="preserve"> in charitable donations related mainly to shares transferred to a donor advised fund and a decrease of </w:t>
      </w:r>
      <w:r>
        <w:rPr>
          <w:rFonts w:ascii="Arial" w:cs="Arial" w:eastAsia="Arial" w:hAnsi="Arial"/>
          <w:sz w:val="14"/>
          <w:szCs w:val="14"/>
          <w:color w:val="231F20"/>
        </w:rPr>
        <w:t>$22.1 million</w:t>
      </w:r>
      <w:r>
        <w:rPr>
          <w:rFonts w:ascii="Arial" w:cs="Arial" w:eastAsia="Arial" w:hAnsi="Arial"/>
          <w:sz w:val="14"/>
          <w:szCs w:val="14"/>
          <w:color w:val="000000"/>
        </w:rPr>
        <w:t xml:space="preserve"> related to a contingent liability for sales and other indirect tax.</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Gains on Strategic Investments, Net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6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Nine Months Ended October 31,</w:t>
            </w:r>
          </w:p>
        </w:tc>
        <w:tc>
          <w:tcPr>
            <w:tcW w:w="1280" w:type="dxa"/>
            <w:vAlign w:val="bottom"/>
            <w:tcBorders>
              <w:bottom w:val="single" w:sz="8" w:color="auto"/>
            </w:tcBorders>
          </w:tcPr>
          <w:p>
            <w:pPr>
              <w:spacing w:after="0"/>
              <w:rPr>
                <w:sz w:val="12"/>
                <w:szCs w:val="12"/>
                <w:color w:val="auto"/>
              </w:rPr>
            </w:pPr>
          </w:p>
        </w:tc>
      </w:tr>
      <w:tr>
        <w:trPr>
          <w:trHeight w:val="136"/>
        </w:trPr>
        <w:tc>
          <w:tcPr>
            <w:tcW w:w="6680" w:type="dxa"/>
            <w:vAlign w:val="bottom"/>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 Change</w:t>
            </w:r>
          </w:p>
        </w:tc>
      </w:tr>
      <w:tr>
        <w:trPr>
          <w:trHeight w:val="160"/>
        </w:trPr>
        <w:tc>
          <w:tcPr>
            <w:tcW w:w="6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gridSpan w:val="3"/>
          </w:tcPr>
          <w:p>
            <w:pPr>
              <w:ind w:left="260"/>
              <w:spacing w:after="0"/>
              <w:rPr>
                <w:sz w:val="20"/>
                <w:szCs w:val="20"/>
                <w:color w:val="auto"/>
              </w:rPr>
            </w:pPr>
            <w:r>
              <w:rPr>
                <w:rFonts w:ascii="Arial" w:cs="Arial" w:eastAsia="Arial" w:hAnsi="Arial"/>
                <w:sz w:val="11"/>
                <w:szCs w:val="11"/>
                <w:b w:val="1"/>
                <w:bCs w:val="1"/>
                <w:color w:val="auto"/>
              </w:rPr>
              <w:t>(in thousands)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78"/>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Gains on strategic investments, net</w:t>
            </w:r>
          </w:p>
        </w:tc>
        <w:tc>
          <w:tcPr>
            <w:tcW w:w="880" w:type="dxa"/>
            <w:vAlign w:val="bottom"/>
            <w:shd w:val="clear" w:color="auto" w:fill="CFF0FC"/>
          </w:tcPr>
          <w:p>
            <w:pPr>
              <w:jc w:val="right"/>
              <w:ind w:right="73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154,497</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2,538</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5,987 %</w:t>
            </w: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231F20"/>
        </w:rPr>
        <w:t>Gains on strategic investments, net recognized during the nine months ended October 31, 2021 was driven by $104.9 million unrealized gains recognized on our publicly traded equity securities and $49.6 million unrealized gains recognized on our privately held equity securities, while we had gains on strategic investments, net of $2.5 million recognized during the nine months ended October 31, 2020.</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Interest Income and Other, Net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8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1"/>
                <w:szCs w:val="11"/>
                <w:b w:val="1"/>
                <w:bCs w:val="1"/>
                <w:color w:val="auto"/>
              </w:rPr>
              <w:t>Nine Months Ended October 31,</w:t>
            </w:r>
          </w:p>
        </w:tc>
        <w:tc>
          <w:tcPr>
            <w:tcW w:w="10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6"/>
        </w:trPr>
        <w:tc>
          <w:tcPr>
            <w:tcW w:w="588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0"/>
        </w:trPr>
        <w:tc>
          <w:tcPr>
            <w:tcW w:w="5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8"/>
        </w:trPr>
        <w:tc>
          <w:tcPr>
            <w:tcW w:w="5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income and other, net</w:t>
            </w:r>
          </w:p>
        </w:tc>
        <w:tc>
          <w:tcPr>
            <w:tcW w:w="1200" w:type="dxa"/>
            <w:vAlign w:val="bottom"/>
            <w:shd w:val="clear" w:color="auto" w:fill="CFF0FC"/>
          </w:tcPr>
          <w:p>
            <w:pPr>
              <w:jc w:val="right"/>
              <w:ind w:right="699"/>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(3,171)</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7,112</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39"/>
              <w:spacing w:after="0"/>
              <w:rPr>
                <w:sz w:val="20"/>
                <w:szCs w:val="20"/>
                <w:color w:val="auto"/>
              </w:rPr>
            </w:pPr>
            <w:r>
              <w:rPr>
                <w:rFonts w:ascii="Arial" w:cs="Arial" w:eastAsia="Arial" w:hAnsi="Arial"/>
                <w:sz w:val="14"/>
                <w:szCs w:val="14"/>
                <w:color w:val="auto"/>
              </w:rPr>
              <w:t>(145)</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2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231F20"/>
        </w:rPr>
        <w:t>Interest income and other, net for the nine months ended October 31, 2021 decreased by $10.3 million, or 145%, compared to the nine months ended October 31, 2020. The decrease was primarily attributable to a loss of $10.2 million related to changes in foreign currency exchange rates.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90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1"/>
                <w:szCs w:val="11"/>
                <w:b w:val="1"/>
                <w:bCs w:val="1"/>
                <w:color w:val="auto"/>
              </w:rPr>
              <w:t>Nine Months Ended October 31,</w:t>
            </w:r>
          </w:p>
        </w:tc>
        <w:tc>
          <w:tcPr>
            <w:tcW w:w="10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6"/>
        </w:trPr>
        <w:tc>
          <w:tcPr>
            <w:tcW w:w="590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 Change</w:t>
            </w:r>
          </w:p>
        </w:tc>
        <w:tc>
          <w:tcPr>
            <w:tcW w:w="300" w:type="dxa"/>
            <w:vAlign w:val="bottom"/>
            <w:tcBorders>
              <w:bottom w:val="single" w:sz="8" w:color="auto"/>
            </w:tcBorders>
          </w:tcPr>
          <w:p>
            <w:pPr>
              <w:spacing w:after="0"/>
              <w:rPr>
                <w:sz w:val="11"/>
                <w:szCs w:val="11"/>
                <w:color w:val="auto"/>
              </w:rPr>
            </w:pPr>
          </w:p>
        </w:tc>
      </w:tr>
      <w:tr>
        <w:trPr>
          <w:trHeight w:val="160"/>
        </w:trPr>
        <w:tc>
          <w:tcPr>
            <w:tcW w:w="5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gridSpan w:val="3"/>
          </w:tcPr>
          <w:p>
            <w:pPr>
              <w:jc w:val="right"/>
              <w:ind w:right="179"/>
              <w:spacing w:after="0"/>
              <w:rPr>
                <w:sz w:val="20"/>
                <w:szCs w:val="20"/>
                <w:color w:val="auto"/>
              </w:rPr>
            </w:pPr>
            <w:r>
              <w:rPr>
                <w:rFonts w:ascii="Arial" w:cs="Arial" w:eastAsia="Arial" w:hAnsi="Arial"/>
                <w:sz w:val="11"/>
                <w:szCs w:val="11"/>
                <w:b w:val="1"/>
                <w:bCs w:val="1"/>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8"/>
        </w:trPr>
        <w:tc>
          <w:tcPr>
            <w:tcW w:w="59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for income taxes</w:t>
            </w:r>
          </w:p>
        </w:tc>
        <w:tc>
          <w:tcPr>
            <w:tcW w:w="1200" w:type="dxa"/>
            <w:vAlign w:val="bottom"/>
            <w:shd w:val="clear" w:color="auto" w:fill="CFF0FC"/>
          </w:tcPr>
          <w:p>
            <w:pPr>
              <w:jc w:val="right"/>
              <w:ind w:right="699"/>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78,100</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1,675</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4"/>
                <w:szCs w:val="14"/>
                <w:color w:val="auto"/>
              </w:rPr>
              <w:t>4,563</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bl>
    <w:p>
      <w:pPr>
        <w:spacing w:after="0" w:line="21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 xml:space="preserve">Provision for income taxes for the nine months ended October 31, 2021 increased by </w:t>
      </w:r>
      <w:r>
        <w:rPr>
          <w:rFonts w:ascii="Arial" w:cs="Arial" w:eastAsia="Arial" w:hAnsi="Arial"/>
          <w:sz w:val="14"/>
          <w:szCs w:val="14"/>
          <w:color w:val="231F20"/>
        </w:rPr>
        <w:t>$76.4 million</w:t>
      </w:r>
      <w:r>
        <w:rPr>
          <w:rFonts w:ascii="Arial" w:cs="Arial" w:eastAsia="Arial" w:hAnsi="Arial"/>
          <w:sz w:val="14"/>
          <w:szCs w:val="14"/>
          <w:color w:val="auto"/>
        </w:rPr>
        <w:t xml:space="preserve">, or 4,563%, compared to the nine months ended October 31, 2020. The change was </w:t>
      </w:r>
      <w:r>
        <w:rPr>
          <w:rFonts w:ascii="Arial" w:cs="Arial" w:eastAsia="Arial" w:hAnsi="Arial"/>
          <w:sz w:val="14"/>
          <w:szCs w:val="14"/>
          <w:color w:val="231F20"/>
        </w:rPr>
        <w:t>primarily due to</w:t>
      </w:r>
      <w:r>
        <w:rPr>
          <w:rFonts w:ascii="Arial" w:cs="Arial" w:eastAsia="Arial" w:hAnsi="Arial"/>
          <w:sz w:val="14"/>
          <w:szCs w:val="14"/>
          <w:color w:val="auto"/>
        </w:rPr>
        <w:t xml:space="preserve"> </w:t>
      </w:r>
      <w:r>
        <w:rPr>
          <w:rFonts w:ascii="Arial" w:cs="Arial" w:eastAsia="Arial" w:hAnsi="Arial"/>
          <w:sz w:val="14"/>
          <w:szCs w:val="14"/>
          <w:color w:val="231F20"/>
        </w:rPr>
        <w:t>an increase in global income, certain elections and accounting method changes creating additional book-tax differences, as well as a decrease in stock-based compensation for tax purposes. Our calculation of income tax expense is dependent in part on forecasts of full-year results.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86"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As of October 31, 2021, our principal sources of liquidity were cash, cash equivalents, and marketable securities of $5.4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64" w:lineRule="exact"/>
        <w:rPr>
          <w:sz w:val="20"/>
          <w:szCs w:val="20"/>
          <w:color w:val="auto"/>
        </w:rPr>
      </w:pPr>
    </w:p>
    <w:p>
      <w:pPr>
        <w:jc w:val="both"/>
        <w:ind w:firstLine="367"/>
        <w:spacing w:after="0" w:line="292" w:lineRule="auto"/>
        <w:rPr>
          <w:sz w:val="20"/>
          <w:szCs w:val="20"/>
          <w:color w:val="auto"/>
        </w:rPr>
      </w:pPr>
      <w:r>
        <w:rPr>
          <w:rFonts w:ascii="Arial" w:cs="Arial" w:eastAsia="Arial" w:hAnsi="Arial"/>
          <w:sz w:val="12"/>
          <w:szCs w:val="12"/>
          <w:color w:val="auto"/>
        </w:rPr>
        <w:t>We have financed our operations primarily through income from operations and sales of equity securities. Cash from operations could also be affected by various risks and uncertainties, including, but not limited to, the effects of the COVID-19 pandemic, including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8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Nine Months Ended October 31,</w:t>
            </w:r>
          </w:p>
        </w:tc>
        <w:tc>
          <w:tcPr>
            <w:tcW w:w="940" w:type="dxa"/>
            <w:vAlign w:val="bottom"/>
            <w:tcBorders>
              <w:bottom w:val="single" w:sz="8" w:color="auto"/>
            </w:tcBorders>
          </w:tcPr>
          <w:p>
            <w:pPr>
              <w:spacing w:after="0"/>
              <w:rPr>
                <w:sz w:val="12"/>
                <w:szCs w:val="12"/>
                <w:color w:val="auto"/>
              </w:rPr>
            </w:pPr>
          </w:p>
        </w:tc>
      </w:tr>
      <w:tr>
        <w:trPr>
          <w:trHeight w:val="136"/>
        </w:trPr>
        <w:tc>
          <w:tcPr>
            <w:tcW w:w="784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55"/>
              <w:spacing w:after="0"/>
              <w:rPr>
                <w:sz w:val="20"/>
                <w:szCs w:val="20"/>
                <w:color w:val="auto"/>
              </w:rPr>
            </w:pPr>
            <w:r>
              <w:rPr>
                <w:rFonts w:ascii="Arial" w:cs="Arial" w:eastAsia="Arial" w:hAnsi="Arial"/>
                <w:sz w:val="11"/>
                <w:szCs w:val="11"/>
                <w:b w:val="1"/>
                <w:bCs w:val="1"/>
                <w:color w:val="auto"/>
                <w:w w:val="81"/>
              </w:rPr>
              <w:t>2020</w:t>
            </w:r>
          </w:p>
        </w:tc>
      </w:tr>
      <w:tr>
        <w:trPr>
          <w:trHeight w:val="160"/>
        </w:trPr>
        <w:tc>
          <w:tcPr>
            <w:tcW w:w="7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right"/>
              <w:ind w:right="352"/>
              <w:spacing w:after="0"/>
              <w:rPr>
                <w:sz w:val="20"/>
                <w:szCs w:val="20"/>
                <w:color w:val="auto"/>
              </w:rPr>
            </w:pPr>
            <w:r>
              <w:rPr>
                <w:rFonts w:ascii="Arial" w:cs="Arial" w:eastAsia="Arial" w:hAnsi="Arial"/>
                <w:sz w:val="11"/>
                <w:szCs w:val="11"/>
                <w:b w:val="1"/>
                <w:bCs w:val="1"/>
                <w:color w:val="auto"/>
              </w:rPr>
              <w:t>(in thousands)</w:t>
            </w:r>
          </w:p>
        </w:tc>
        <w:tc>
          <w:tcPr>
            <w:tcW w:w="940" w:type="dxa"/>
            <w:vAlign w:val="bottom"/>
          </w:tcPr>
          <w:p>
            <w:pPr>
              <w:spacing w:after="0"/>
              <w:rPr>
                <w:sz w:val="13"/>
                <w:szCs w:val="13"/>
                <w:color w:val="auto"/>
              </w:rPr>
            </w:pPr>
          </w:p>
        </w:tc>
      </w:tr>
      <w:tr>
        <w:trPr>
          <w:trHeight w:val="17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shd w:val="clear" w:color="auto" w:fill="CCEEFF"/>
          </w:tcPr>
          <w:p>
            <w:pPr>
              <w:jc w:val="right"/>
              <w:ind w:right="795"/>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1,395,870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1,071,781</w:t>
            </w:r>
          </w:p>
        </w:tc>
      </w:tr>
      <w:tr>
        <w:trPr>
          <w:trHeight w:val="173"/>
        </w:trPr>
        <w:tc>
          <w:tcPr>
            <w:tcW w:w="78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940" w:type="dxa"/>
            <w:vAlign w:val="bottom"/>
          </w:tcPr>
          <w:p>
            <w:pPr>
              <w:jc w:val="right"/>
              <w:ind w:right="795"/>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(2,367,098)</w:t>
            </w:r>
          </w:p>
        </w:tc>
        <w:tc>
          <w:tcPr>
            <w:tcW w:w="100" w:type="dxa"/>
            <w:vAlign w:val="bottom"/>
          </w:tcPr>
          <w:p>
            <w:pPr>
              <w:spacing w:after="0"/>
              <w:rPr>
                <w:sz w:val="15"/>
                <w:szCs w:val="15"/>
                <w:color w:val="auto"/>
              </w:rPr>
            </w:pPr>
          </w:p>
        </w:tc>
        <w:tc>
          <w:tcPr>
            <w:tcW w:w="700" w:type="dxa"/>
            <w:vAlign w:val="bottom"/>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(673,377)</w:t>
            </w:r>
          </w:p>
        </w:tc>
      </w:tr>
      <w:tr>
        <w:trPr>
          <w:trHeight w:val="174"/>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940" w:type="dxa"/>
            <w:vAlign w:val="bottom"/>
            <w:shd w:val="clear" w:color="auto" w:fill="CCEEFF"/>
          </w:tcPr>
          <w:p>
            <w:pPr>
              <w:jc w:val="right"/>
              <w:ind w:right="795"/>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296,242</w:t>
            </w:r>
          </w:p>
        </w:tc>
      </w:tr>
    </w:tbl>
    <w:p>
      <w:pPr>
        <w:spacing w:after="0" w:line="30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8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affected by our net income adjusted for certain non-cash items, such as stock-based compensation expense and depreciation and amortization expenses, as well as the effect of changes in operating assets and liabilities.</w:t>
      </w:r>
    </w:p>
    <w:p>
      <w:pPr>
        <w:spacing w:after="0" w:line="64"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Net cash provided by operating activities was $1,395.9 million for the nine months ended October 31, 2021, compared to $1,071.8 million for the nine months ended October 31, 2020. The increase in operating cash flow was due to an increase in net income of $473.3 million; and an increase in non-cash adjustments of $58.5 million, which is primarily a result of higher stock-based compensation expense and higher deferred contract acquisition cost amortization due to an increase in capitalized commissions as we continue to grow and expand our customer base, offset by higher gains on strategic investments, net; offset by the negative impact from changes in operating assets and liabilities of $207.7 million.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84"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Net cash used in investing activities of $2,367.1 million for the nine months ended October 31, 2021 was due to net purchases of marketable securities of $2,117.2 million, purchases of strategic investments of $126.3 million, purchases of property and equipment of $111.8 million, purchases of intangible assets of $9.6 million, and cash paid for acquisition, net of cash acquired, of $2.1 million.</w:t>
      </w:r>
    </w:p>
    <w:p>
      <w:pPr>
        <w:spacing w:after="0" w:line="11"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Net cash used in investing activities of $673.4 million for the nine months ended October 31, 2020 was primarily due to net purchases of marketable securities of $572.6 million, purchases of property and equipment of $58.5 million, cash paid for acquisition, net of cash acquired, of $26.5 million, and purchases of strategic investments of $13.0 million.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84"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 xml:space="preserve">Net cash provided by financing activities of $20.9 million for the nine months ended October 31, 2021 was primarily due to proceeds from issuance of common stock under our ESPP of </w:t>
      </w:r>
      <w:r>
        <w:rPr>
          <w:rFonts w:ascii="Arial" w:cs="Arial" w:eastAsia="Arial" w:hAnsi="Arial"/>
          <w:sz w:val="12"/>
          <w:szCs w:val="12"/>
          <w:color w:val="231F20"/>
        </w:rPr>
        <w:t>$37.8 million</w:t>
      </w:r>
      <w:r>
        <w:rPr>
          <w:rFonts w:ascii="Arial" w:cs="Arial" w:eastAsia="Arial" w:hAnsi="Arial"/>
          <w:sz w:val="12"/>
          <w:szCs w:val="12"/>
          <w:color w:val="auto"/>
        </w:rPr>
        <w:t xml:space="preserve"> </w:t>
      </w:r>
      <w:r>
        <w:rPr>
          <w:rFonts w:ascii="Arial" w:cs="Arial" w:eastAsia="Arial" w:hAnsi="Arial"/>
          <w:sz w:val="12"/>
          <w:szCs w:val="12"/>
          <w:color w:val="231F20"/>
        </w:rPr>
        <w:t xml:space="preserve">and </w:t>
      </w:r>
      <w:r>
        <w:rPr>
          <w:rFonts w:ascii="Arial" w:cs="Arial" w:eastAsia="Arial" w:hAnsi="Arial"/>
          <w:sz w:val="12"/>
          <w:szCs w:val="12"/>
          <w:color w:val="000000"/>
        </w:rPr>
        <w:t>proceeds from the exercise of stock options of $11.0 million, offset by proceeds from employee equity transactions remitted to employees and tax authorities, net, of</w:t>
      </w:r>
      <w:r>
        <w:rPr>
          <w:rFonts w:ascii="Arial" w:cs="Arial" w:eastAsia="Arial" w:hAnsi="Arial"/>
          <w:sz w:val="12"/>
          <w:szCs w:val="12"/>
          <w:color w:val="231F20"/>
        </w:rPr>
        <w:t xml:space="preserve"> $28.3 million</w:t>
      </w:r>
      <w:r>
        <w:rPr>
          <w:rFonts w:ascii="Arial" w:cs="Arial" w:eastAsia="Arial" w:hAnsi="Arial"/>
          <w:sz w:val="12"/>
          <w:szCs w:val="12"/>
          <w:color w:val="000000"/>
        </w:rPr>
        <w:t>.</w:t>
      </w:r>
    </w:p>
    <w:p>
      <w:pPr>
        <w:spacing w:after="0" w:line="11"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Net cash provided by financing activities of $296.2 million for the nine months ended October 31, 2020 was due to proceeds from employee equity transactions to be remitted to employees and tax authorities, net, of $251.6 million, proceeds from the exercise of stock options of $23.8 million, and proceeds from issuance of common stock under our ESPP of $20.8 million.</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Contractual Obligations</w:t>
      </w:r>
    </w:p>
    <w:p>
      <w:pPr>
        <w:spacing w:after="0" w:line="86"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There have been no material changes to our contractual obligations and commitments from those disclosed in our Management’s Discussion and Analysis of Financial Condition and Results of Operations, included in our Annual Report on Form 10-K for the year ended January 31, 2021, filed with the SEC on March 18, 2021.</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do not have any off-balance sheet arrangements as defined in Item 303(a)(4)(ii) of Regulation S-K promulgated by the SEC under the Securities Act.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86"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Critical accounting policies and estimates are those accounting policies and estimates that are both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69"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There have been no material changes to our critical accounting policies and estimates as compared to the critical accounting policies and estimates described in our Management’s Discussion and Analysis of Financial Condition and Results of Operations, included in our Annual Report on Form 10-K for the year ended January 31, 2021, filed with the SEC on March 18, 2021.</w:t>
      </w:r>
    </w:p>
    <w:p>
      <w:pPr>
        <w:spacing w:after="0" w:line="60"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Foreign Currency and Exchange Risk</w:t>
      </w:r>
    </w:p>
    <w:p>
      <w:pPr>
        <w:spacing w:after="0" w:line="84"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The vast majority of our cash generated from revenue is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condensed consolidated financial statements for the three and nine months ended October 31, 2021 and 2020.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84"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 xml:space="preserve">We had cash and cash equivalents of </w:t>
      </w:r>
      <w:r>
        <w:rPr>
          <w:rFonts w:ascii="Arial" w:cs="Arial" w:eastAsia="Arial" w:hAnsi="Arial"/>
          <w:sz w:val="12"/>
          <w:szCs w:val="12"/>
          <w:color w:val="231F20"/>
        </w:rPr>
        <w:t>$1,322.4 million</w:t>
      </w:r>
      <w:r>
        <w:rPr>
          <w:rFonts w:ascii="Arial" w:cs="Arial" w:eastAsia="Arial" w:hAnsi="Arial"/>
          <w:sz w:val="12"/>
          <w:szCs w:val="12"/>
          <w:color w:val="auto"/>
        </w:rPr>
        <w:t xml:space="preserve"> and marketable securities of </w:t>
      </w:r>
      <w:r>
        <w:rPr>
          <w:rFonts w:ascii="Arial" w:cs="Arial" w:eastAsia="Arial" w:hAnsi="Arial"/>
          <w:sz w:val="12"/>
          <w:szCs w:val="12"/>
          <w:color w:val="231F20"/>
        </w:rPr>
        <w:t>$4,095.5 million</w:t>
      </w:r>
      <w:r>
        <w:rPr>
          <w:rFonts w:ascii="Arial" w:cs="Arial" w:eastAsia="Arial" w:hAnsi="Arial"/>
          <w:sz w:val="12"/>
          <w:szCs w:val="12"/>
          <w:color w:val="auto"/>
        </w:rPr>
        <w:t xml:space="preserve"> as of October 31, 2021. Cash and cash equivalents consist of bank deposits, money market funds, and treasury bills.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nine months ended October 31, 2021 and 2020.</w:t>
      </w:r>
    </w:p>
    <w:p>
      <w:pPr>
        <w:spacing w:after="0" w:line="100"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84"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 xml:space="preserve">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w:t>
      </w:r>
      <w:r>
        <w:rPr>
          <w:rFonts w:ascii="Arial" w:cs="Arial" w:eastAsia="Arial" w:hAnsi="Arial"/>
          <w:sz w:val="12"/>
          <w:szCs w:val="12"/>
          <w:color w:val="231F20"/>
        </w:rPr>
        <w:t>October 31, 2021</w:t>
      </w:r>
      <w:r>
        <w:rPr>
          <w:rFonts w:ascii="Arial" w:cs="Arial" w:eastAsia="Arial" w:hAnsi="Arial"/>
          <w:sz w:val="12"/>
          <w:szCs w:val="12"/>
          <w:color w:val="auto"/>
        </w:rPr>
        <w:t>, our disclosure controls and procedures were effective at a reasonable assurance level.</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8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 xml:space="preserve">There has been no change in our internal control over financial reporting (as defined in Rules 13a-15(d) and 15d-15(d) under the Exchange Act) that occurred during the quarter ended </w:t>
      </w:r>
      <w:r>
        <w:rPr>
          <w:rFonts w:ascii="Arial" w:cs="Arial" w:eastAsia="Arial" w:hAnsi="Arial"/>
          <w:sz w:val="14"/>
          <w:szCs w:val="14"/>
          <w:color w:val="231F20"/>
        </w:rPr>
        <w:t>October 31,</w:t>
      </w:r>
      <w:r>
        <w:rPr>
          <w:rFonts w:ascii="Arial" w:cs="Arial" w:eastAsia="Arial" w:hAnsi="Arial"/>
          <w:sz w:val="14"/>
          <w:szCs w:val="14"/>
          <w:color w:val="auto"/>
        </w:rPr>
        <w:t xml:space="preserve"> </w:t>
      </w:r>
      <w:r>
        <w:rPr>
          <w:rFonts w:ascii="Arial" w:cs="Arial" w:eastAsia="Arial" w:hAnsi="Arial"/>
          <w:sz w:val="14"/>
          <w:szCs w:val="14"/>
          <w:color w:val="231F20"/>
        </w:rPr>
        <w:t xml:space="preserve">2021 </w:t>
      </w:r>
      <w:r>
        <w:rPr>
          <w:rFonts w:ascii="Arial" w:cs="Arial" w:eastAsia="Arial" w:hAnsi="Arial"/>
          <w:sz w:val="14"/>
          <w:szCs w:val="14"/>
          <w:color w:val="000000"/>
        </w:rPr>
        <w:t>that has materially affected, or is reasonably likely to materially affect, our internal control over financial reporting.</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Inherent Limitations on Effectiveness of Disclosure Controls and Procedures</w:t>
      </w:r>
    </w:p>
    <w:p>
      <w:pPr>
        <w:spacing w:after="0" w:line="8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Our management, including our principal executive officer and principal financial officer, does not expect that our disclosure controls and procedures or our internal control over financial reporting will prevent all errors and all frauds. A control system, no matter how well designed and operated, can provide only reasonable, not absolute, assurance that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II—Other Information</w:t>
      </w:r>
    </w:p>
    <w:p>
      <w:pPr>
        <w:spacing w:after="0" w:line="247"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86"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pacing w:after="0" w:line="21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86"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Our Industry</w:t>
      </w:r>
    </w:p>
    <w:p>
      <w:pPr>
        <w:spacing w:after="0" w:line="168"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58"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communications platform who initiates a Zoom Meeting and invites one or more participants to join that meeting. We refer to hosts who subscribe to a paid Zoom Meeting plan as “paid hosts.”</w:t>
      </w:r>
    </w:p>
    <w:p>
      <w:pPr>
        <w:spacing w:after="0" w:line="64" w:lineRule="exact"/>
        <w:rPr>
          <w:sz w:val="20"/>
          <w:szCs w:val="20"/>
          <w:color w:val="auto"/>
        </w:rPr>
      </w:pPr>
    </w:p>
    <w:p>
      <w:pPr>
        <w:jc w:val="both"/>
        <w:ind w:firstLine="367"/>
        <w:spacing w:after="0" w:line="292" w:lineRule="auto"/>
        <w:rPr>
          <w:sz w:val="20"/>
          <w:szCs w:val="20"/>
          <w:color w:val="auto"/>
        </w:rPr>
      </w:pPr>
      <w:r>
        <w:rPr>
          <w:rFonts w:ascii="Arial" w:cs="Arial" w:eastAsia="Arial" w:hAnsi="Arial"/>
          <w:sz w:val="12"/>
          <w:szCs w:val="12"/>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largely from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208"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including those that recently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40"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In addition, our user growth rate may slow or decline in the future as our market penetration rates increase and we turn our focus to upgrading our free hosts to a paid Zoom Meeting plan rather than growing the total number of users. If we are not able to continue to expand our user base, our revenue may grow more slowly than expected or decline. Similar to the uncertainty of customers renewing their subscriptions or hosts upgrading to a paid Zoom Meeting plan, we expect our user growth rate to slow or decline once the impact of the COVID-19 pandemic tapers, particularly as vaccines become widely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available and distributed, and users return to work or school or are otherwise no longer subject to limitations on in-person meetings.</w:t>
      </w:r>
    </w:p>
    <w:p>
      <w:pPr>
        <w:spacing w:after="0" w:line="166"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58" w:lineRule="exact"/>
        <w:rPr>
          <w:sz w:val="20"/>
          <w:szCs w:val="20"/>
          <w:color w:val="auto"/>
        </w:rPr>
      </w:pPr>
    </w:p>
    <w:p>
      <w:pPr>
        <w:jc w:val="both"/>
        <w:ind w:firstLine="367"/>
        <w:spacing w:after="0" w:line="289" w:lineRule="auto"/>
        <w:rPr>
          <w:sz w:val="20"/>
          <w:szCs w:val="20"/>
          <w:color w:val="auto"/>
        </w:rPr>
      </w:pPr>
      <w:r>
        <w:rPr>
          <w:rFonts w:ascii="Arial" w:cs="Arial" w:eastAsia="Arial" w:hAnsi="Arial"/>
          <w:sz w:val="12"/>
          <w:szCs w:val="12"/>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213" w:lineRule="exact"/>
        <w:rPr>
          <w:sz w:val="20"/>
          <w:szCs w:val="20"/>
          <w:color w:val="auto"/>
        </w:rPr>
      </w:pPr>
    </w:p>
    <w:p>
      <w:pPr>
        <w:jc w:val="both"/>
        <w:ind w:firstLine="367"/>
        <w:spacing w:after="0" w:line="301" w:lineRule="auto"/>
        <w:rPr>
          <w:sz w:val="20"/>
          <w:szCs w:val="20"/>
          <w:color w:val="auto"/>
        </w:rPr>
      </w:pPr>
      <w:r>
        <w:rPr>
          <w:rFonts w:ascii="Arial" w:cs="Arial" w:eastAsia="Arial" w:hAnsi="Arial"/>
          <w:sz w:val="12"/>
          <w:szCs w:val="12"/>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communications platform because of its reliability and performance. We plan to continue our practice of opening new data centers to meet increased demand, but we may be unable to bring additional data centers online in a timely manner, including as a result of current shortages for</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certain parts, such as servers. In addition, to meet short-term capacity needs, we may need to rely increasingly on public cloud providers, including Amazon Web Services and Oracle Cloud, which may result in higher variable costs and harm our business, financial condition, and operating results.</w:t>
      </w:r>
    </w:p>
    <w:p>
      <w:pPr>
        <w:spacing w:after="0" w:line="58"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operate in competitive markets, and we must continue to compete effectively.</w:t>
      </w:r>
    </w:p>
    <w:p>
      <w:pPr>
        <w:spacing w:after="0" w:line="8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58" w:lineRule="exact"/>
        <w:rPr>
          <w:sz w:val="20"/>
          <w:szCs w:val="20"/>
          <w:color w:val="auto"/>
        </w:rPr>
      </w:pPr>
    </w:p>
    <w:p>
      <w:pPr>
        <w:ind w:left="480" w:hanging="233"/>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legacy web-based meeting providers, including Cisco Webex and LogMeIn GoToMeeting;</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bundled productivity solutions providers with video functionality, including Microsoft Teams and Google G Suite and Meet products;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UCaaS and legacy PBX providers, including Avaya, RingCentral, and 8x8; and</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consumer-facing platforms that can support small- or medium-sized businesses, including Amazon, Apple and Facebook.</w:t>
      </w:r>
    </w:p>
    <w:p>
      <w:pPr>
        <w:spacing w:after="0" w:line="84" w:lineRule="exact"/>
        <w:rPr>
          <w:sz w:val="20"/>
          <w:szCs w:val="20"/>
          <w:color w:val="auto"/>
        </w:rPr>
      </w:pPr>
    </w:p>
    <w:p>
      <w:pPr>
        <w:ind w:firstLine="367"/>
        <w:spacing w:after="0" w:line="345" w:lineRule="auto"/>
        <w:rPr>
          <w:sz w:val="20"/>
          <w:szCs w:val="20"/>
          <w:color w:val="auto"/>
        </w:rPr>
      </w:pPr>
      <w:r>
        <w:rPr>
          <w:rFonts w:ascii="Arial" w:cs="Arial" w:eastAsia="Arial" w:hAnsi="Arial"/>
          <w:sz w:val="12"/>
          <w:szCs w:val="12"/>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in 2019 we introduced Zoom Phone, a cloud phone system that allows customers to</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93" w:lineRule="auto"/>
        <w:rPr>
          <w:sz w:val="20"/>
          <w:szCs w:val="20"/>
          <w:color w:val="auto"/>
        </w:rPr>
      </w:pPr>
      <w:r>
        <w:rPr>
          <w:rFonts w:ascii="Arial" w:cs="Arial" w:eastAsia="Arial" w:hAnsi="Arial"/>
          <w:sz w:val="12"/>
          <w:szCs w:val="12"/>
          <w:color w:val="auto"/>
        </w:rPr>
        <w:t>replace their existing PBX solution, which will result in increased competition against companies that offer similar services and new competitors that may enter that market in the future. Also, in connection with the travel restrictions and stay-in-place policies resulting from the COVID-19 pandemic, we have seen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208" w:lineRule="exact"/>
        <w:rPr>
          <w:sz w:val="20"/>
          <w:szCs w:val="20"/>
          <w:color w:val="auto"/>
        </w:rPr>
      </w:pPr>
    </w:p>
    <w:p>
      <w:pPr>
        <w:jc w:val="both"/>
        <w:ind w:firstLine="367"/>
        <w:spacing w:after="0" w:line="293" w:lineRule="auto"/>
        <w:rPr>
          <w:sz w:val="20"/>
          <w:szCs w:val="20"/>
          <w:color w:val="auto"/>
        </w:rPr>
      </w:pPr>
      <w:r>
        <w:rPr>
          <w:rFonts w:ascii="Arial" w:cs="Arial" w:eastAsia="Arial" w:hAnsi="Arial"/>
          <w:sz w:val="12"/>
          <w:szCs w:val="12"/>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not be able to sustain our revenue growth rate in the future.</w:t>
      </w:r>
    </w:p>
    <w:p>
      <w:pPr>
        <w:spacing w:after="0" w:line="84"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We have experienced significant revenue growth in prior periods. You should not rely on the revenue growth of any prior quarterly or annual period as an indication of our future performance. We expect our revenue growth rate to generally decline in future periods. Many factors may contribute to declines in our growth rate, including higher market penetration, increased competition, slowing demand for our platform, especially once the impact of the COVID-19 pandemic tapers, particularly as vaccines become widely available and distributed, and users return to work or school or are otherwise no longer subject to limitations on in-person meetings,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quarterly results may fluctuate significantly and may not fully reflect the underlying performance of our business.</w:t>
      </w:r>
    </w:p>
    <w:p>
      <w:pPr>
        <w:spacing w:after="0" w:line="84" w:lineRule="exact"/>
        <w:rPr>
          <w:sz w:val="20"/>
          <w:szCs w:val="20"/>
          <w:color w:val="auto"/>
        </w:rPr>
      </w:pPr>
    </w:p>
    <w:p>
      <w:pPr>
        <w:jc w:val="both"/>
        <w:ind w:firstLine="367"/>
        <w:spacing w:after="0" w:line="246" w:lineRule="auto"/>
        <w:rPr>
          <w:sz w:val="20"/>
          <w:szCs w:val="20"/>
          <w:color w:val="auto"/>
        </w:rPr>
      </w:pPr>
      <w:r>
        <w:rPr>
          <w:rFonts w:ascii="Arial" w:cs="Arial" w:eastAsia="Arial" w:hAnsi="Arial"/>
          <w:sz w:val="14"/>
          <w:szCs w:val="14"/>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69" w:lineRule="exact"/>
        <w:rPr>
          <w:sz w:val="20"/>
          <w:szCs w:val="20"/>
          <w:color w:val="auto"/>
        </w:rPr>
      </w:pPr>
    </w:p>
    <w:p>
      <w:pPr>
        <w:ind w:left="480" w:hanging="233"/>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retain and upgrade customers to higher-priced tiers of Zoom Meeting plans;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attract new hosts and upgrade hosts that subscribe to our free Zoom Meeting plan to one of our paid Zoom Meeting plans;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hire and retain employees, in particular those responsible for the selling or marketing of our platform;</w:t>
      </w:r>
    </w:p>
    <w:p>
      <w:pPr>
        <w:spacing w:after="0" w:line="83"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57" w:lineRule="exact"/>
        <w:rPr>
          <w:rFonts w:ascii="Arial" w:cs="Arial" w:eastAsia="Arial" w:hAnsi="Arial"/>
          <w:sz w:val="14"/>
          <w:szCs w:val="14"/>
          <w:color w:val="auto"/>
        </w:rPr>
      </w:pPr>
    </w:p>
    <w:p>
      <w:pPr>
        <w:ind w:left="480" w:hanging="233"/>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the way we organize and compensate our sales teams;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ind w:left="480" w:hanging="233"/>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of expenses and recognition of revenue;</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ability to increase sales to large organizations;</w:t>
      </w:r>
    </w:p>
    <w:p>
      <w:pPr>
        <w:spacing w:after="0" w:line="83"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length of our sales cycles, especially with respect to sales to large enterprises and highly-regulated industries, including financial services and U.S. federal and state and foreign governmental agencies;</w:t>
      </w:r>
    </w:p>
    <w:p>
      <w:pPr>
        <w:spacing w:after="0" w:line="57"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57" w:lineRule="exact"/>
        <w:rPr>
          <w:rFonts w:ascii="Arial" w:cs="Arial" w:eastAsia="Arial" w:hAnsi="Arial"/>
          <w:sz w:val="14"/>
          <w:szCs w:val="14"/>
          <w:color w:val="auto"/>
        </w:rPr>
      </w:pPr>
    </w:p>
    <w:p>
      <w:pPr>
        <w:ind w:left="480" w:hanging="233"/>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timing and effectiveness of new sales and marketing initiatives;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our pricing policies or those of our competitors;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hire and retain experienced research and development personnel to design new products, features, and functionality that meet our privacy and security standards;</w:t>
      </w:r>
    </w:p>
    <w:p>
      <w:pPr>
        <w:spacing w:after="0" w:line="106" w:lineRule="exact"/>
        <w:rPr>
          <w:rFonts w:ascii="Arial" w:cs="Arial" w:eastAsia="Arial" w:hAnsi="Arial"/>
          <w:sz w:val="12"/>
          <w:szCs w:val="12"/>
          <w:color w:val="auto"/>
        </w:rPr>
      </w:pPr>
    </w:p>
    <w:p>
      <w:pPr>
        <w:ind w:left="480" w:hanging="233"/>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and success of new products, features, and functionality by us or our competitors;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interruptions or delays in our service; network outages; or actual, alleged, or perceived privacy violations or issues or security vulnerabilities, incidents, or breaches;</w:t>
      </w:r>
    </w:p>
    <w:p>
      <w:pPr>
        <w:spacing w:after="0" w:line="83"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lawsuits; regulatory actions or investigations; legislator scrutiny; or negative publicity arising from actual, alleged, or perceived privacy violations or issues or security vulnerabilities, incidents, or breaches;</w:t>
      </w:r>
    </w:p>
    <w:p>
      <w:pPr>
        <w:spacing w:after="0" w:line="57" w:lineRule="exact"/>
        <w:rPr>
          <w:rFonts w:ascii="Arial" w:cs="Arial" w:eastAsia="Arial" w:hAnsi="Arial"/>
          <w:sz w:val="14"/>
          <w:szCs w:val="14"/>
          <w:color w:val="auto"/>
        </w:rPr>
      </w:pPr>
    </w:p>
    <w:p>
      <w:pPr>
        <w:ind w:left="480" w:hanging="233"/>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the competitive dynamics of our industry, including consolidation among competitors;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laws and regulations that impact our business;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large indemnification payments to our users or other third parties;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of expenses related to any future acquisitions; and</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economic and market conditions.</w:t>
      </w:r>
    </w:p>
    <w:p>
      <w:pPr>
        <w:spacing w:after="0" w:line="166"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8" w:lineRule="exact"/>
        <w:rPr>
          <w:sz w:val="20"/>
          <w:szCs w:val="20"/>
          <w:color w:val="auto"/>
        </w:rPr>
      </w:pPr>
    </w:p>
    <w:p>
      <w:pPr>
        <w:jc w:val="both"/>
        <w:ind w:firstLine="367"/>
        <w:spacing w:after="0" w:line="292" w:lineRule="auto"/>
        <w:rPr>
          <w:sz w:val="20"/>
          <w:szCs w:val="20"/>
          <w:color w:val="auto"/>
        </w:rPr>
      </w:pPr>
      <w:r>
        <w:rPr>
          <w:rFonts w:ascii="Arial" w:cs="Arial" w:eastAsia="Arial" w:hAnsi="Arial"/>
          <w:sz w:val="12"/>
          <w:szCs w:val="12"/>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 and their usage of communications capacity increases, including increased usage stemming from the COVID-19 pandemic,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208"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67"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On January 4, 2018, the Federal Communications Commission (“FCC”) released an order reclassifying broadband internet access as an information service, subject to certain provisions of Title I of the Communications Act. The order requires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auto"/>
        </w:rPr>
        <w:t>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27, 2020, the FCC adopted an order concluding that the three issues remanded by the court did not provide a basis to alter its conclusions in the 2018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In addition, a number of states have adopted or are adopting or considering legislation or executive actions that would regulate the conduct of broadband providers. A federal court judge denied a request for injunction against California’s state-specific network neutrality law, and as a result, California began enforcing that law on March 25, 2021. On March 10, 2021, trade associations representing internet service providers appealed the district court’s ruling denying the preliminary injunction. We cannot predict whether the FCC order or other state initiatives will be enforced, modified, overturned, or vacated by legal action of the court, federal legislation, or the FCC. Under the FCC's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212"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As we increase sales to large organizations, our sales cycles could lengthen, and we could experience greater deployment challenges.</w:t>
      </w:r>
    </w:p>
    <w:p>
      <w:pPr>
        <w:spacing w:after="0" w:line="84"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As we continue to grow, 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22"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58"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67"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64" w:lineRule="exact"/>
        <w:rPr>
          <w:sz w:val="20"/>
          <w:szCs w:val="20"/>
          <w:color w:val="auto"/>
        </w:rPr>
      </w:pPr>
    </w:p>
    <w:p>
      <w:pPr>
        <w:ind w:left="480" w:hanging="233"/>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general awareness of the communications and collaboration technologies category;</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availability of products and services that compete with ours;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ind w:left="480" w:hanging="233"/>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new modes of communications and collaboration that may be developed in the future;</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ease of adoption and use;</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features and platform experience;</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reliability of our platform, including frequency of outages;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performance;</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brand;</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user support; and</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pricing.</w:t>
      </w:r>
    </w:p>
    <w:p>
      <w:pPr>
        <w:spacing w:after="0" w:line="8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have experienced net losses in the past, and we expect to increase our expenses in the future, which could prevent us from maintaining profitability.</w:t>
      </w:r>
    </w:p>
    <w:p>
      <w:pPr>
        <w:spacing w:after="0" w:line="84" w:lineRule="exact"/>
        <w:rPr>
          <w:sz w:val="20"/>
          <w:szCs w:val="20"/>
          <w:color w:val="auto"/>
        </w:rPr>
      </w:pPr>
    </w:p>
    <w:p>
      <w:pPr>
        <w:jc w:val="both"/>
        <w:ind w:firstLine="367"/>
        <w:spacing w:after="0" w:line="288" w:lineRule="auto"/>
        <w:rPr>
          <w:sz w:val="20"/>
          <w:szCs w:val="20"/>
          <w:color w:val="auto"/>
        </w:rPr>
      </w:pPr>
      <w:r>
        <w:rPr>
          <w:rFonts w:ascii="Arial" w:cs="Arial" w:eastAsia="Arial" w:hAnsi="Arial"/>
          <w:sz w:val="12"/>
          <w:szCs w:val="12"/>
          <w:color w:val="auto"/>
        </w:rPr>
        <w:t>Although we generated net income of $340.4 million and $885.0 million for the three and nine months ended October 31, 2021, respectively, 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enterprise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Despite these significant investments, a majority of these new hosts using our platform on a free Basic account may never upgrade to a paid Zoom Meeting plan. If we are unable to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maintain profitability in future periods. If we fail to grow our revenue sufficiently to keep pace with our investments and other expenses, our business would be harmed.</w:t>
      </w:r>
    </w:p>
    <w:p>
      <w:pPr>
        <w:spacing w:after="0" w:line="131"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58"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41"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Third-party services and products are constantly evolving, and we may not be able to modify our platform to assure its compatibility with that of other third parties following development changes. In addition, some of our competitors may be 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69"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30"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If we do not comply with applicable requirements imposed by app stores, we could lose access to the app store and users, and our business would be harmed.</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not be able to respond to rapid technological changes, extend our platform, or develop new features.</w:t>
      </w:r>
    </w:p>
    <w:p>
      <w:pPr>
        <w:spacing w:after="0" w:line="84"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For example, in October 2020 we introduced two new additions to our Zoom platform, OnZoom and Zoom Apps. There is no assurance that these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41" w:lineRule="exact"/>
        <w:rPr>
          <w:sz w:val="20"/>
          <w:szCs w:val="20"/>
          <w:color w:val="auto"/>
        </w:rPr>
      </w:pPr>
    </w:p>
    <w:p>
      <w:pPr>
        <w:jc w:val="both"/>
        <w:ind w:firstLine="367"/>
        <w:spacing w:after="0" w:line="293" w:lineRule="auto"/>
        <w:rPr>
          <w:sz w:val="20"/>
          <w:szCs w:val="20"/>
          <w:color w:val="auto"/>
        </w:rPr>
      </w:pPr>
      <w:r>
        <w:rPr>
          <w:rFonts w:ascii="Arial" w:cs="Arial" w:eastAsia="Arial" w:hAnsi="Arial"/>
          <w:sz w:val="12"/>
          <w:szCs w:val="12"/>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1"/>
          <w:szCs w:val="11"/>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118"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64"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140"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30"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Our operations involve the storage and transmission of customer and user data or information. Security incidents have occurred in the past and may occur in the future, resulting in unauthorized access to, loss or unauthorized disclosure of, or inadvertent disclosure of, this data and information, regulatory investigations or enforcement actions, litigation, indemnity obligations, and other possible liabilities, as well as negative publicity, which could damage our reputation, impair our sales, and harm our business.</w:t>
      </w:r>
    </w:p>
    <w:p>
      <w:pPr>
        <w:spacing w:after="0" w:line="64" w:lineRule="exact"/>
        <w:rPr>
          <w:sz w:val="20"/>
          <w:szCs w:val="20"/>
          <w:color w:val="auto"/>
        </w:rPr>
      </w:pPr>
    </w:p>
    <w:p>
      <w:pPr>
        <w:jc w:val="both"/>
        <w:ind w:firstLine="367"/>
        <w:spacing w:after="0" w:line="288" w:lineRule="auto"/>
        <w:rPr>
          <w:sz w:val="20"/>
          <w:szCs w:val="20"/>
          <w:color w:val="auto"/>
        </w:rPr>
      </w:pPr>
      <w:r>
        <w:rPr>
          <w:rFonts w:ascii="Arial" w:cs="Arial" w:eastAsia="Arial" w:hAnsi="Arial"/>
          <w:sz w:val="12"/>
          <w:szCs w:val="12"/>
          <w:color w:val="auto"/>
        </w:rPr>
        <w:t>Cyberattacks and other malicious internet-based activity continue to increase, and cloud-based platform providers of products and services have been and are expected to continue to be targeted. In addition to traditional computer “hackers,” we face security risks from malicious code (such as viruses and worms), software bugs and vulnerabilities, supply chain attacks and vulnerabilities through our third-party partners, phishing incidents, credential stuffing attacks, employee theft, misuse of information or systems, sophisticated nation-state and nation-state supported actors, and advanced persistent threat intrusions. Moreover, security incidents can result in interruptions, delays, or outages in our operations and services, including due to ransomware or denial-of-service attacks. Despite significant efforts to create security barriers to such threats, it is impossible for us to entirely mitigate these risks. If our security measures are compromised as a result of third-party action, employee, customer, host or user error, malfeasance, stolen or fraudulently obtained log-in credentials, or otherwise,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w:t>
      </w:r>
    </w:p>
    <w:p>
      <w:pPr>
        <w:spacing w:after="0" w:line="210"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auto"/>
        </w:rPr>
        <w:t>Given the nature of our business and operations, our products and services will inevitably contain vulnerabilities or critical security defects that have not been identified or remediated and cannot be disclosed without compromising security. We have identified vulnerabilities in our products and services in the past, and we expect that we will continue to identify vulnerabilities in the future. We cannot be certain that we will be able to address any vulnerabilities in our products and services that we may become aware of in the future. We expect security issues to arise in the future as our products and services are more widely adopted, and as we continue to expand the features and functionality of existing products and introduce new products.</w:t>
      </w:r>
    </w:p>
    <w:p>
      <w:pPr>
        <w:spacing w:after="0" w:line="35"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There may also be delays in developing patches that can be effectively deployed to address vulnerabilities and other security issues. While we have invested and expect to continue to invest significant resources in an effort to protect against security incidents and to mitigate, detect, and remediate actual and potential vulnerabilities, we will continue to make prioritization decisions to determine which vulnerabilities or security defects to fix and the timing of these fixes, which could result in an exploit that compromises security. Further, in many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ind w:firstLine="367"/>
        <w:spacing w:after="0" w:line="292" w:lineRule="auto"/>
        <w:rPr>
          <w:sz w:val="20"/>
          <w:szCs w:val="20"/>
          <w:color w:val="auto"/>
        </w:rPr>
      </w:pPr>
      <w:r>
        <w:rPr>
          <w:rFonts w:ascii="Arial" w:cs="Arial" w:eastAsia="Arial" w:hAnsi="Arial"/>
          <w:sz w:val="12"/>
          <w:szCs w:val="12"/>
          <w:color w:val="auto"/>
        </w:rPr>
        <w:t>Security incidents and vulnerabilities, and concerns regarding privacy, data protection, and information security may also cause some of our customers and hosts to stop using our solutions and fail to upgrade or renew their subscriptions. This discontinuance in use or failure to upgrade or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45" w:lineRule="exact"/>
        <w:rPr>
          <w:sz w:val="20"/>
          <w:szCs w:val="20"/>
          <w:color w:val="auto"/>
        </w:rPr>
      </w:pPr>
    </w:p>
    <w:p>
      <w:pPr>
        <w:jc w:val="both"/>
        <w:ind w:firstLine="367"/>
        <w:spacing w:after="0" w:line="289" w:lineRule="auto"/>
        <w:rPr>
          <w:sz w:val="20"/>
          <w:szCs w:val="20"/>
          <w:color w:val="auto"/>
        </w:rPr>
      </w:pPr>
      <w:r>
        <w:rPr>
          <w:rFonts w:ascii="Arial" w:cs="Arial" w:eastAsia="Arial" w:hAnsi="Arial"/>
          <w:sz w:val="12"/>
          <w:szCs w:val="12"/>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enterprise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213"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107"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2"/>
          <w:szCs w:val="12"/>
          <w:color w:val="auto"/>
        </w:rPr>
        <w:t>We believe that our brand identity and awareness have contributed to our success and have helped fuel our efficient go-to-market strategy. We connect people through frictionless and secure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or have a negative perception of our privacy and security,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business, among other things. If we fail to promote and maintain the Zoom brand, including consumer and public perception of our platform or our company, or if we incur excessive expenses in this effort, our business will be harmed.</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not successfully manage our growth or plan for future growth.</w:t>
      </w:r>
    </w:p>
    <w:p>
      <w:pPr>
        <w:spacing w:after="0" w:line="84"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Since our founding in 2011, we have experienced rapid growth. For example, our headcount has grown from 3,871 full-time employees as of October 31, 2020, to 6,269 full-time employees as of October 31, 2021,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recent months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41"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business may be significantly affected by a change in the economy, including any resulting effect on consumer or business spending.</w:t>
      </w:r>
    </w:p>
    <w:p>
      <w:pPr>
        <w:spacing w:after="0" w:line="84" w:lineRule="exact"/>
        <w:rPr>
          <w:sz w:val="20"/>
          <w:szCs w:val="20"/>
          <w:color w:val="auto"/>
        </w:rPr>
      </w:pPr>
    </w:p>
    <w:p>
      <w:pPr>
        <w:jc w:val="both"/>
        <w:ind w:firstLine="367"/>
        <w:spacing w:after="0" w:line="292" w:lineRule="auto"/>
        <w:rPr>
          <w:sz w:val="20"/>
          <w:szCs w:val="20"/>
          <w:color w:val="auto"/>
        </w:rPr>
      </w:pPr>
      <w:r>
        <w:rPr>
          <w:rFonts w:ascii="Arial" w:cs="Arial" w:eastAsia="Arial" w:hAnsi="Arial"/>
          <w:sz w:val="12"/>
          <w:szCs w:val="12"/>
          <w:color w:val="auto"/>
        </w:rPr>
        <w:t>Our business may be affected by changes in the economy generally, including as a result of the COVID-19 pandemic and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Given current economic conditions, we could experience a reduction in demand and loss of customers, especially if the effects of the current economic environment have a prolonged impact on various industries that our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there is no assurance that we will experience an increase in paid hosts once the pandemic tapers, particularly in light of the economic downturn. Similarly, given the shift in our customer base from largely businesses and enterprises to a mix of businesses, enterprises, and consumers due to the COVID-19 pandemic, we expect that we will see higher rates of non-renewals than we have experienced historically.</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ability to sell subscriptions to our platform could be harmed by real or perceived material defects or errors in our platform.</w:t>
      </w:r>
    </w:p>
    <w:p>
      <w:pPr>
        <w:spacing w:after="0" w:line="84"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38"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58" w:lineRule="exact"/>
        <w:rPr>
          <w:sz w:val="20"/>
          <w:szCs w:val="20"/>
          <w:color w:val="auto"/>
        </w:rPr>
      </w:pPr>
    </w:p>
    <w:p>
      <w:pPr>
        <w:ind w:left="480" w:hanging="233"/>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cause a reduction in revenue or delay in market acceptance of our platform;</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require us to issue refunds to our customers or expose us to claims for damages;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cause us to lose existing hosts and make it more difficult to attract new customers and hosts;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ind w:left="480" w:hanging="233"/>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divert our development resources or require us to make extensive changes to our platform, which would increase our expenses;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increase our technical support costs; and</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harm our reputation and brand.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If we were to lose the services of our Chief Executive Officer or other members of our senior management team, we may not be able to execute our business strategy.</w:t>
      </w:r>
    </w:p>
    <w:p>
      <w:pPr>
        <w:spacing w:after="0" w:line="107"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EMEA and APAC. All of our executive officers are at-will employees, and we do not maintain any key person life insurance policies. Any changes in our senior management team in particular, even in the ordinary course of business, may be disruptive to our business. While we seek to prepare for such transitions, including by establishing strong processes and procedures and succession planning,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22"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58" w:lineRule="exact"/>
        <w:rPr>
          <w:sz w:val="20"/>
          <w:szCs w:val="20"/>
          <w:color w:val="auto"/>
        </w:rPr>
      </w:pPr>
    </w:p>
    <w:p>
      <w:pPr>
        <w:jc w:val="both"/>
        <w:ind w:firstLine="367"/>
        <w:spacing w:after="0" w:line="246" w:lineRule="auto"/>
        <w:rPr>
          <w:sz w:val="20"/>
          <w:szCs w:val="20"/>
          <w:color w:val="auto"/>
        </w:rPr>
      </w:pPr>
      <w:r>
        <w:rPr>
          <w:rFonts w:ascii="Arial" w:cs="Arial" w:eastAsia="Arial" w:hAnsi="Arial"/>
          <w:sz w:val="14"/>
          <w:szCs w:val="14"/>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We completed our initial public offering (“IPO”) in April 2019 and potential candidates may not perceive our compensation package, including our equity awards, as favorably as employees hired prior to our IPO. In addition, our recruiting personnel, methodology, and approach may need to be altered to address a changing candidate pool and profile. We may not be able to identify or implement such changes in a timely manner. If we fail to attract new personnel or fail to retain and motivate our current personnel, our business could be harmed.</w:t>
      </w:r>
    </w:p>
    <w:p>
      <w:pPr>
        <w:spacing w:after="0" w:line="69"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Moreover, as we plan to reopen our offices, vaccine mandates and similar government orders and restrictions could result in employee attrition and difficulty in recruiting.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41"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30"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In addition, following our IPO, many of our employees are now able to receive significant proceeds from sales of our equity in the public markets, which may reduce their motivation to continue to work for us. Moreover, this liquidity could create disparities in wealth among our employees, which may harm our culture and relations among employees and our business.</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We have significant and expanding operations outside the United States, which may subject us to increased business, regulatory and economic risks that could harm our business.</w:t>
      </w:r>
    </w:p>
    <w:p>
      <w:pPr>
        <w:spacing w:after="0" w:line="107"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Our platform addresses the communications needs of users worldwide, and we see international expansion as a major opportunity. Our revenue from APAC and EMEA collectively represented 33% and 31% of our total revenue for the three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months ended October 31, 2021 and 2020, respectively, and 33% and 30% of our revenue for the nine months ended October 31, 2021 and 2020,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Operating internationally subjects us to new risks and may increase risks that we currently face, including risks associated with:</w:t>
      </w:r>
    </w:p>
    <w:p>
      <w:pPr>
        <w:spacing w:after="0" w:line="84" w:lineRule="exact"/>
        <w:rPr>
          <w:sz w:val="20"/>
          <w:szCs w:val="20"/>
          <w:color w:val="auto"/>
        </w:rPr>
      </w:pPr>
    </w:p>
    <w:p>
      <w:pPr>
        <w:ind w:left="500" w:hanging="253"/>
        <w:spacing w:after="0" w:line="261"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57" w:lineRule="exact"/>
        <w:rPr>
          <w:rFonts w:ascii="Arial" w:cs="Arial" w:eastAsia="Arial" w:hAnsi="Arial"/>
          <w:sz w:val="14"/>
          <w:szCs w:val="14"/>
          <w:color w:val="auto"/>
        </w:rPr>
      </w:pPr>
    </w:p>
    <w:p>
      <w:pPr>
        <w:ind w:left="500" w:hanging="253"/>
        <w:spacing w:after="0" w:line="345" w:lineRule="auto"/>
        <w:tabs>
          <w:tab w:leader="none" w:pos="496"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11" w:lineRule="exact"/>
        <w:rPr>
          <w:rFonts w:ascii="Arial" w:cs="Arial" w:eastAsia="Arial" w:hAnsi="Arial"/>
          <w:sz w:val="12"/>
          <w:szCs w:val="12"/>
          <w:color w:val="auto"/>
        </w:rPr>
      </w:pPr>
    </w:p>
    <w:p>
      <w:pPr>
        <w:ind w:left="480" w:hanging="233"/>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operating in foreign jurisdictions where the government may impede or interrupt our ability to provide our services;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management of an employee base in jurisdictions that may not give us the same employment and retention flexibility as does the United States;</w:t>
      </w:r>
    </w:p>
    <w:p>
      <w:pPr>
        <w:spacing w:after="0" w:line="83"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operating in jurisdictions that do not protect intellectual property rights to the same extent as does the United States and the practical enforcement of such intellectual property rights outside of the United States;</w:t>
      </w:r>
    </w:p>
    <w:p>
      <w:pPr>
        <w:spacing w:after="0" w:line="57"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57" w:lineRule="exact"/>
        <w:rPr>
          <w:rFonts w:ascii="Arial" w:cs="Arial" w:eastAsia="Arial" w:hAnsi="Arial"/>
          <w:sz w:val="14"/>
          <w:szCs w:val="14"/>
          <w:color w:val="auto"/>
        </w:rPr>
      </w:pPr>
    </w:p>
    <w:p>
      <w:pPr>
        <w:ind w:left="480" w:hanging="233"/>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integration with partners outside of the United States;</w:t>
      </w:r>
    </w:p>
    <w:p>
      <w:pPr>
        <w:spacing w:after="0" w:line="83"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7"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foreign exchange controls that might require significant lead time in setting up operations in certain geographic territories and might prevent us from repatriating cash earned outside the United States;</w:t>
      </w:r>
    </w:p>
    <w:p>
      <w:pPr>
        <w:spacing w:after="0" w:line="57"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political and economic instability, including as a result of the United Kingdom's (“U.K.”) withdrawal from the European Union (“EU”), and other political tensions between countries in which we do business;</w:t>
      </w:r>
    </w:p>
    <w:p>
      <w:pPr>
        <w:spacing w:after="0" w:line="57" w:lineRule="exact"/>
        <w:rPr>
          <w:rFonts w:ascii="Arial" w:cs="Arial" w:eastAsia="Arial" w:hAnsi="Arial"/>
          <w:sz w:val="14"/>
          <w:szCs w:val="14"/>
          <w:color w:val="auto"/>
        </w:rPr>
      </w:pPr>
    </w:p>
    <w:p>
      <w:pPr>
        <w:ind w:left="480" w:hanging="233"/>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changes in diplomatic and trade relationships, including the imposition of new trade restrictions, trade protection measures, import or export requirements, trade embargoes, and other trade barriers;</w:t>
      </w:r>
    </w:p>
    <w:p>
      <w:pPr>
        <w:spacing w:after="0" w:line="106" w:lineRule="exact"/>
        <w:rPr>
          <w:rFonts w:ascii="Arial" w:cs="Arial" w:eastAsia="Arial" w:hAnsi="Arial"/>
          <w:sz w:val="12"/>
          <w:szCs w:val="12"/>
          <w:color w:val="auto"/>
        </w:rPr>
      </w:pPr>
    </w:p>
    <w:p>
      <w:pPr>
        <w:ind w:left="500" w:hanging="253"/>
        <w:spacing w:after="0" w:line="261"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generally longer payment cycles and greater difficulty in collecting accounts receivable, a risk that may increase as a result of the impact of the COVID-19 pandemic on our customers' ability to pay for our service on a timely basis;</w:t>
      </w:r>
    </w:p>
    <w:p>
      <w:pPr>
        <w:spacing w:after="0" w:line="57"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ind w:left="480" w:hanging="233"/>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higher costs of doing business internationally, including increased accounting, travel, infrastructure, and legal compliance costs.</w:t>
      </w:r>
    </w:p>
    <w:p>
      <w:pPr>
        <w:spacing w:after="0" w:line="84" w:lineRule="exact"/>
        <w:rPr>
          <w:sz w:val="20"/>
          <w:szCs w:val="20"/>
          <w:color w:val="auto"/>
        </w:rPr>
      </w:pPr>
    </w:p>
    <w:p>
      <w:pPr>
        <w:jc w:val="both"/>
        <w:ind w:firstLine="367"/>
        <w:spacing w:after="0" w:line="292" w:lineRule="auto"/>
        <w:rPr>
          <w:sz w:val="20"/>
          <w:szCs w:val="20"/>
          <w:color w:val="auto"/>
        </w:rPr>
      </w:pPr>
      <w:r>
        <w:rPr>
          <w:rFonts w:ascii="Arial" w:cs="Arial" w:eastAsia="Arial" w:hAnsi="Arial"/>
          <w:sz w:val="12"/>
          <w:szCs w:val="12"/>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We recently announced our intent to expand our research and development presence in Phoenix, Arizona and Pittsburgh, Pennsylvania, as well as in Singapore and India. As a result of this expansion, we could experience, among other things, difficulty in attracting and retaining talent in these location and higher operating expenses, which would adversely impact our operating margins and harm our business.</w:t>
      </w:r>
    </w:p>
    <w:p>
      <w:pPr>
        <w:spacing w:after="0" w:line="45" w:lineRule="exact"/>
        <w:rPr>
          <w:sz w:val="20"/>
          <w:szCs w:val="20"/>
          <w:color w:val="auto"/>
        </w:rPr>
      </w:pPr>
    </w:p>
    <w:p>
      <w:pPr>
        <w:jc w:val="both"/>
        <w:ind w:firstLine="367"/>
        <w:spacing w:after="0" w:line="290" w:lineRule="auto"/>
        <w:rPr>
          <w:sz w:val="20"/>
          <w:szCs w:val="20"/>
          <w:color w:val="auto"/>
        </w:rPr>
      </w:pPr>
      <w:r>
        <w:rPr>
          <w:rFonts w:ascii="Arial" w:cs="Arial" w:eastAsia="Arial" w:hAnsi="Arial"/>
          <w:sz w:val="12"/>
          <w:szCs w:val="12"/>
          <w:color w:val="auto"/>
        </w:rPr>
        <w:t>At the same time, our operations in China have caused and may in the future cause us to be subject to regulatory scrutiny both in China and in the United States. For example, in September 2019, the Chinese government turned off our service in China without warning and requested that we take certain steps prior to restoring our service, including designating an in-house contact for law enforcement requests and transferring China-based user data housed in the United States to a data center in China. Also, 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Tiananmen commemorations on Zoom.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15" w:lineRule="exact"/>
        <w:rPr>
          <w:sz w:val="20"/>
          <w:szCs w:val="20"/>
          <w:color w:val="auto"/>
        </w:rPr>
      </w:pPr>
    </w:p>
    <w:p>
      <w:pPr>
        <w:jc w:val="both"/>
        <w:ind w:firstLine="367"/>
        <w:spacing w:after="0" w:line="235" w:lineRule="auto"/>
        <w:rPr>
          <w:sz w:val="20"/>
          <w:szCs w:val="20"/>
          <w:color w:val="auto"/>
        </w:rPr>
      </w:pPr>
      <w:r>
        <w:rPr>
          <w:rFonts w:ascii="Arial" w:cs="Arial" w:eastAsia="Arial" w:hAnsi="Arial"/>
          <w:sz w:val="14"/>
          <w:szCs w:val="14"/>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2"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Any failure to offer high-quality support for our customers and hosts may harm our relationships with our customers and hosts and, consequently, our business.</w:t>
      </w:r>
    </w:p>
    <w:p>
      <w:pPr>
        <w:spacing w:after="0" w:line="84"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We have designed our platform to be easy to adopt and use with minimal to no support necessary. However, if we experience increased user demand for support, we may face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107"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2"/>
          <w:szCs w:val="12"/>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results of operations, which are reported in U.S. dollars, could be adversely affected if currency exchange rates fluctuate substantially in the future.</w:t>
      </w:r>
    </w:p>
    <w:p>
      <w:pPr>
        <w:spacing w:after="0" w:line="84"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nine months ended October 31, 2021 and 2020, 22.7% and 19.3% of our revenue, respectively, and 15.0% and 12.0%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sales to government entities are subject to a number of additional challenges and risks.</w:t>
      </w:r>
    </w:p>
    <w:p>
      <w:pPr>
        <w:spacing w:after="0" w:line="8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64" w:lineRule="exact"/>
        <w:rPr>
          <w:sz w:val="20"/>
          <w:szCs w:val="20"/>
          <w:color w:val="auto"/>
        </w:rPr>
      </w:pPr>
    </w:p>
    <w:p>
      <w:pPr>
        <w:ind w:left="500" w:hanging="253"/>
        <w:spacing w:after="0" w:line="261" w:lineRule="auto"/>
        <w:tabs>
          <w:tab w:leader="none" w:pos="4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57"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government certification requirements may change, or we may be unable to achieve or sustain one or more government certifications, including FedRAMP, and in doing so restrict our ability to sell into the government sector until we have attained such certificates;</w:t>
      </w:r>
    </w:p>
    <w:p>
      <w:pPr>
        <w:spacing w:after="0" w:line="57"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governmental entities may have significant leverage in negotiations, thereby enabling such entities to demand contract terms that differ from what we generally agree to in our standard agreements, including, for example, most-favored-nation clauses;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ind w:left="500" w:hanging="253"/>
        <w:spacing w:after="0" w:line="261" w:lineRule="auto"/>
        <w:tabs>
          <w:tab w:leader="none" w:pos="4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government demand and payment for our products may be influenced by public sector budgetary cycles and funding authorizations, with funding reductions or delays having an adverse impact on public sector demand for our products; and</w:t>
      </w:r>
    </w:p>
    <w:p>
      <w:pPr>
        <w:spacing w:after="0" w:line="57"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government-imposed vaccine mandates could result in increased attrition and difficulties in recruiting, and non-compliance with any such mandates could restrict our ability to do business with governmental entities.</w:t>
      </w:r>
    </w:p>
    <w:p>
      <w:pPr>
        <w:spacing w:after="0" w:line="58"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To the extent that we become more reliant on contracts with government entities in the future, our exposure to such risks and challenges could increase, which in turn could adversely impact our business.</w:t>
      </w:r>
    </w:p>
    <w:p>
      <w:pPr>
        <w:spacing w:after="0" w:line="58"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22"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58" w:lineRule="exact"/>
        <w:rPr>
          <w:sz w:val="20"/>
          <w:szCs w:val="20"/>
          <w:color w:val="auto"/>
        </w:rPr>
      </w:pPr>
    </w:p>
    <w:p>
      <w:pPr>
        <w:jc w:val="both"/>
        <w:ind w:firstLine="367"/>
        <w:spacing w:after="0" w:line="290" w:lineRule="auto"/>
        <w:rPr>
          <w:sz w:val="20"/>
          <w:szCs w:val="20"/>
          <w:color w:val="auto"/>
        </w:rPr>
      </w:pPr>
      <w:r>
        <w:rPr>
          <w:rFonts w:ascii="Arial" w:cs="Arial" w:eastAsia="Arial" w:hAnsi="Arial"/>
          <w:sz w:val="12"/>
          <w:szCs w:val="12"/>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25"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58"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2"/>
          <w:szCs w:val="12"/>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have exposure to greater than anticipated tax liabilities, which could harm our business.</w:t>
      </w:r>
    </w:p>
    <w:p>
      <w:pPr>
        <w:spacing w:after="0" w:line="84"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spacing w:after="0" w:line="30"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The provision for taxes on our condensed consolidated financial statements could also be impacted by changes in accounting principles; changes in U.S. federal, state, or foreign tax laws applicable to corporate multinationals, other fundamental changes in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67"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revenues 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certain other tax attributes may be limited.</w:t>
      </w:r>
    </w:p>
    <w:p>
      <w:pPr>
        <w:spacing w:after="0" w:line="8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For state income tax purposes, there may be periods during which the use of net operating losses is suspended or otherwise limited, including a recent California franchise tax law change limiting the usability of California state net operating losses to offset California taxable income in taxable years beginning on or after January 1, 2020 and before January 1, 2023, which could accelerate or permanently increase state taxes owed.</w:t>
      </w:r>
    </w:p>
    <w:p>
      <w:pPr>
        <w:spacing w:after="0" w:line="64" w:lineRule="exact"/>
        <w:rPr>
          <w:sz w:val="20"/>
          <w:szCs w:val="20"/>
          <w:color w:val="auto"/>
        </w:rPr>
      </w:pPr>
    </w:p>
    <w:p>
      <w:pPr>
        <w:jc w:val="both"/>
        <w:ind w:firstLine="367"/>
        <w:spacing w:after="0" w:line="292" w:lineRule="auto"/>
        <w:rPr>
          <w:sz w:val="20"/>
          <w:szCs w:val="20"/>
          <w:color w:val="auto"/>
        </w:rPr>
      </w:pPr>
      <w:r>
        <w:rPr>
          <w:rFonts w:ascii="Arial" w:cs="Arial" w:eastAsia="Arial" w:hAnsi="Arial"/>
          <w:sz w:val="12"/>
          <w:szCs w:val="12"/>
          <w:color w:val="auto"/>
        </w:rPr>
        <w:t>We recorded a valuation allowance against all of our deferred tax assets for the U.S. and U.K. as of both October 31, 2021 and January 31, 2021. We intend to continue maintaining a full valuation allowance on our deferred tax assets for these jurisdictions until there is sufficient evidence to support the reversal of all or some portion of these allowances. In our valuation allowance evaluation, we give more weight to evidence that can be objectively verified than to evidence that cannot be objectively verified. Our consideration of the evidence requires management to make a number of significant judgments, estimates, and assumptions about highly complex and inherently uncertain matters. Given our current earnings and anticipated future earnings, we believe that there is a reasonable possibility that in the short-term, sufficient positive evidence may become available that results in a conclusion that a portion of the valuation allowance will no longer be needed. Release of the valuation allowance would result in the recognition of net deferred tax assets on our balance sheet and would decrease income tax expense in the period the release is recorded. However, the exact timing and amount of the valuation allowance release are subject to change based on a number of factors, including but not limited to, the level of profitability (pretax income adjusted for permanent differences) that we are able to accurately forecast and/or acquisitions of other businesses.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1"/>
          <w:szCs w:val="11"/>
          <w:b w:val="1"/>
          <w:bCs w:val="1"/>
          <w:i w:val="1"/>
          <w:iCs w:val="1"/>
          <w:color w:val="auto"/>
        </w:rPr>
        <w:t>We have acquired and may continue to acquire other businesses or receive offers to be acquired, which could require significant management attention, disrupt our business, or dilute stockholder</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value.</w:t>
      </w:r>
    </w:p>
    <w:p>
      <w:pPr>
        <w:spacing w:after="0" w:line="74"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58"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have a limited operating history at the current scale of our business, which makes it difficult to evaluate our prospects and future results of operations.</w:t>
      </w:r>
    </w:p>
    <w:p>
      <w:pPr>
        <w:spacing w:after="0" w:line="84" w:lineRule="exact"/>
        <w:rPr>
          <w:sz w:val="20"/>
          <w:szCs w:val="20"/>
          <w:color w:val="auto"/>
        </w:rPr>
      </w:pPr>
    </w:p>
    <w:p>
      <w:pPr>
        <w:jc w:val="both"/>
        <w:ind w:firstLine="367"/>
        <w:spacing w:after="0" w:line="292" w:lineRule="auto"/>
        <w:rPr>
          <w:sz w:val="20"/>
          <w:szCs w:val="20"/>
          <w:color w:val="auto"/>
        </w:rPr>
      </w:pPr>
      <w:r>
        <w:rPr>
          <w:rFonts w:ascii="Arial" w:cs="Arial" w:eastAsia="Arial" w:hAnsi="Arial"/>
          <w:sz w:val="12"/>
          <w:szCs w:val="12"/>
          <w:color w:val="auto"/>
        </w:rPr>
        <w:t>Beginning in the fiscal quarter ended April 30, 2020, we faced unprecedented usage of our communications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The COVID-19 pandemic has 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Laws and Regulations</w:t>
      </w:r>
    </w:p>
    <w:p>
      <w:pPr>
        <w:spacing w:after="0" w:line="168"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58" w:lineRule="exact"/>
        <w:rPr>
          <w:sz w:val="20"/>
          <w:szCs w:val="20"/>
          <w:color w:val="auto"/>
        </w:rPr>
      </w:pPr>
    </w:p>
    <w:p>
      <w:pPr>
        <w:jc w:val="both"/>
        <w:ind w:firstLine="367"/>
        <w:spacing w:after="0" w:line="288" w:lineRule="auto"/>
        <w:rPr>
          <w:sz w:val="20"/>
          <w:szCs w:val="20"/>
          <w:color w:val="auto"/>
        </w:rPr>
      </w:pPr>
      <w:r>
        <w:rPr>
          <w:rFonts w:ascii="Arial" w:cs="Arial" w:eastAsia="Arial" w:hAnsi="Arial"/>
          <w:sz w:val="12"/>
          <w:szCs w:val="12"/>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We strive to comply with applicable laws, certifications, documentation, publications, regulations, standards, policies and other obligations relating to privacy, data protection, and information security to the extent possible. Although we endeavor to comply with applicable laws and our policies, publications, certifications, and documentation, and other obligations, we may at times fail to do so or may be perceived to have failed to do so. Moreover, despite our efforts, we may not be successful in achieving compliance if our employees, vendors or business partners do not comply with our policies, certifications, and documentation. Such actual or perceived failures in certain cases have subjected, and can subject, us to potential international, local, state and federal legal or regulatory action, including in the event that our policies, certifications, and documentation are found or alleged to be inaccurate, incomplete, deceptive, unfair, or misrepresentative of our actual practices. The regulatory framework for privacy and data protection worldwide is, and is likely to remain, uncertain for the foreseeable future, which we expect will increase our compliance costs and exposure to liability, and it is possible that these or other actual or alleged obligations may be interpreted and applied in a manner that is inconsistent from one jurisdiction to another and may conflict with other rules or our practices. Increased usage of our services, novel uses of our services, and additional awareness of Zoom and our brand stemming from the COVID-19 pandemic could make it more difficult for us to comply with our contractual obligations, our policies, our publications, our certifications, our documentation, standards, regulations, and applicable laws related to privacy, data protection, and</w:t>
      </w:r>
    </w:p>
    <w:p>
      <w:pPr>
        <w:jc w:val="both"/>
        <w:spacing w:after="0" w:line="252" w:lineRule="auto"/>
        <w:rPr>
          <w:sz w:val="20"/>
          <w:szCs w:val="20"/>
          <w:color w:val="auto"/>
        </w:rPr>
      </w:pPr>
      <w:r>
        <w:rPr>
          <w:rFonts w:ascii="Arial" w:cs="Arial" w:eastAsia="Arial" w:hAnsi="Arial"/>
          <w:sz w:val="14"/>
          <w:szCs w:val="14"/>
          <w:color w:val="auto"/>
        </w:rPr>
        <w:t>information security, and has and could result in greater public scrutiny of, press related to, or a negative perception of our privacy, data protection, and information security practices. Any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ind w:firstLine="367"/>
        <w:spacing w:after="0" w:line="290" w:lineRule="auto"/>
        <w:rPr>
          <w:sz w:val="20"/>
          <w:szCs w:val="20"/>
          <w:color w:val="auto"/>
        </w:rPr>
      </w:pPr>
      <w:r>
        <w:rPr>
          <w:rFonts w:ascii="Arial" w:cs="Arial" w:eastAsia="Arial" w:hAnsi="Arial"/>
          <w:sz w:val="12"/>
          <w:szCs w:val="12"/>
          <w:color w:val="auto"/>
        </w:rPr>
        <w:t>For example, 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47"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2"/>
          <w:szCs w:val="12"/>
          <w:color w:val="auto"/>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The GDPR imposes more stringent data protection requirements and requires us and our customers to give more detailed disclosures about how we collect, use and share personal information; contractually commit to data protection measures in our contracts with clients;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GDPR provides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Assisting our customers, partners, and vendors in complying with the GDPR, or complying with the GDPR ourselves, may cause us to incur substantial operational costs or require us to change our business practices.</w:t>
      </w:r>
    </w:p>
    <w:p>
      <w:pPr>
        <w:spacing w:after="0" w:line="208" w:lineRule="exact"/>
        <w:rPr>
          <w:sz w:val="20"/>
          <w:szCs w:val="20"/>
          <w:color w:val="auto"/>
        </w:rPr>
      </w:pPr>
    </w:p>
    <w:p>
      <w:pPr>
        <w:jc w:val="both"/>
        <w:ind w:firstLine="367"/>
        <w:spacing w:after="0" w:line="288" w:lineRule="auto"/>
        <w:rPr>
          <w:sz w:val="20"/>
          <w:szCs w:val="20"/>
          <w:color w:val="auto"/>
        </w:rPr>
      </w:pPr>
      <w:r>
        <w:rPr>
          <w:rFonts w:ascii="Arial" w:cs="Arial" w:eastAsia="Arial" w:hAnsi="Arial"/>
          <w:sz w:val="12"/>
          <w:szCs w:val="12"/>
          <w:color w:val="auto"/>
        </w:rPr>
        <w:t>Further, notwithstanding the U.K.'s decision to leave the EU, often referred to as Brexit, the data protection obligations of the GDPR apply to United Kingdom-related processing of personal information in substantially unvaried form under the so-called “U.K. GDPR”. Brexit has also created uncertainty in data protection issues involving the U.K. For example, pursuant to a post-Brexit trade deal between the U.K. and the EU, transfers of personal information from the European Economic Area (“EEA”) to the U.K. are not considered restricted transfers under the GDPR for a period of up to six months from January 1, 2021. However, unless the European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On June 28, 2021, the European Commission issued an adequacy decision under the GDPR which allows transfers of personal information from the EEA to the U.K. to continue without restriction for a period of four years ending June 27, 2025. During these four years, the European Commission will continue to monitor the legal situation in the U.K. and can intervene if the U.K. deviates from the level of data protection in place at the time of issuance of the adequacy decision. If the adequacy decision is withdrawn or not renewed, transfers of personal information from the EEA to the U.K. will require a valid transfer mechanism and companies making such transfers may be required to implement new processes and put new agreements in place to continue making such transfers. Additionally, although the U.K. enacted a Data Protection Act in May 2018 that is designed to be consistent with the GDPR, uncertainty remains regarding how data transfers to and from the U.K. will be regulated notwithstanding Brexit.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the U.K. and EU reach a definitive resolution with regards to outstanding trade and legal matters. Given these possibilities and others we may not anticipate, as well as the lack of comparable precedent, the full extent to which our business, results of operations, and financial condition could be adversely affected by Brexit is uncertain.</w:t>
      </w:r>
    </w:p>
    <w:p>
      <w:pPr>
        <w:spacing w:after="0" w:line="212"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European data protection laws, including the GDPR, generally restrict the transfer of personal information from Europe, including the European Economic Area, U.K. and Switzerland, to the United States and most other countries unless the parties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in July 2020, the Court of Justice of the European Union issued a decision invalidating the EU-U.S. Privacy Shield framework. The same decision also raised questions about whether one of the primary alternatives to the EU-U.S. Privacy Shield, namely, the European Commission’s Standard Contractual Clauses (“SCCs”), can lawfully be used for personal information transfers from Europe to the United States or most other countries. Similarly, on September 8, 2020, the Swiss Federal Data Protection and Information Commissioner announced that the Swiss-U.S. Privacy Shield Framework is inadequate for personal information transfers from Switzerland to the United States, and also raised questions about the viability of the Standard Contractual Clauses. Authorities in the U.K. may similarly raise questions on the viability of the Standard Contractual Clauses, as mechanisms for lawful personal information transfers to the United States and other countries. On June 4, 2021, the European Commission adopted new SCCs, which impose on companies additional obligations relating to data transfers, including the obligation to conduct a transfer impact assessment and, depending on a party’s role in the transfer, to implement additional security measures and to update internal privacy practices. There is some uncertainty around whether the new SCCs can be used for all types of data transfers, particularly whether they can be relied on for data transfers to non-EEA entities subject to the GDPR. If we elect to rely on the new SCCs for data transfers, we may be required to incur significant time and resources to update our contractual arrangements and to comply with new obligations. The new SCCs may increase the legal risks and liabilities under the GDPR and local EU laws associated with cross-border data transfers, and result in material increased compliance and operational costs. Similarly, the U.K.’s Information Commissioner’s Office launched a public consultation on its draft revised data transfers mechanisms in August 2021, and we may be required to implement new or revised documentation and processes in relation to our data transfers subject to the U.K. GDPR. At present, there are few, if any, viable alternatives to the EU-U.S. Privacy Shield, Swiss-U.S. Privacy Shield, and the SCCs, all of which are mechanisms on which we have relied for personal information transfers from Europe to the United States and other countries. If we are unable to implement a valid solution for personal information transfers from Europe,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United States or other countries may decrease demand for our products and services as our customers that are subject to the GDPR may seek alternatives that do not involve personal information transfers out of Europe. Our inability to import personal information to the United States and other countries may decrease the functionality or effectiveness of our products and services and adversely impact our marketing efforts, plans and activities. We expect EU regulators to aggressively enforce EU laws prohibiting data transfers to the U.S. and other countries without a legally sound transfer mechanism, and it possible that EU regulators could prevent Zoom from transferring any personal data out of the EU to certain countries like the U.S.</w:t>
      </w:r>
    </w:p>
    <w:p>
      <w:pPr>
        <w:spacing w:after="0" w:line="211"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We are also subject to evolving EU and U.K. privacy laws on cookies and e-marketing. European regulators are increasingly focusing on compliance with requirements in the online behavioral advertising ecosystem, and current national laws that implement the ePrivacy Directive are likely to be replaced by the ePrivacy Regulation, which could lead to substantial costs, limit the effectiveness of our marketing and personalization activities, and subject us to additional liabilities.</w:t>
      </w:r>
    </w:p>
    <w:p>
      <w:pPr>
        <w:spacing w:after="0" w:line="64" w:lineRule="exact"/>
        <w:rPr>
          <w:sz w:val="20"/>
          <w:szCs w:val="20"/>
          <w:color w:val="auto"/>
        </w:rPr>
      </w:pPr>
    </w:p>
    <w:p>
      <w:pPr>
        <w:jc w:val="both"/>
        <w:ind w:firstLine="367"/>
        <w:spacing w:after="0" w:line="246" w:lineRule="auto"/>
        <w:rPr>
          <w:sz w:val="20"/>
          <w:szCs w:val="20"/>
          <w:color w:val="auto"/>
        </w:rPr>
      </w:pPr>
      <w:r>
        <w:rPr>
          <w:rFonts w:ascii="Arial" w:cs="Arial" w:eastAsia="Arial" w:hAnsi="Arial"/>
          <w:sz w:val="14"/>
          <w:szCs w:val="14"/>
          <w:color w:val="auto"/>
        </w:rPr>
        <w:t>Additionally, other countries outside of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which broadly regulates the processing of personal information and imposes compliance obligations and penalties comparable to those of the GDPR. Additionally, in August 2021, China adopted the Personal Information Protection Law (“PIPL”), which takes effect on November 1, 2021. The PIPL introduces a legal framework similar to the GDPR and is viewed as the beginning of a comprehensive system for the protection of personal information in China, although numerous aspects of the law remain uncertain and developing and the impact that PIPL will have on businesses remains uncertain.</w:t>
      </w:r>
    </w:p>
    <w:p>
      <w:pPr>
        <w:spacing w:after="0" w:line="71"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States have also begun to introduce more comprehensive privacy legislation. For example, the California Consumer Privacy Act of 2018 (“CCPA”), which went into effect on January 1, 2020, affords consumers expanded privacy protections. The CCPA gives California residents, among other things,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will be expanded substantially on January 1, 2023 when the California Privacy Rights Act of 2020 (the “CPRA”), which was approved by California voters in November 2020, becomes fully operative. The CPRA will, among other things, give consumers the ability to limit use of information deemed to be sensitive, increase the maximum penalties for violations concerning consumers under age 16, establish the California Privacy Protection Agency to implement and enforce the new law, and impose administrative fines. Aspects of the CCPA and CPRA, and their interpretation and enforcement remain uncertain. The potential effects of the CCPA and CPRA are far-reaching and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may require us to modify our data processing practices and policies and to incur substantial costs and expenses in an effort to comply.</w:t>
      </w:r>
    </w:p>
    <w:p>
      <w:pPr>
        <w:spacing w:after="0" w:line="84"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The CCPA appears to mark the beginning of a trend toward more stringent privacy legislation in the United States, as other states have followed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 Virginia and Colorado have similarly enacted comprehensive privacy laws, the Consumer Data Protection Act and Colorado Privacy Act, respectively, both laws of which emulate the CCPA and CPRA in many respects. The Virginia Consumer Data Protection Act takes effect on January 1, 2023, and the Colorado Privacy Act takes effect on July 1, 2023.</w:t>
      </w:r>
    </w:p>
    <w:p>
      <w:pPr>
        <w:spacing w:after="0" w:line="40" w:lineRule="exact"/>
        <w:rPr>
          <w:sz w:val="20"/>
          <w:szCs w:val="20"/>
          <w:color w:val="auto"/>
        </w:rPr>
      </w:pPr>
    </w:p>
    <w:p>
      <w:pPr>
        <w:jc w:val="both"/>
        <w:ind w:firstLine="367"/>
        <w:spacing w:after="0" w:line="289" w:lineRule="auto"/>
        <w:rPr>
          <w:sz w:val="20"/>
          <w:szCs w:val="20"/>
          <w:color w:val="auto"/>
        </w:rPr>
      </w:pPr>
      <w:r>
        <w:rPr>
          <w:rFonts w:ascii="Arial" w:cs="Arial" w:eastAsia="Arial" w:hAnsi="Arial"/>
          <w:sz w:val="12"/>
          <w:szCs w:val="12"/>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The CCPA requires companies to obtain the consent of children in California under 16 (or parental consent for children under 13) before selling their personal information. COPPA is subject to interpretation by courts and other governmental authorities, including the FTC, and the FTC is authorized to promulgate, and has promulgated, revisions to regulations implementing provisions of COPPA. Although we strive to ensure that our platform and applications are compliant with applicable provisions of COPPA, HIPAA, GDPR, and CCPA,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HIPAA, GDPR, and CCPA, or interpretations thereof.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210" w:lineRule="exact"/>
        <w:rPr>
          <w:sz w:val="20"/>
          <w:szCs w:val="20"/>
          <w:color w:val="auto"/>
        </w:rPr>
      </w:pPr>
    </w:p>
    <w:p>
      <w:pPr>
        <w:jc w:val="both"/>
        <w:ind w:firstLine="367"/>
        <w:spacing w:after="0" w:line="292" w:lineRule="auto"/>
        <w:rPr>
          <w:sz w:val="20"/>
          <w:szCs w:val="20"/>
          <w:color w:val="auto"/>
        </w:rPr>
      </w:pPr>
      <w:r>
        <w:rPr>
          <w:rFonts w:ascii="Arial" w:cs="Arial" w:eastAsia="Arial" w:hAnsi="Arial"/>
          <w:sz w:val="12"/>
          <w:szCs w:val="12"/>
          <w:color w:val="auto"/>
        </w:rPr>
        <w:t>With laws and regulations, such as the GDPR and UK GDPR in the EU as well as the CCPA, SPI Law, HIPAA,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and may incur significant costs and expenses in an effort to do so, any of which could materially adversely affect our business and operating results. Additional uses of our services arising out of increased demand associated with the COVID-19 pandemic may require us to address additional privacy, data protection, and information security laws, regulations, standards, policies, and contractual obligations. Any failure or perceived failure by us to comply with such laws, regulations, standards, policies, and contractual obligations, or our privacy policies, publications, certifications, or documentation have led and could lead to governmental investigations or enforcement actions (including investigations or actions by state attorneys general, federal regulators, and international regulators), litigation (including class action litigation), claims, or public statements against us by consumer advocacy groups or others, and could result in significant liability, fines or penalties, or cause our users to lose trust in us, which could have an adverse effect on our reputation and business.</w:t>
      </w:r>
    </w:p>
    <w:p>
      <w:pPr>
        <w:spacing w:after="0" w:line="45"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“Legal Proceedings” for additional information.</w:t>
      </w:r>
    </w:p>
    <w:p>
      <w:pPr>
        <w:spacing w:after="0" w:line="35"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auto"/>
        </w:rPr>
        <w:t>We also have been the subject of an investigation by the FTC relating to our privacy and security representations and practices. We have reached a settlement agreement with the FTC, which the FTC voted to make final on January 19, 2021. See “Legal Proceedings” for additional information.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64"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40"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2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58" w:lineRule="exact"/>
        <w:rPr>
          <w:sz w:val="20"/>
          <w:szCs w:val="20"/>
          <w:color w:val="auto"/>
        </w:rPr>
      </w:pPr>
    </w:p>
    <w:p>
      <w:pPr>
        <w:jc w:val="both"/>
        <w:ind w:firstLine="367"/>
        <w:spacing w:after="0" w:line="289" w:lineRule="auto"/>
        <w:rPr>
          <w:sz w:val="20"/>
          <w:szCs w:val="20"/>
          <w:color w:val="auto"/>
        </w:rPr>
      </w:pPr>
      <w:r>
        <w:rPr>
          <w:rFonts w:ascii="Arial" w:cs="Arial" w:eastAsia="Arial" w:hAnsi="Arial"/>
          <w:sz w:val="12"/>
          <w:szCs w:val="12"/>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213"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2"/>
          <w:szCs w:val="12"/>
          <w:color w:val="auto"/>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be subject to additional liabilities on past sales for taxes, surcharges, and fees.</w:t>
      </w:r>
    </w:p>
    <w:p>
      <w:pPr>
        <w:spacing w:after="0" w:line="84"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which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23"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58"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38"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Although we have taken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and from time to time will continue to submit as warranted initial and final voluntary self-disclosures regarding compliance with U.S. sanctions and export control laws and regulations to OFAC and the U.S. Department of Commerce’s Bureau of Industry and Security (“BIS”). For instance, in June 2021, we submitted an initial voluntary self-disclosure to BIS regarding compliance with certain U.S. export control laws and regulations.</w:t>
      </w:r>
    </w:p>
    <w:p>
      <w:pPr>
        <w:spacing w:after="0" w:line="38"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64"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20"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11"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40"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69"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64"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auto"/>
        </w:rPr>
        <w:t>We are also subject to various U.S. and international anti-corruption laws, such as the U.S. Foreign Corrupt Practices Act of 1977, amended, and the U.K. Bribery Act 2010, as well as other similar anti-bribery and anti-kickback laws and regulations. These laws and regulations generally prohibit companies and their employees and intermediaries from authorizing, offering, or providing improper payments or benefits to government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117"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Federal Regulation</w:t>
      </w:r>
    </w:p>
    <w:p>
      <w:pPr>
        <w:spacing w:after="0" w:line="84"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Zoom Phone is provided through our wholly owned subsidiary, Zoom Voice Communications, Inc., which is regulated by the FCC as an interconnected voice over internet protocol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41"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Changes in FCC regulation of the internet and internet-based services also could impose new regulatory obligations on our other services. On October 27, 2020, the FCC adopted an order concluding that three issues remanded by the U.S. Court of Appeals following the appeal of its 2018 decision to eliminate its network neutrality rules did not provide a basis to alter its conclusions in that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40"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There have been various Congressional and executive efforts to eliminate or modify Section 230 of the Communications Act of 1934, enacted as part of the Communications Decency Act of 1996. President Biden and many Members of Congress from both parties support reform or repeal of Section 230, so the possibility of Congressional action remains. In addition, the FCC is considering a petition, filed by the Trump Administration, to adopt rules interpreting Section 230, which limits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89" w:lineRule="auto"/>
        <w:rPr>
          <w:sz w:val="20"/>
          <w:szCs w:val="20"/>
          <w:color w:val="auto"/>
        </w:rPr>
      </w:pPr>
      <w:r>
        <w:rPr>
          <w:rFonts w:ascii="Arial" w:cs="Arial" w:eastAsia="Arial" w:hAnsi="Arial"/>
          <w:sz w:val="12"/>
          <w:szCs w:val="12"/>
          <w:color w:val="auto"/>
        </w:rPr>
        <w:t>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w:t>
      </w:r>
    </w:p>
    <w:p>
      <w:pPr>
        <w:spacing w:after="0" w:line="1" w:lineRule="exact"/>
        <w:rPr>
          <w:sz w:val="20"/>
          <w:szCs w:val="20"/>
          <w:color w:val="auto"/>
        </w:rPr>
      </w:pPr>
    </w:p>
    <w:p>
      <w:pPr>
        <w:jc w:val="both"/>
        <w:ind w:firstLine="2"/>
        <w:spacing w:after="0" w:line="298" w:lineRule="auto"/>
        <w:tabs>
          <w:tab w:leader="none" w:pos="281"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 addition, there are pending cases before the judiciary that may result in changes to the protections afforded to internet platforms, including a lawsuit by former President Trump that, if successful, would greatly limit the scope of Section 230.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State Regulation</w:t>
      </w:r>
    </w:p>
    <w:p>
      <w:pPr>
        <w:spacing w:after="0" w:line="84"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67"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A federal court judge denied a request for injunction against California’s state-specific network neutrality law, and as a result, California began enforcing that law on March 25, 2021. On March 10, 2021, trade associations representing internet service providers appealed the district court’s ruling denying the preliminary injunction. We cannot predict whether other state initiatives will be enforced, modified, overturned, or vacated.</w:t>
      </w:r>
    </w:p>
    <w:p>
      <w:pPr>
        <w:spacing w:after="0" w:line="64"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Legislation has been adopted in Florida and Texas and has been introduced in at least fifteen additional states that is intended to reduce or eliminate the power of businesses operating on the Internet to moderate user-generated content, implicitly eliminating the federal protections granted under Section 230. After NetChoice and the Computer and Communications Industry Association (“CCIA”) filed suit in federal court, a judge enjoined enforcement of Florida’s law and a notice of appeal was filed with the U.S. Court of Appeals for the Eleventh Circuit. NetChoice and CCIA also filed a lawsuit seeking a permanent injunction and a separate motion for preliminary injunction against Texas’s law.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International Regulation</w:t>
      </w:r>
    </w:p>
    <w:p>
      <w:pPr>
        <w:spacing w:after="0" w:line="8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We are currently, and may be in the future, party to intellectual property rights claims and other litigation matters, which, if resolved adversely, could harm our business.</w:t>
      </w:r>
    </w:p>
    <w:p>
      <w:pPr>
        <w:spacing w:after="0" w:line="107"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failure to protect our intellectual property rights and proprietary information could diminish our brand and other intangible assets.</w:t>
      </w:r>
    </w:p>
    <w:p>
      <w:pPr>
        <w:spacing w:after="0" w:line="84" w:lineRule="exact"/>
        <w:rPr>
          <w:sz w:val="20"/>
          <w:szCs w:val="20"/>
          <w:color w:val="auto"/>
        </w:rPr>
      </w:pPr>
    </w:p>
    <w:p>
      <w:pPr>
        <w:jc w:val="both"/>
        <w:ind w:firstLine="367"/>
        <w:spacing w:after="0" w:line="287" w:lineRule="auto"/>
        <w:rPr>
          <w:sz w:val="20"/>
          <w:szCs w:val="20"/>
          <w:color w:val="auto"/>
        </w:rPr>
      </w:pPr>
      <w:r>
        <w:rPr>
          <w:rFonts w:ascii="Arial" w:cs="Arial" w:eastAsia="Arial" w:hAnsi="Arial"/>
          <w:sz w:val="12"/>
          <w:szCs w:val="12"/>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use of third-party open source software could negatively affect our ability to offer and sell subscriptions to our platform and subject us to possible litigation.</w:t>
      </w:r>
    </w:p>
    <w:p>
      <w:pPr>
        <w:spacing w:after="0" w:line="84"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40"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trading price of our Class A common stock may be volatile, and you could lose all or part of your investment.</w:t>
      </w:r>
    </w:p>
    <w:p>
      <w:pPr>
        <w:spacing w:after="0" w:line="84"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67" w:lineRule="exact"/>
        <w:rPr>
          <w:sz w:val="20"/>
          <w:szCs w:val="20"/>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volatility in the trading prices and trading volumes of technology stocks;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sales of shares of our Class A common stock by us or our stockholders;</w:t>
      </w:r>
    </w:p>
    <w:p>
      <w:pPr>
        <w:spacing w:after="0" w:line="83" w:lineRule="exact"/>
        <w:rPr>
          <w:rFonts w:ascii="Arial" w:cs="Arial" w:eastAsia="Arial" w:hAnsi="Arial"/>
          <w:sz w:val="14"/>
          <w:szCs w:val="14"/>
          <w:color w:val="auto"/>
        </w:rPr>
      </w:pPr>
    </w:p>
    <w:p>
      <w:pPr>
        <w:ind w:left="500" w:hanging="253"/>
        <w:spacing w:after="0" w:line="261" w:lineRule="auto"/>
        <w:tabs>
          <w:tab w:leader="none" w:pos="4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failure of securities analysts to maintain coverage of us, changes in financial estimates by securities analysts who follow our company, or our failure to meet these estimates or the expectations of investors;</w:t>
      </w:r>
    </w:p>
    <w:p>
      <w:pPr>
        <w:spacing w:after="0" w:line="57"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those projections, or our failure to meet those projections;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features, or services;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public’s reaction to our press releases, other public announcements, and filings with the SEC;</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actual or anticipated changes in our results of operations or fluctuations in our results of operations;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our competitors’ businesses, or the competitive landscape generally;</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litigation involving us, our industry, or both, or investigations by regulators into our operations or those of our competitors;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or other proprietary rights;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products, services, or technologies by us or our competitors;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in accounting standards, policies, guidelines, interpretations, or principles;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ind w:left="480" w:hanging="233"/>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significant change in our management; and</w:t>
      </w:r>
    </w:p>
    <w:p>
      <w:pPr>
        <w:spacing w:after="0" w:line="83" w:lineRule="exact"/>
        <w:rPr>
          <w:rFonts w:ascii="Arial" w:cs="Arial" w:eastAsia="Arial" w:hAnsi="Arial"/>
          <w:sz w:val="14"/>
          <w:szCs w:val="14"/>
          <w:color w:val="auto"/>
        </w:rPr>
      </w:pPr>
    </w:p>
    <w:p>
      <w:pPr>
        <w:ind w:left="480" w:hanging="233"/>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general economic conditions and slow or negative growth of our markets.</w:t>
      </w:r>
    </w:p>
    <w:p>
      <w:pPr>
        <w:spacing w:after="0" w:line="84" w:lineRule="exact"/>
        <w:rPr>
          <w:sz w:val="20"/>
          <w:szCs w:val="20"/>
          <w:color w:val="auto"/>
        </w:rPr>
      </w:pPr>
    </w:p>
    <w:p>
      <w:pPr>
        <w:jc w:val="both"/>
        <w:ind w:firstLine="367"/>
        <w:spacing w:after="0" w:line="246" w:lineRule="auto"/>
        <w:rPr>
          <w:sz w:val="20"/>
          <w:szCs w:val="20"/>
          <w:color w:val="auto"/>
        </w:rPr>
      </w:pPr>
      <w:r>
        <w:rPr>
          <w:rFonts w:ascii="Arial" w:cs="Arial" w:eastAsia="Arial" w:hAnsi="Arial"/>
          <w:sz w:val="14"/>
          <w:szCs w:val="14"/>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We may be the target of additional litigation of this type in the future. Securities litigation against us could result in substantial costs and divert our management’s time and attention from other business concerns, which could harm our business. We may be the target of additional litigation of this type in the future as well. Securities litigation against us could result in substantial costs and a diversion of our management’s attention and resources.</w:t>
      </w:r>
    </w:p>
    <w:p>
      <w:pPr>
        <w:spacing w:after="0" w:line="153"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11" w:lineRule="exact"/>
        <w:rPr>
          <w:sz w:val="20"/>
          <w:szCs w:val="20"/>
          <w:color w:val="auto"/>
        </w:rPr>
      </w:pPr>
    </w:p>
    <w:p>
      <w:pPr>
        <w:jc w:val="both"/>
        <w:ind w:firstLine="367"/>
        <w:spacing w:after="0" w:line="292" w:lineRule="auto"/>
        <w:rPr>
          <w:sz w:val="20"/>
          <w:szCs w:val="20"/>
          <w:color w:val="auto"/>
        </w:rPr>
      </w:pPr>
      <w:r>
        <w:rPr>
          <w:rFonts w:ascii="Arial" w:cs="Arial" w:eastAsia="Arial" w:hAnsi="Arial"/>
          <w:sz w:val="12"/>
          <w:szCs w:val="12"/>
          <w:color w:val="auto"/>
        </w:rPr>
        <w:t>Our Class B common stock has 10 votes per share and our Class A common stock has one vote per share. As of October 31, 2021, the holders of our outstanding Class B common stock held 69.8% of the voting power of our outstanding capital stock, with our directors, executive officers and 5% stockholders and their respective affiliates holding 62.2% of such voting power in the aggregate. As of October 31, 2021, our founder, President and Chief Executive Officer, Eric S. Yuan, together with his affiliates, held approximately 7.8% of our outstanding capital stock but controlled approximately 29.1%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45"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64"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69"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12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58"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auto"/>
        </w:rPr>
        <w:t>transactions, investors may be materially diluted. New investors in such subsequent transactions could gain rights, preferences, and privileges senior to those of holders of our Class A common stock.</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Substantial future sales of shares of our Class A common stock and Class B common stock could cause the market price of our Class A common stock to decline.</w:t>
      </w:r>
    </w:p>
    <w:p>
      <w:pPr>
        <w:spacing w:after="0" w:line="84"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58"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67"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4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58"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charter documents also contain other provisions that could have an anti-takeover effect, such as:</w:t>
      </w:r>
    </w:p>
    <w:p>
      <w:pPr>
        <w:spacing w:after="0" w:line="84" w:lineRule="exact"/>
        <w:rPr>
          <w:sz w:val="20"/>
          <w:szCs w:val="20"/>
          <w:color w:val="auto"/>
        </w:rPr>
      </w:pPr>
    </w:p>
    <w:p>
      <w:pPr>
        <w:ind w:left="980" w:hanging="366"/>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establishing a classified board of directors so that not all members of our board of directors are elected at one time;</w:t>
      </w:r>
    </w:p>
    <w:p>
      <w:pPr>
        <w:spacing w:after="0" w:line="83" w:lineRule="exact"/>
        <w:rPr>
          <w:rFonts w:ascii="Arial" w:cs="Arial" w:eastAsia="Arial" w:hAnsi="Arial"/>
          <w:sz w:val="14"/>
          <w:szCs w:val="14"/>
          <w:color w:val="auto"/>
        </w:rPr>
      </w:pPr>
    </w:p>
    <w:p>
      <w:pPr>
        <w:ind w:left="980" w:hanging="366"/>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permitting the board of directors to establish the number of directors and fill any vacancies and newly created directorships;</w:t>
      </w:r>
    </w:p>
    <w:p>
      <w:pPr>
        <w:spacing w:after="0" w:line="83" w:lineRule="exact"/>
        <w:rPr>
          <w:rFonts w:ascii="Arial" w:cs="Arial" w:eastAsia="Arial" w:hAnsi="Arial"/>
          <w:sz w:val="14"/>
          <w:szCs w:val="14"/>
          <w:color w:val="auto"/>
        </w:rPr>
      </w:pPr>
    </w:p>
    <w:p>
      <w:pPr>
        <w:ind w:left="980" w:hanging="366"/>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providing that directors may only be removed for cause;</w:t>
      </w:r>
    </w:p>
    <w:p>
      <w:pPr>
        <w:spacing w:after="0" w:line="83" w:lineRule="exact"/>
        <w:rPr>
          <w:rFonts w:ascii="Arial" w:cs="Arial" w:eastAsia="Arial" w:hAnsi="Arial"/>
          <w:sz w:val="14"/>
          <w:szCs w:val="14"/>
          <w:color w:val="auto"/>
        </w:rPr>
      </w:pPr>
    </w:p>
    <w:p>
      <w:pPr>
        <w:ind w:left="980" w:hanging="366"/>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prohibiting cumulative voting for directors;</w:t>
      </w:r>
    </w:p>
    <w:p>
      <w:pPr>
        <w:spacing w:after="0" w:line="83" w:lineRule="exact"/>
        <w:rPr>
          <w:rFonts w:ascii="Arial" w:cs="Arial" w:eastAsia="Arial" w:hAnsi="Arial"/>
          <w:sz w:val="14"/>
          <w:szCs w:val="14"/>
          <w:color w:val="auto"/>
        </w:rPr>
      </w:pPr>
    </w:p>
    <w:p>
      <w:pPr>
        <w:ind w:left="980" w:hanging="366"/>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requiring super-majority voting to amend some provisions in our certificate of incorporation and bylaws;</w:t>
      </w:r>
    </w:p>
    <w:p>
      <w:pPr>
        <w:spacing w:after="0" w:line="83" w:lineRule="exact"/>
        <w:rPr>
          <w:rFonts w:ascii="Arial" w:cs="Arial" w:eastAsia="Arial" w:hAnsi="Arial"/>
          <w:sz w:val="14"/>
          <w:szCs w:val="14"/>
          <w:color w:val="auto"/>
        </w:rPr>
      </w:pPr>
    </w:p>
    <w:p>
      <w:pPr>
        <w:ind w:left="980" w:hanging="366"/>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authorizing the issuance of “blank check” preferred stock that our board of directors could use to implement a stockholder rights plan;</w:t>
      </w:r>
    </w:p>
    <w:p>
      <w:pPr>
        <w:spacing w:after="0" w:line="83" w:lineRule="exact"/>
        <w:rPr>
          <w:rFonts w:ascii="Arial" w:cs="Arial" w:eastAsia="Arial" w:hAnsi="Arial"/>
          <w:sz w:val="14"/>
          <w:szCs w:val="14"/>
          <w:color w:val="auto"/>
        </w:rPr>
      </w:pPr>
    </w:p>
    <w:p>
      <w:pPr>
        <w:ind w:left="980" w:hanging="366"/>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eliminating the ability of stockholders to call special meetings of stockholders;</w:t>
      </w:r>
    </w:p>
    <w:p>
      <w:pPr>
        <w:spacing w:after="0" w:line="83" w:lineRule="exact"/>
        <w:rPr>
          <w:rFonts w:ascii="Arial" w:cs="Arial" w:eastAsia="Arial" w:hAnsi="Arial"/>
          <w:sz w:val="14"/>
          <w:szCs w:val="14"/>
          <w:color w:val="auto"/>
        </w:rPr>
      </w:pPr>
    </w:p>
    <w:p>
      <w:pPr>
        <w:ind w:left="980" w:hanging="366"/>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prohibiting stockholder action by written consent, which requires all stockholder actions to be taken at a meeting of our stockholders; and</w:t>
      </w:r>
    </w:p>
    <w:p>
      <w:pPr>
        <w:spacing w:after="0" w:line="83" w:lineRule="exact"/>
        <w:rPr>
          <w:rFonts w:ascii="Arial" w:cs="Arial" w:eastAsia="Arial" w:hAnsi="Arial"/>
          <w:sz w:val="14"/>
          <w:szCs w:val="14"/>
          <w:color w:val="auto"/>
        </w:rPr>
      </w:pPr>
    </w:p>
    <w:p>
      <w:pPr>
        <w:ind w:left="980" w:hanging="366"/>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dual-class common stock structure as described above.</w:t>
      </w:r>
    </w:p>
    <w:p>
      <w:pPr>
        <w:spacing w:after="0" w:line="84"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51"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11" w:lineRule="exact"/>
        <w:rPr>
          <w:sz w:val="20"/>
          <w:szCs w:val="20"/>
          <w:color w:val="auto"/>
        </w:rPr>
      </w:pPr>
    </w:p>
    <w:p>
      <w:pPr>
        <w:jc w:val="both"/>
        <w:ind w:firstLine="367"/>
        <w:spacing w:after="0" w:line="345" w:lineRule="auto"/>
        <w:rPr>
          <w:sz w:val="20"/>
          <w:szCs w:val="20"/>
          <w:color w:val="auto"/>
        </w:rPr>
      </w:pPr>
      <w:r>
        <w:rPr>
          <w:rFonts w:ascii="Arial" w:cs="Arial" w:eastAsia="Arial" w:hAnsi="Arial"/>
          <w:sz w:val="12"/>
          <w:szCs w:val="12"/>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47" w:lineRule="exact"/>
        <w:rPr>
          <w:sz w:val="20"/>
          <w:szCs w:val="20"/>
          <w:color w:val="auto"/>
        </w:rPr>
      </w:pPr>
    </w:p>
    <w:p>
      <w:pPr>
        <w:jc w:val="both"/>
        <w:ind w:firstLine="367"/>
        <w:spacing w:after="0" w:line="304" w:lineRule="auto"/>
        <w:rPr>
          <w:sz w:val="20"/>
          <w:szCs w:val="20"/>
          <w:color w:val="auto"/>
        </w:rPr>
      </w:pPr>
      <w:r>
        <w:rPr>
          <w:rFonts w:ascii="Arial" w:cs="Arial" w:eastAsia="Arial" w:hAnsi="Arial"/>
          <w:sz w:val="12"/>
          <w:szCs w:val="12"/>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do not intend to pay dividends for the foreseeable future.</w:t>
      </w:r>
    </w:p>
    <w:p>
      <w:pPr>
        <w:spacing w:after="0" w:line="8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68"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58"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business could be disrupted by catastrophic events.</w:t>
      </w:r>
    </w:p>
    <w:p>
      <w:pPr>
        <w:spacing w:after="0" w:line="84"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develop adequate plans to ensure that our business functions continue to operate during and after a disaster and to execute successfully on those plans in the event of a disaster or emergency, our business would be harmed.</w:t>
      </w:r>
    </w:p>
    <w:p>
      <w:pPr>
        <w:spacing w:after="0" w:line="58" w:lineRule="exact"/>
        <w:rPr>
          <w:sz w:val="20"/>
          <w:szCs w:val="20"/>
          <w:color w:val="auto"/>
        </w:rPr>
      </w:pPr>
    </w:p>
    <w:p>
      <w:pPr>
        <w:jc w:val="both"/>
        <w:ind w:firstLine="367"/>
        <w:spacing w:after="0" w:line="297" w:lineRule="auto"/>
        <w:rPr>
          <w:sz w:val="20"/>
          <w:szCs w:val="20"/>
          <w:color w:val="auto"/>
        </w:rPr>
      </w:pPr>
      <w:r>
        <w:rPr>
          <w:rFonts w:ascii="Arial" w:cs="Arial" w:eastAsia="Arial" w:hAnsi="Arial"/>
          <w:sz w:val="12"/>
          <w:szCs w:val="12"/>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We have removed the 40-minute time limit from our free Basic accounts for customers in K-12 schools in certain countries. While we have seen increased usage of our service globally, a significant portion of such increase is attributable to free Basic accounts, which do not generate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any revenue. 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spacing w:after="0" w:line="146"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58"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dynamic and the likelihood of successful liquidity events for the companies we have invested in could significantly worsen.</w:t>
      </w:r>
    </w:p>
    <w:p>
      <w:pPr>
        <w:spacing w:after="0" w:line="69"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We record all fair value adjustments of our publicly traded and privately held non-marketable securities through the condensed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reported results of operations may be adversely affected by changes in accounting principles generally accepted in the United States.</w:t>
      </w:r>
    </w:p>
    <w:p>
      <w:pPr>
        <w:spacing w:after="0" w:line="84"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need additional capital, and we cannot be certain that additional financing will be available on favorable terms, or at all.</w:t>
      </w:r>
    </w:p>
    <w:p>
      <w:pPr>
        <w:spacing w:after="0" w:line="84" w:lineRule="exact"/>
        <w:rPr>
          <w:sz w:val="20"/>
          <w:szCs w:val="20"/>
          <w:color w:val="auto"/>
        </w:rPr>
      </w:pPr>
    </w:p>
    <w:p>
      <w:pPr>
        <w:jc w:val="both"/>
        <w:ind w:firstLine="367"/>
        <w:spacing w:after="0" w:line="299" w:lineRule="auto"/>
        <w:rPr>
          <w:sz w:val="20"/>
          <w:szCs w:val="20"/>
          <w:color w:val="auto"/>
        </w:rPr>
      </w:pPr>
      <w:r>
        <w:rPr>
          <w:rFonts w:ascii="Arial" w:cs="Arial" w:eastAsia="Arial" w:hAnsi="Arial"/>
          <w:sz w:val="12"/>
          <w:szCs w:val="12"/>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2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58"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color w:val="auto"/>
        </w:rPr>
        <w:t>We are subject to the reporting requirements of the Exchange Act, the Sarbanes-Oxley Act of 2002 (the “Sarbanes-Oxley Act”) and the rules and regulations of the applicable listing standards of The Nasdaq Stock Market. We expect that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58" w:lineRule="exact"/>
        <w:rPr>
          <w:sz w:val="20"/>
          <w:szCs w:val="20"/>
          <w:color w:val="auto"/>
        </w:rPr>
      </w:pPr>
    </w:p>
    <w:p>
      <w:pPr>
        <w:jc w:val="both"/>
        <w:ind w:firstLine="367"/>
        <w:spacing w:after="0" w:line="246" w:lineRule="auto"/>
        <w:rPr>
          <w:sz w:val="20"/>
          <w:szCs w:val="20"/>
          <w:color w:val="auto"/>
        </w:rPr>
      </w:pPr>
      <w:r>
        <w:rPr>
          <w:rFonts w:ascii="Arial" w:cs="Arial" w:eastAsia="Arial" w:hAnsi="Arial"/>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71"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40"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2"/>
          <w:szCs w:val="12"/>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41"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11"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8"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We incur costs and demands upon management as a result of complying with the laws and regulations affecting public companies in the United States, which may harm our business.</w:t>
      </w:r>
    </w:p>
    <w:p>
      <w:pPr>
        <w:spacing w:after="0" w:line="107" w:lineRule="exact"/>
        <w:rPr>
          <w:sz w:val="20"/>
          <w:szCs w:val="20"/>
          <w:color w:val="auto"/>
        </w:rPr>
      </w:pPr>
    </w:p>
    <w:p>
      <w:pPr>
        <w:jc w:val="both"/>
        <w:ind w:firstLine="367"/>
        <w:spacing w:after="0" w:line="249" w:lineRule="auto"/>
        <w:rPr>
          <w:sz w:val="20"/>
          <w:szCs w:val="20"/>
          <w:color w:val="auto"/>
        </w:rPr>
      </w:pPr>
      <w:r>
        <w:rPr>
          <w:rFonts w:ascii="Arial" w:cs="Arial" w:eastAsia="Arial" w:hAnsi="Arial"/>
          <w:sz w:val="14"/>
          <w:szCs w:val="14"/>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6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26"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45"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45"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Not applicable.</w:t>
      </w:r>
    </w:p>
    <w:p>
      <w:pPr>
        <w:spacing w:after="0" w:line="245"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5.</w:t>
        <w:tab/>
        <w:t>OTHER INFORMATION</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602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8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554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EXHIBITS</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Exhibit</w:t>
            </w:r>
          </w:p>
        </w:tc>
        <w:tc>
          <w:tcPr>
            <w:tcW w:w="4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ind w:left="20"/>
              <w:spacing w:after="0"/>
              <w:rPr>
                <w:sz w:val="20"/>
                <w:szCs w:val="20"/>
                <w:color w:val="auto"/>
              </w:rPr>
            </w:pPr>
            <w:r>
              <w:rPr>
                <w:rFonts w:ascii="Arial" w:cs="Arial" w:eastAsia="Arial" w:hAnsi="Arial"/>
                <w:sz w:val="11"/>
                <w:szCs w:val="11"/>
                <w:b w:val="1"/>
                <w:bCs w:val="1"/>
                <w:color w:val="auto"/>
              </w:rPr>
              <w:t>Incorporated by Reference</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480" w:type="dxa"/>
            <w:vAlign w:val="bottom"/>
          </w:tcPr>
          <w:p>
            <w:pPr>
              <w:spacing w:after="0"/>
              <w:rPr>
                <w:sz w:val="12"/>
                <w:szCs w:val="12"/>
                <w:color w:val="auto"/>
              </w:rPr>
            </w:pPr>
          </w:p>
        </w:tc>
        <w:tc>
          <w:tcPr>
            <w:tcW w:w="5060" w:type="dxa"/>
            <w:vAlign w:val="bottom"/>
          </w:tcPr>
          <w:p>
            <w:pPr>
              <w:ind w:left="2120"/>
              <w:spacing w:after="0"/>
              <w:rPr>
                <w:sz w:val="20"/>
                <w:szCs w:val="20"/>
                <w:color w:val="auto"/>
              </w:rPr>
            </w:pPr>
            <w:r>
              <w:rPr>
                <w:rFonts w:ascii="Arial" w:cs="Arial" w:eastAsia="Arial" w:hAnsi="Arial"/>
                <w:sz w:val="11"/>
                <w:szCs w:val="11"/>
                <w:b w:val="1"/>
                <w:bCs w:val="1"/>
                <w:color w:val="auto"/>
              </w:rPr>
              <w:t>Exhibit Description</w:t>
            </w:r>
          </w:p>
        </w:tc>
        <w:tc>
          <w:tcPr>
            <w:tcW w:w="1080" w:type="dxa"/>
            <w:vAlign w:val="bottom"/>
          </w:tcPr>
          <w:p>
            <w:pPr>
              <w:ind w:left="360"/>
              <w:spacing w:after="0"/>
              <w:rPr>
                <w:sz w:val="20"/>
                <w:szCs w:val="20"/>
                <w:color w:val="auto"/>
              </w:rPr>
            </w:pPr>
            <w:r>
              <w:rPr>
                <w:rFonts w:ascii="Arial" w:cs="Arial" w:eastAsia="Arial" w:hAnsi="Arial"/>
                <w:sz w:val="11"/>
                <w:szCs w:val="11"/>
                <w:b w:val="1"/>
                <w:bCs w:val="1"/>
                <w:color w:val="auto"/>
              </w:rPr>
              <w:t>Form</w:t>
            </w:r>
          </w:p>
        </w:tc>
        <w:tc>
          <w:tcPr>
            <w:tcW w:w="880" w:type="dxa"/>
            <w:vAlign w:val="bottom"/>
          </w:tcPr>
          <w:p>
            <w:pPr>
              <w:ind w:left="480"/>
              <w:spacing w:after="0"/>
              <w:rPr>
                <w:sz w:val="20"/>
                <w:szCs w:val="20"/>
                <w:color w:val="auto"/>
              </w:rPr>
            </w:pPr>
            <w:r>
              <w:rPr>
                <w:rFonts w:ascii="Arial" w:cs="Arial" w:eastAsia="Arial" w:hAnsi="Arial"/>
                <w:sz w:val="11"/>
                <w:szCs w:val="11"/>
                <w:b w:val="1"/>
                <w:bCs w:val="1"/>
                <w:color w:val="auto"/>
                <w:w w:val="95"/>
              </w:rPr>
              <w:t>File No.</w:t>
            </w:r>
          </w:p>
        </w:tc>
        <w:tc>
          <w:tcPr>
            <w:tcW w:w="1740" w:type="dxa"/>
            <w:vAlign w:val="bottom"/>
          </w:tcPr>
          <w:p>
            <w:pPr>
              <w:ind w:left="880"/>
              <w:spacing w:after="0"/>
              <w:rPr>
                <w:sz w:val="20"/>
                <w:szCs w:val="20"/>
                <w:color w:val="auto"/>
              </w:rPr>
            </w:pPr>
            <w:r>
              <w:rPr>
                <w:rFonts w:ascii="Arial" w:cs="Arial" w:eastAsia="Arial" w:hAnsi="Arial"/>
                <w:sz w:val="11"/>
                <w:szCs w:val="11"/>
                <w:b w:val="1"/>
                <w:bCs w:val="1"/>
                <w:color w:val="auto"/>
              </w:rPr>
              <w:t>Exhibit</w:t>
            </w:r>
          </w:p>
        </w:tc>
        <w:tc>
          <w:tcPr>
            <w:tcW w:w="1520" w:type="dxa"/>
            <w:vAlign w:val="bottom"/>
          </w:tcPr>
          <w:p>
            <w:pPr>
              <w:ind w:left="460"/>
              <w:spacing w:after="0"/>
              <w:rPr>
                <w:sz w:val="20"/>
                <w:szCs w:val="20"/>
                <w:color w:val="auto"/>
              </w:rPr>
            </w:pPr>
            <w:r>
              <w:rPr>
                <w:rFonts w:ascii="Arial" w:cs="Arial" w:eastAsia="Arial" w:hAnsi="Arial"/>
                <w:sz w:val="11"/>
                <w:szCs w:val="11"/>
                <w:b w:val="1"/>
                <w:bCs w:val="1"/>
                <w:color w:val="auto"/>
              </w:rPr>
              <w:t>Filing Date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111" w:right="319" w:bottom="1440" w:gutter="0" w:footer="0" w:header="0"/>
        </w:sectPr>
      </w:pPr>
    </w:p>
    <w:p>
      <w:pPr>
        <w:ind w:left="20"/>
        <w:spacing w:after="0"/>
        <w:rPr>
          <w:sz w:val="20"/>
          <w:szCs w:val="20"/>
          <w:color w:val="auto"/>
        </w:rPr>
      </w:pPr>
      <w:r>
        <w:rPr>
          <w:rFonts w:ascii="Arial" w:cs="Arial" w:eastAsia="Arial" w:hAnsi="Arial"/>
          <w:sz w:val="14"/>
          <w:szCs w:val="14"/>
          <w:color w:val="auto"/>
        </w:rPr>
        <w:t>3.1</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31.1*</w:t>
      </w:r>
    </w:p>
    <w:p>
      <w:pPr>
        <w:spacing w:after="0" w:line="20" w:lineRule="exact"/>
        <w:rPr>
          <w:sz w:val="20"/>
          <w:szCs w:val="20"/>
          <w:color w:val="auto"/>
        </w:rPr>
      </w:pPr>
      <w:r>
        <w:rPr>
          <w:sz w:val="20"/>
          <w:szCs w:val="20"/>
          <w:color w:val="auto"/>
        </w:rPr>
        <w:br w:type="column"/>
      </w:r>
    </w:p>
    <w:p>
      <w:pPr>
        <w:ind w:right="60"/>
        <w:spacing w:after="0" w:line="246" w:lineRule="auto"/>
        <w:rPr>
          <w:rFonts w:ascii="Arial" w:cs="Arial" w:eastAsia="Arial" w:hAnsi="Arial"/>
          <w:sz w:val="14"/>
          <w:szCs w:val="14"/>
          <w:u w:val="single" w:color="auto"/>
          <w:color w:val="0000FF"/>
        </w:rPr>
      </w:pPr>
      <w:hyperlink r:id="rId88">
        <w:r>
          <w:rPr>
            <w:rFonts w:ascii="Arial" w:cs="Arial" w:eastAsia="Arial" w:hAnsi="Arial"/>
            <w:sz w:val="14"/>
            <w:szCs w:val="14"/>
            <w:u w:val="single" w:color="auto"/>
            <w:color w:val="0000FF"/>
          </w:rPr>
          <w:t>Amended and Restated Certificate of Incorporation of Zoom Video Communications,</w:t>
        </w:r>
      </w:hyperlink>
      <w:r>
        <w:rPr>
          <w:rFonts w:ascii="Arial" w:cs="Arial" w:eastAsia="Arial" w:hAnsi="Arial"/>
          <w:sz w:val="14"/>
          <w:szCs w:val="14"/>
          <w:u w:val="single" w:color="auto"/>
          <w:color w:val="0000FF"/>
        </w:rPr>
        <w:t xml:space="preserve"> </w:t>
      </w:r>
      <w:hyperlink r:id="rId88">
        <w:r>
          <w:rPr>
            <w:rFonts w:ascii="Arial" w:cs="Arial" w:eastAsia="Arial" w:hAnsi="Arial"/>
            <w:sz w:val="14"/>
            <w:szCs w:val="14"/>
            <w:u w:val="single" w:color="auto"/>
            <w:color w:val="0000FF"/>
          </w:rPr>
          <w:t>Inc.</w:t>
        </w:r>
      </w:hyperlink>
    </w:p>
    <w:p>
      <w:pPr>
        <w:spacing w:after="0" w:line="17" w:lineRule="exact"/>
        <w:rPr>
          <w:sz w:val="20"/>
          <w:szCs w:val="20"/>
          <w:color w:val="auto"/>
        </w:rPr>
      </w:pPr>
    </w:p>
    <w:p>
      <w:pPr>
        <w:spacing w:after="0"/>
        <w:rPr>
          <w:rFonts w:ascii="Arial" w:cs="Arial" w:eastAsia="Arial" w:hAnsi="Arial"/>
          <w:sz w:val="14"/>
          <w:szCs w:val="14"/>
          <w:u w:val="single" w:color="auto"/>
          <w:color w:val="0000FF"/>
        </w:rPr>
      </w:pPr>
      <w:hyperlink r:id="rId89">
        <w:r>
          <w:rPr>
            <w:rFonts w:ascii="Arial" w:cs="Arial" w:eastAsia="Arial" w:hAnsi="Arial"/>
            <w:sz w:val="14"/>
            <w:szCs w:val="14"/>
            <w:u w:val="single" w:color="auto"/>
            <w:color w:val="0000FF"/>
          </w:rPr>
          <w:t>Amended and Restated Bylaws of Zoom Video Communications, Inc.</w:t>
        </w:r>
      </w:hyperlink>
    </w:p>
    <w:p>
      <w:pPr>
        <w:spacing w:after="0" w:line="23" w:lineRule="exact"/>
        <w:rPr>
          <w:sz w:val="20"/>
          <w:szCs w:val="20"/>
          <w:color w:val="auto"/>
        </w:rPr>
      </w:pPr>
    </w:p>
    <w:p>
      <w:pPr>
        <w:spacing w:after="0" w:line="266" w:lineRule="auto"/>
        <w:rPr>
          <w:rFonts w:ascii="Arial" w:cs="Arial" w:eastAsia="Arial" w:hAnsi="Arial"/>
          <w:sz w:val="12"/>
          <w:szCs w:val="12"/>
          <w:u w:val="single" w:color="auto"/>
          <w:color w:val="0000FF"/>
        </w:rPr>
      </w:pPr>
      <w:hyperlink w:anchor="page72">
        <w:r>
          <w:rPr>
            <w:rFonts w:ascii="Arial" w:cs="Arial" w:eastAsia="Arial" w:hAnsi="Arial"/>
            <w:sz w:val="12"/>
            <w:szCs w:val="12"/>
            <w:u w:val="single" w:color="auto"/>
            <w:color w:val="0000FF"/>
          </w:rPr>
          <w:t>Certification of Chief Executive Officer pursuant to Exchange Act Rules 13a-14(a)</w:t>
        </w:r>
      </w:hyperlink>
      <w:r>
        <w:rPr>
          <w:rFonts w:ascii="Arial" w:cs="Arial" w:eastAsia="Arial" w:hAnsi="Arial"/>
          <w:sz w:val="12"/>
          <w:szCs w:val="12"/>
          <w:u w:val="single" w:color="auto"/>
          <w:color w:val="0000FF"/>
        </w:rPr>
        <w:t xml:space="preserve"> </w:t>
      </w:r>
      <w:hyperlink w:anchor="page72">
        <w:r>
          <w:rPr>
            <w:rFonts w:ascii="Arial" w:cs="Arial" w:eastAsia="Arial" w:hAnsi="Arial"/>
            <w:sz w:val="12"/>
            <w:szCs w:val="12"/>
            <w:u w:val="single" w:color="auto"/>
            <w:color w:val="0000FF"/>
          </w:rPr>
          <w:t>and 15d-14(a), as adopted pursuant to Section 302 of the Sarbanes-Oxley Act of 2002.</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700" w:type="dxa"/>
            <w:vAlign w:val="bottom"/>
          </w:tcPr>
          <w:p>
            <w:pPr>
              <w:spacing w:after="0"/>
              <w:rPr>
                <w:sz w:val="20"/>
                <w:szCs w:val="20"/>
                <w:color w:val="auto"/>
              </w:rPr>
            </w:pPr>
            <w:r>
              <w:rPr>
                <w:rFonts w:ascii="Arial" w:cs="Arial" w:eastAsia="Arial" w:hAnsi="Arial"/>
                <w:sz w:val="14"/>
                <w:szCs w:val="14"/>
                <w:color w:val="auto"/>
              </w:rPr>
              <w:t>8-K</w:t>
            </w:r>
          </w:p>
        </w:tc>
        <w:tc>
          <w:tcPr>
            <w:tcW w:w="1440" w:type="dxa"/>
            <w:vAlign w:val="bottom"/>
          </w:tcPr>
          <w:p>
            <w:pPr>
              <w:ind w:left="380"/>
              <w:spacing w:after="0"/>
              <w:rPr>
                <w:sz w:val="20"/>
                <w:szCs w:val="20"/>
                <w:color w:val="auto"/>
              </w:rPr>
            </w:pPr>
            <w:r>
              <w:rPr>
                <w:rFonts w:ascii="Arial" w:cs="Arial" w:eastAsia="Arial" w:hAnsi="Arial"/>
                <w:sz w:val="14"/>
                <w:szCs w:val="14"/>
                <w:color w:val="auto"/>
              </w:rPr>
              <w:t>001-38865</w:t>
            </w:r>
          </w:p>
        </w:tc>
        <w:tc>
          <w:tcPr>
            <w:tcW w:w="1020" w:type="dxa"/>
            <w:vAlign w:val="bottom"/>
          </w:tcPr>
          <w:p>
            <w:pPr>
              <w:jc w:val="right"/>
              <w:ind w:right="392"/>
              <w:spacing w:after="0"/>
              <w:rPr>
                <w:sz w:val="20"/>
                <w:szCs w:val="20"/>
                <w:color w:val="auto"/>
              </w:rPr>
            </w:pPr>
            <w:r>
              <w:rPr>
                <w:rFonts w:ascii="Arial" w:cs="Arial" w:eastAsia="Arial" w:hAnsi="Arial"/>
                <w:sz w:val="14"/>
                <w:szCs w:val="14"/>
                <w:color w:val="auto"/>
              </w:rPr>
              <w:t>3.1</w:t>
            </w:r>
          </w:p>
        </w:tc>
        <w:tc>
          <w:tcPr>
            <w:tcW w:w="1240" w:type="dxa"/>
            <w:vAlign w:val="bottom"/>
          </w:tcPr>
          <w:p>
            <w:pPr>
              <w:ind w:left="440"/>
              <w:spacing w:after="0"/>
              <w:rPr>
                <w:sz w:val="20"/>
                <w:szCs w:val="20"/>
                <w:color w:val="auto"/>
              </w:rPr>
            </w:pPr>
            <w:r>
              <w:rPr>
                <w:rFonts w:ascii="Arial" w:cs="Arial" w:eastAsia="Arial" w:hAnsi="Arial"/>
                <w:sz w:val="14"/>
                <w:szCs w:val="14"/>
                <w:color w:val="auto"/>
                <w:w w:val="90"/>
              </w:rPr>
              <w:t>April 23, 2019</w:t>
            </w:r>
          </w:p>
        </w:tc>
      </w:tr>
      <w:tr>
        <w:trPr>
          <w:trHeight w:val="347"/>
        </w:trPr>
        <w:tc>
          <w:tcPr>
            <w:tcW w:w="700" w:type="dxa"/>
            <w:vAlign w:val="bottom"/>
          </w:tcPr>
          <w:p>
            <w:pPr>
              <w:spacing w:after="0"/>
              <w:rPr>
                <w:sz w:val="20"/>
                <w:szCs w:val="20"/>
                <w:color w:val="auto"/>
              </w:rPr>
            </w:pPr>
            <w:r>
              <w:rPr>
                <w:rFonts w:ascii="Arial" w:cs="Arial" w:eastAsia="Arial" w:hAnsi="Arial"/>
                <w:sz w:val="14"/>
                <w:szCs w:val="14"/>
                <w:color w:val="auto"/>
              </w:rPr>
              <w:t>S-1/A</w:t>
            </w:r>
          </w:p>
        </w:tc>
        <w:tc>
          <w:tcPr>
            <w:tcW w:w="1440" w:type="dxa"/>
            <w:vAlign w:val="bottom"/>
          </w:tcPr>
          <w:p>
            <w:pPr>
              <w:ind w:left="380"/>
              <w:spacing w:after="0"/>
              <w:rPr>
                <w:sz w:val="20"/>
                <w:szCs w:val="20"/>
                <w:color w:val="auto"/>
              </w:rPr>
            </w:pPr>
            <w:r>
              <w:rPr>
                <w:rFonts w:ascii="Arial" w:cs="Arial" w:eastAsia="Arial" w:hAnsi="Arial"/>
                <w:sz w:val="14"/>
                <w:szCs w:val="14"/>
                <w:color w:val="auto"/>
              </w:rPr>
              <w:t>333-230444</w:t>
            </w:r>
          </w:p>
        </w:tc>
        <w:tc>
          <w:tcPr>
            <w:tcW w:w="1020" w:type="dxa"/>
            <w:vAlign w:val="bottom"/>
          </w:tcPr>
          <w:p>
            <w:pPr>
              <w:jc w:val="right"/>
              <w:ind w:right="392"/>
              <w:spacing w:after="0"/>
              <w:rPr>
                <w:sz w:val="20"/>
                <w:szCs w:val="20"/>
                <w:color w:val="auto"/>
              </w:rPr>
            </w:pPr>
            <w:r>
              <w:rPr>
                <w:rFonts w:ascii="Arial" w:cs="Arial" w:eastAsia="Arial" w:hAnsi="Arial"/>
                <w:sz w:val="14"/>
                <w:szCs w:val="14"/>
                <w:color w:val="auto"/>
              </w:rPr>
              <w:t>3.4</w:t>
            </w:r>
          </w:p>
        </w:tc>
        <w:tc>
          <w:tcPr>
            <w:tcW w:w="1240" w:type="dxa"/>
            <w:vAlign w:val="bottom"/>
          </w:tcPr>
          <w:p>
            <w:pPr>
              <w:ind w:left="440"/>
              <w:spacing w:after="0"/>
              <w:rPr>
                <w:sz w:val="20"/>
                <w:szCs w:val="20"/>
                <w:color w:val="auto"/>
              </w:rPr>
            </w:pPr>
            <w:r>
              <w:rPr>
                <w:rFonts w:ascii="Arial" w:cs="Arial" w:eastAsia="Arial" w:hAnsi="Arial"/>
                <w:sz w:val="14"/>
                <w:szCs w:val="14"/>
                <w:color w:val="auto"/>
                <w:w w:val="99"/>
              </w:rPr>
              <w:t>April 8, 2019</w:t>
            </w:r>
          </w:p>
        </w:tc>
      </w:tr>
    </w:tbl>
    <w:p>
      <w:pPr>
        <w:spacing w:after="0" w:line="317" w:lineRule="exact"/>
        <w:rPr>
          <w:sz w:val="20"/>
          <w:szCs w:val="20"/>
          <w:color w:val="auto"/>
        </w:rPr>
      </w:pPr>
    </w:p>
    <w:p>
      <w:pPr>
        <w:sectPr>
          <w:pgSz w:w="11900" w:h="16838" w:orient="portrait"/>
          <w:cols w:equalWidth="0" w:num="3">
            <w:col w:w="440" w:space="720"/>
            <w:col w:w="4720" w:space="140"/>
            <w:col w:w="5260"/>
          </w:cols>
          <w:pgMar w:left="300" w:top="111" w:right="319" w:bottom="1440" w:gutter="0" w:footer="0" w:header="0"/>
          <w:type w:val="continuous"/>
        </w:sectPr>
      </w:pPr>
    </w:p>
    <w:tbl>
      <w:tblPr>
        <w:tblLayout w:type="fixed"/>
        <w:tblInd w:w="20" w:type="dxa"/>
        <w:tblCellMar>
          <w:top w:w="0" w:type="dxa"/>
          <w:left w:w="0" w:type="dxa"/>
          <w:bottom w:w="0" w:type="dxa"/>
          <w:right w:w="0" w:type="dxa"/>
        </w:tblCellMar>
      </w:tblPr>
      <w:tr>
        <w:trPr>
          <w:trHeight w:val="144"/>
        </w:trPr>
        <w:tc>
          <w:tcPr>
            <w:tcW w:w="1140" w:type="dxa"/>
            <w:vAlign w:val="bottom"/>
          </w:tcPr>
          <w:p>
            <w:pPr>
              <w:spacing w:after="0" w:line="144" w:lineRule="exact"/>
              <w:rPr>
                <w:sz w:val="20"/>
                <w:szCs w:val="20"/>
                <w:color w:val="auto"/>
              </w:rPr>
            </w:pPr>
            <w:r>
              <w:rPr>
                <w:rFonts w:ascii="Arial" w:cs="Arial" w:eastAsia="Arial" w:hAnsi="Arial"/>
                <w:sz w:val="14"/>
                <w:szCs w:val="14"/>
                <w:color w:val="auto"/>
              </w:rPr>
              <w:t>31.2*</w:t>
            </w:r>
          </w:p>
        </w:tc>
        <w:tc>
          <w:tcPr>
            <w:tcW w:w="4740" w:type="dxa"/>
            <w:vAlign w:val="bottom"/>
            <w:gridSpan w:val="5"/>
          </w:tcPr>
          <w:p>
            <w:pPr>
              <w:spacing w:after="0" w:line="144" w:lineRule="exact"/>
              <w:rPr>
                <w:rFonts w:ascii="Arial" w:cs="Arial" w:eastAsia="Arial" w:hAnsi="Arial"/>
                <w:sz w:val="14"/>
                <w:szCs w:val="14"/>
                <w:color w:val="0000FF"/>
                <w:w w:val="89"/>
              </w:rPr>
            </w:pPr>
            <w:hyperlink w:anchor="page73">
              <w:r>
                <w:rPr>
                  <w:rFonts w:ascii="Arial" w:cs="Arial" w:eastAsia="Arial" w:hAnsi="Arial"/>
                  <w:sz w:val="14"/>
                  <w:szCs w:val="14"/>
                  <w:color w:val="0000FF"/>
                  <w:w w:val="89"/>
                </w:rPr>
                <w:t>Certification of Chief Financial Officer pursuant to Exchange Act Rules 13a-14(a) and</w:t>
              </w:r>
            </w:hyperlink>
          </w:p>
        </w:tc>
      </w:tr>
      <w:tr>
        <w:trPr>
          <w:trHeight w:val="113"/>
        </w:trPr>
        <w:tc>
          <w:tcPr>
            <w:tcW w:w="1140" w:type="dxa"/>
            <w:vAlign w:val="bottom"/>
          </w:tcPr>
          <w:p>
            <w:pPr>
              <w:spacing w:after="0"/>
              <w:rPr>
                <w:sz w:val="9"/>
                <w:szCs w:val="9"/>
                <w:color w:val="auto"/>
              </w:rPr>
            </w:pPr>
          </w:p>
        </w:tc>
        <w:tc>
          <w:tcPr>
            <w:tcW w:w="4480" w:type="dxa"/>
            <w:vAlign w:val="bottom"/>
            <w:tcBorders>
              <w:top w:val="single" w:sz="8" w:color="0000FF"/>
              <w:bottom w:val="single" w:sz="8" w:color="0000FF"/>
            </w:tcBorders>
            <w:gridSpan w:val="2"/>
          </w:tcPr>
          <w:p>
            <w:pPr>
              <w:spacing w:after="0" w:line="113" w:lineRule="exact"/>
              <w:rPr>
                <w:rFonts w:ascii="Arial" w:cs="Arial" w:eastAsia="Arial" w:hAnsi="Arial"/>
                <w:sz w:val="12"/>
                <w:szCs w:val="12"/>
                <w:color w:val="0000FF"/>
              </w:rPr>
            </w:pPr>
            <w:hyperlink w:anchor="page73">
              <w:r>
                <w:rPr>
                  <w:rFonts w:ascii="Arial" w:cs="Arial" w:eastAsia="Arial" w:hAnsi="Arial"/>
                  <w:sz w:val="12"/>
                  <w:szCs w:val="12"/>
                  <w:color w:val="0000FF"/>
                </w:rPr>
                <w:t>15d-14(a), as adopted pursuant to Section 302 of the Sarbanes-Oxley Act of 2002.</w:t>
              </w:r>
            </w:hyperlink>
          </w:p>
        </w:tc>
        <w:tc>
          <w:tcPr>
            <w:tcW w:w="24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r>
      <w:tr>
        <w:trPr>
          <w:trHeight w:val="153"/>
        </w:trPr>
        <w:tc>
          <w:tcPr>
            <w:tcW w:w="1140" w:type="dxa"/>
            <w:vAlign w:val="bottom"/>
          </w:tcPr>
          <w:p>
            <w:pPr>
              <w:spacing w:after="0" w:line="153" w:lineRule="exact"/>
              <w:rPr>
                <w:sz w:val="20"/>
                <w:szCs w:val="20"/>
                <w:color w:val="auto"/>
              </w:rPr>
            </w:pPr>
            <w:r>
              <w:rPr>
                <w:rFonts w:ascii="Arial" w:cs="Arial" w:eastAsia="Arial" w:hAnsi="Arial"/>
                <w:sz w:val="14"/>
                <w:szCs w:val="14"/>
                <w:color w:val="auto"/>
              </w:rPr>
              <w:t>32.1†</w:t>
            </w:r>
          </w:p>
        </w:tc>
        <w:tc>
          <w:tcPr>
            <w:tcW w:w="4740" w:type="dxa"/>
            <w:vAlign w:val="bottom"/>
            <w:gridSpan w:val="5"/>
          </w:tcPr>
          <w:p>
            <w:pPr>
              <w:spacing w:after="0" w:line="153" w:lineRule="exact"/>
              <w:rPr>
                <w:rFonts w:ascii="Arial" w:cs="Arial" w:eastAsia="Arial" w:hAnsi="Arial"/>
                <w:sz w:val="14"/>
                <w:szCs w:val="14"/>
                <w:color w:val="0000FF"/>
                <w:w w:val="93"/>
              </w:rPr>
            </w:pPr>
            <w:hyperlink w:anchor="page74">
              <w:r>
                <w:rPr>
                  <w:rFonts w:ascii="Arial" w:cs="Arial" w:eastAsia="Arial" w:hAnsi="Arial"/>
                  <w:sz w:val="14"/>
                  <w:szCs w:val="14"/>
                  <w:color w:val="0000FF"/>
                  <w:w w:val="93"/>
                </w:rPr>
                <w:t>Certifications of Chief Executive Officer and Chief Financial Officer pursuant to 18</w:t>
              </w:r>
            </w:hyperlink>
          </w:p>
        </w:tc>
      </w:tr>
      <w:tr>
        <w:trPr>
          <w:trHeight w:val="113"/>
        </w:trPr>
        <w:tc>
          <w:tcPr>
            <w:tcW w:w="1140" w:type="dxa"/>
            <w:vAlign w:val="bottom"/>
          </w:tcPr>
          <w:p>
            <w:pPr>
              <w:spacing w:after="0"/>
              <w:rPr>
                <w:sz w:val="9"/>
                <w:szCs w:val="9"/>
                <w:color w:val="auto"/>
              </w:rPr>
            </w:pPr>
          </w:p>
        </w:tc>
        <w:tc>
          <w:tcPr>
            <w:tcW w:w="4580" w:type="dxa"/>
            <w:vAlign w:val="bottom"/>
            <w:tcBorders>
              <w:top w:val="single" w:sz="8" w:color="0000FF"/>
            </w:tcBorders>
            <w:gridSpan w:val="3"/>
          </w:tcPr>
          <w:p>
            <w:pPr>
              <w:spacing w:after="0" w:line="113" w:lineRule="exact"/>
              <w:rPr>
                <w:rFonts w:ascii="Arial" w:cs="Arial" w:eastAsia="Arial" w:hAnsi="Arial"/>
                <w:sz w:val="12"/>
                <w:szCs w:val="12"/>
                <w:color w:val="0000FF"/>
              </w:rPr>
            </w:pPr>
            <w:hyperlink w:anchor="page74">
              <w:r>
                <w:rPr>
                  <w:rFonts w:ascii="Arial" w:cs="Arial" w:eastAsia="Arial" w:hAnsi="Arial"/>
                  <w:sz w:val="12"/>
                  <w:szCs w:val="12"/>
                  <w:color w:val="0000FF"/>
                </w:rPr>
                <w:t>U.S.C. Section 1350, as adopted pursuant to Section 906 of the Sarbanes-Oxley Act</w:t>
              </w:r>
            </w:hyperlink>
          </w:p>
        </w:tc>
        <w:tc>
          <w:tcPr>
            <w:tcW w:w="160" w:type="dxa"/>
            <w:vAlign w:val="bottom"/>
            <w:gridSpan w:val="2"/>
          </w:tcPr>
          <w:p>
            <w:pPr>
              <w:ind w:left="20"/>
              <w:spacing w:after="0" w:line="113" w:lineRule="exact"/>
              <w:rPr>
                <w:rFonts w:ascii="Arial" w:cs="Arial" w:eastAsia="Arial" w:hAnsi="Arial"/>
                <w:sz w:val="12"/>
                <w:szCs w:val="12"/>
                <w:color w:val="0000FF"/>
              </w:rPr>
            </w:pPr>
            <w:hyperlink w:anchor="page74">
              <w:r>
                <w:rPr>
                  <w:rFonts w:ascii="Arial" w:cs="Arial" w:eastAsia="Arial" w:hAnsi="Arial"/>
                  <w:sz w:val="12"/>
                  <w:szCs w:val="12"/>
                  <w:color w:val="0000FF"/>
                </w:rPr>
                <w:t>of</w:t>
              </w:r>
            </w:hyperlink>
          </w:p>
        </w:tc>
      </w:tr>
      <w:tr>
        <w:trPr>
          <w:trHeight w:val="113"/>
        </w:trPr>
        <w:tc>
          <w:tcPr>
            <w:tcW w:w="114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13" w:lineRule="exact"/>
              <w:rPr>
                <w:rFonts w:ascii="Arial" w:cs="Arial" w:eastAsia="Arial" w:hAnsi="Arial"/>
                <w:sz w:val="12"/>
                <w:szCs w:val="12"/>
                <w:color w:val="0000FF"/>
                <w:w w:val="99"/>
              </w:rPr>
            </w:pPr>
            <w:hyperlink w:anchor="page74">
              <w:r>
                <w:rPr>
                  <w:rFonts w:ascii="Arial" w:cs="Arial" w:eastAsia="Arial" w:hAnsi="Arial"/>
                  <w:sz w:val="12"/>
                  <w:szCs w:val="12"/>
                  <w:color w:val="0000FF"/>
                  <w:w w:val="99"/>
                </w:rPr>
                <w:t>2002.</w:t>
              </w:r>
            </w:hyperlink>
          </w:p>
        </w:tc>
        <w:tc>
          <w:tcPr>
            <w:tcW w:w="4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r>
      <w:tr>
        <w:trPr>
          <w:trHeight w:val="173"/>
        </w:trPr>
        <w:tc>
          <w:tcPr>
            <w:tcW w:w="1140" w:type="dxa"/>
            <w:vAlign w:val="bottom"/>
          </w:tcPr>
          <w:p>
            <w:pPr>
              <w:spacing w:after="0"/>
              <w:rPr>
                <w:sz w:val="20"/>
                <w:szCs w:val="20"/>
                <w:color w:val="auto"/>
              </w:rPr>
            </w:pPr>
            <w:r>
              <w:rPr>
                <w:rFonts w:ascii="Arial" w:cs="Arial" w:eastAsia="Arial" w:hAnsi="Arial"/>
                <w:sz w:val="14"/>
                <w:szCs w:val="14"/>
                <w:color w:val="auto"/>
              </w:rPr>
              <w:t>101.INS*</w:t>
            </w:r>
          </w:p>
        </w:tc>
        <w:tc>
          <w:tcPr>
            <w:tcW w:w="4740" w:type="dxa"/>
            <w:vAlign w:val="bottom"/>
            <w:gridSpan w:val="5"/>
          </w:tcPr>
          <w:p>
            <w:pPr>
              <w:spacing w:after="0"/>
              <w:rPr>
                <w:sz w:val="20"/>
                <w:szCs w:val="20"/>
                <w:color w:val="auto"/>
              </w:rPr>
            </w:pPr>
            <w:r>
              <w:rPr>
                <w:rFonts w:ascii="Arial" w:cs="Arial" w:eastAsia="Arial" w:hAnsi="Arial"/>
                <w:sz w:val="14"/>
                <w:szCs w:val="14"/>
                <w:color w:val="auto"/>
                <w:w w:val="90"/>
              </w:rPr>
              <w:t>XBRL Instance Document (the instance document does not appear in the Interactive</w:t>
            </w:r>
          </w:p>
        </w:tc>
      </w:tr>
      <w:tr>
        <w:trPr>
          <w:trHeight w:val="173"/>
        </w:trPr>
        <w:tc>
          <w:tcPr>
            <w:tcW w:w="1140" w:type="dxa"/>
            <w:vAlign w:val="bottom"/>
          </w:tcPr>
          <w:p>
            <w:pPr>
              <w:spacing w:after="0"/>
              <w:rPr>
                <w:sz w:val="15"/>
                <w:szCs w:val="15"/>
                <w:color w:val="auto"/>
              </w:rPr>
            </w:pPr>
          </w:p>
        </w:tc>
        <w:tc>
          <w:tcPr>
            <w:tcW w:w="4740" w:type="dxa"/>
            <w:vAlign w:val="bottom"/>
            <w:gridSpan w:val="5"/>
          </w:tcPr>
          <w:p>
            <w:pPr>
              <w:spacing w:after="0"/>
              <w:rPr>
                <w:sz w:val="20"/>
                <w:szCs w:val="20"/>
                <w:color w:val="auto"/>
              </w:rPr>
            </w:pPr>
            <w:r>
              <w:rPr>
                <w:rFonts w:ascii="Arial" w:cs="Arial" w:eastAsia="Arial" w:hAnsi="Arial"/>
                <w:sz w:val="14"/>
                <w:szCs w:val="14"/>
                <w:color w:val="auto"/>
                <w:w w:val="91"/>
              </w:rPr>
              <w:t>Data File because its XBRL tags are embedded within the Inline EXBRL document)</w:t>
            </w:r>
          </w:p>
        </w:tc>
      </w:tr>
      <w:tr>
        <w:trPr>
          <w:trHeight w:val="184"/>
        </w:trPr>
        <w:tc>
          <w:tcPr>
            <w:tcW w:w="1140" w:type="dxa"/>
            <w:vAlign w:val="bottom"/>
          </w:tcPr>
          <w:p>
            <w:pPr>
              <w:spacing w:after="0"/>
              <w:rPr>
                <w:sz w:val="20"/>
                <w:szCs w:val="20"/>
                <w:color w:val="auto"/>
              </w:rPr>
            </w:pPr>
            <w:r>
              <w:rPr>
                <w:rFonts w:ascii="Arial" w:cs="Arial" w:eastAsia="Arial" w:hAnsi="Arial"/>
                <w:sz w:val="14"/>
                <w:szCs w:val="14"/>
                <w:color w:val="auto"/>
              </w:rPr>
              <w:t>101.SCH*</w:t>
            </w:r>
          </w:p>
        </w:tc>
        <w:tc>
          <w:tcPr>
            <w:tcW w:w="4740" w:type="dxa"/>
            <w:vAlign w:val="bottom"/>
            <w:gridSpan w:val="5"/>
          </w:tcPr>
          <w:p>
            <w:pPr>
              <w:spacing w:after="0"/>
              <w:rPr>
                <w:sz w:val="20"/>
                <w:szCs w:val="20"/>
                <w:color w:val="auto"/>
              </w:rPr>
            </w:pPr>
            <w:r>
              <w:rPr>
                <w:rFonts w:ascii="Arial" w:cs="Arial" w:eastAsia="Arial" w:hAnsi="Arial"/>
                <w:sz w:val="14"/>
                <w:szCs w:val="14"/>
                <w:color w:val="auto"/>
              </w:rPr>
              <w:t>XBRL Taxonomy Extension Schema Document</w:t>
            </w:r>
          </w:p>
        </w:tc>
      </w:tr>
      <w:tr>
        <w:trPr>
          <w:trHeight w:val="173"/>
        </w:trPr>
        <w:tc>
          <w:tcPr>
            <w:tcW w:w="1140" w:type="dxa"/>
            <w:vAlign w:val="bottom"/>
          </w:tcPr>
          <w:p>
            <w:pPr>
              <w:spacing w:after="0"/>
              <w:rPr>
                <w:sz w:val="20"/>
                <w:szCs w:val="20"/>
                <w:color w:val="auto"/>
              </w:rPr>
            </w:pPr>
            <w:r>
              <w:rPr>
                <w:rFonts w:ascii="Arial" w:cs="Arial" w:eastAsia="Arial" w:hAnsi="Arial"/>
                <w:sz w:val="14"/>
                <w:szCs w:val="14"/>
                <w:color w:val="auto"/>
              </w:rPr>
              <w:t>101.CAL*</w:t>
            </w:r>
          </w:p>
        </w:tc>
        <w:tc>
          <w:tcPr>
            <w:tcW w:w="4740" w:type="dxa"/>
            <w:vAlign w:val="bottom"/>
            <w:gridSpan w:val="5"/>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173"/>
        </w:trPr>
        <w:tc>
          <w:tcPr>
            <w:tcW w:w="1140" w:type="dxa"/>
            <w:vAlign w:val="bottom"/>
          </w:tcPr>
          <w:p>
            <w:pPr>
              <w:spacing w:after="0"/>
              <w:rPr>
                <w:sz w:val="20"/>
                <w:szCs w:val="20"/>
                <w:color w:val="auto"/>
              </w:rPr>
            </w:pPr>
            <w:r>
              <w:rPr>
                <w:rFonts w:ascii="Arial" w:cs="Arial" w:eastAsia="Arial" w:hAnsi="Arial"/>
                <w:sz w:val="14"/>
                <w:szCs w:val="14"/>
                <w:color w:val="auto"/>
              </w:rPr>
              <w:t>101.DEF*</w:t>
            </w:r>
          </w:p>
        </w:tc>
        <w:tc>
          <w:tcPr>
            <w:tcW w:w="4740" w:type="dxa"/>
            <w:vAlign w:val="bottom"/>
            <w:gridSpan w:val="5"/>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173"/>
        </w:trPr>
        <w:tc>
          <w:tcPr>
            <w:tcW w:w="1140" w:type="dxa"/>
            <w:vAlign w:val="bottom"/>
          </w:tcPr>
          <w:p>
            <w:pPr>
              <w:spacing w:after="0"/>
              <w:rPr>
                <w:sz w:val="20"/>
                <w:szCs w:val="20"/>
                <w:color w:val="auto"/>
              </w:rPr>
            </w:pPr>
            <w:r>
              <w:rPr>
                <w:rFonts w:ascii="Arial" w:cs="Arial" w:eastAsia="Arial" w:hAnsi="Arial"/>
                <w:sz w:val="14"/>
                <w:szCs w:val="14"/>
                <w:color w:val="auto"/>
              </w:rPr>
              <w:t>101.LAB*</w:t>
            </w:r>
          </w:p>
        </w:tc>
        <w:tc>
          <w:tcPr>
            <w:tcW w:w="4740" w:type="dxa"/>
            <w:vAlign w:val="bottom"/>
            <w:gridSpan w:val="5"/>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173"/>
        </w:trPr>
        <w:tc>
          <w:tcPr>
            <w:tcW w:w="1140" w:type="dxa"/>
            <w:vAlign w:val="bottom"/>
          </w:tcPr>
          <w:p>
            <w:pPr>
              <w:spacing w:after="0"/>
              <w:rPr>
                <w:sz w:val="20"/>
                <w:szCs w:val="20"/>
                <w:color w:val="auto"/>
              </w:rPr>
            </w:pPr>
            <w:r>
              <w:rPr>
                <w:rFonts w:ascii="Arial" w:cs="Arial" w:eastAsia="Arial" w:hAnsi="Arial"/>
                <w:sz w:val="14"/>
                <w:szCs w:val="14"/>
                <w:color w:val="auto"/>
              </w:rPr>
              <w:t>101.PRE*</w:t>
            </w:r>
          </w:p>
        </w:tc>
        <w:tc>
          <w:tcPr>
            <w:tcW w:w="4740" w:type="dxa"/>
            <w:vAlign w:val="bottom"/>
            <w:gridSpan w:val="5"/>
          </w:tcPr>
          <w:p>
            <w:pPr>
              <w:spacing w:after="0"/>
              <w:rPr>
                <w:sz w:val="20"/>
                <w:szCs w:val="20"/>
                <w:color w:val="auto"/>
              </w:rPr>
            </w:pPr>
            <w:r>
              <w:rPr>
                <w:rFonts w:ascii="Arial" w:cs="Arial" w:eastAsia="Arial" w:hAnsi="Arial"/>
                <w:sz w:val="14"/>
                <w:szCs w:val="14"/>
                <w:color w:val="auto"/>
              </w:rPr>
              <w:t>XBRL Taxonomy Extension Presentation Linkbase Document</w:t>
            </w:r>
          </w:p>
        </w:tc>
      </w:tr>
    </w:tbl>
    <w:p>
      <w:pPr>
        <w:ind w:left="1160" w:right="5540" w:hanging="1145"/>
        <w:spacing w:after="0" w:line="217" w:lineRule="auto"/>
        <w:tabs>
          <w:tab w:leader="none" w:pos="11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Cover Page Interactive Data File (the cover page from the Registrant’s Quarterly Report on Form 10-Q for the quarter ended October 31, 2021, has been formatted in Inline XBRL)</w:t>
      </w:r>
    </w:p>
    <w:p>
      <w:pPr>
        <w:spacing w:after="0" w:line="14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2" w:lineRule="exact"/>
        <w:rPr>
          <w:sz w:val="20"/>
          <w:szCs w:val="20"/>
          <w:color w:val="auto"/>
        </w:rPr>
      </w:pPr>
    </w:p>
    <w:p>
      <w:pPr>
        <w:ind w:left="500" w:hanging="498"/>
        <w:spacing w:after="0" w:line="327" w:lineRule="auto"/>
        <w:tabs>
          <w:tab w:leader="none" w:pos="272"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7760" w:type="dxa"/>
            <w:vAlign w:val="bottom"/>
            <w:gridSpan w:val="2"/>
          </w:tcPr>
          <w:p>
            <w:pPr>
              <w:ind w:left="3300"/>
              <w:spacing w:after="0"/>
              <w:rPr>
                <w:sz w:val="20"/>
                <w:szCs w:val="20"/>
                <w:color w:val="auto"/>
              </w:rPr>
            </w:pPr>
            <w:r>
              <w:rPr>
                <w:rFonts w:ascii="Arial" w:cs="Arial" w:eastAsia="Arial" w:hAnsi="Arial"/>
                <w:sz w:val="14"/>
                <w:szCs w:val="14"/>
                <w:b w:val="1"/>
                <w:bCs w:val="1"/>
                <w:color w:val="auto"/>
              </w:rPr>
              <w:t>ZOOM VIDEO COMMUNICATIONS, INC.</w:t>
            </w:r>
          </w:p>
        </w:tc>
      </w:tr>
      <w:tr>
        <w:trPr>
          <w:trHeight w:val="368"/>
        </w:trPr>
        <w:tc>
          <w:tcPr>
            <w:tcW w:w="3480" w:type="dxa"/>
            <w:vAlign w:val="bottom"/>
          </w:tcPr>
          <w:p>
            <w:pPr>
              <w:spacing w:after="0"/>
              <w:rPr>
                <w:sz w:val="20"/>
                <w:szCs w:val="20"/>
                <w:color w:val="auto"/>
              </w:rPr>
            </w:pPr>
            <w:r>
              <w:rPr>
                <w:rFonts w:ascii="Arial" w:cs="Arial" w:eastAsia="Arial" w:hAnsi="Arial"/>
                <w:sz w:val="14"/>
                <w:szCs w:val="14"/>
                <w:color w:val="auto"/>
              </w:rPr>
              <w:t>Date: November 23, 2021</w:t>
            </w:r>
          </w:p>
        </w:tc>
        <w:tc>
          <w:tcPr>
            <w:tcW w:w="3800" w:type="dxa"/>
            <w:vAlign w:val="bottom"/>
          </w:tcPr>
          <w:p>
            <w:pPr>
              <w:ind w:left="3300"/>
              <w:spacing w:after="0"/>
              <w:rPr>
                <w:sz w:val="20"/>
                <w:szCs w:val="20"/>
                <w:color w:val="auto"/>
              </w:rPr>
            </w:pPr>
            <w:r>
              <w:rPr>
                <w:rFonts w:ascii="Arial" w:cs="Arial" w:eastAsia="Arial" w:hAnsi="Arial"/>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Eric S. Yuan</w:t>
            </w:r>
          </w:p>
        </w:tc>
      </w:tr>
      <w:tr>
        <w:trPr>
          <w:trHeight w:val="164"/>
        </w:trPr>
        <w:tc>
          <w:tcPr>
            <w:tcW w:w="34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Eric S. Yuan</w:t>
            </w:r>
          </w:p>
        </w:tc>
      </w:tr>
      <w:tr>
        <w:trPr>
          <w:trHeight w:val="173"/>
        </w:trPr>
        <w:tc>
          <w:tcPr>
            <w:tcW w:w="34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173"/>
        </w:trPr>
        <w:tc>
          <w:tcPr>
            <w:tcW w:w="34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i w:val="1"/>
                <w:iCs w:val="1"/>
                <w:color w:val="auto"/>
              </w:rPr>
              <w:t>(Principal Executive Officer)</w:t>
            </w:r>
          </w:p>
        </w:tc>
      </w:tr>
      <w:tr>
        <w:trPr>
          <w:trHeight w:val="368"/>
        </w:trPr>
        <w:tc>
          <w:tcPr>
            <w:tcW w:w="3480" w:type="dxa"/>
            <w:vAlign w:val="bottom"/>
          </w:tcPr>
          <w:p>
            <w:pPr>
              <w:spacing w:after="0"/>
              <w:rPr>
                <w:sz w:val="20"/>
                <w:szCs w:val="20"/>
                <w:color w:val="auto"/>
              </w:rPr>
            </w:pPr>
            <w:r>
              <w:rPr>
                <w:rFonts w:ascii="Arial" w:cs="Arial" w:eastAsia="Arial" w:hAnsi="Arial"/>
                <w:sz w:val="14"/>
                <w:szCs w:val="14"/>
                <w:color w:val="auto"/>
              </w:rPr>
              <w:t>Date: November 23, 2021</w:t>
            </w:r>
          </w:p>
        </w:tc>
        <w:tc>
          <w:tcPr>
            <w:tcW w:w="3800" w:type="dxa"/>
            <w:vAlign w:val="bottom"/>
          </w:tcPr>
          <w:p>
            <w:pPr>
              <w:ind w:left="3300"/>
              <w:spacing w:after="0"/>
              <w:rPr>
                <w:sz w:val="20"/>
                <w:szCs w:val="20"/>
                <w:color w:val="auto"/>
              </w:rPr>
            </w:pPr>
            <w:r>
              <w:rPr>
                <w:rFonts w:ascii="Arial" w:cs="Arial" w:eastAsia="Arial" w:hAnsi="Arial"/>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Kelly Steckelberg</w:t>
            </w:r>
          </w:p>
        </w:tc>
      </w:tr>
      <w:tr>
        <w:trPr>
          <w:trHeight w:val="164"/>
        </w:trPr>
        <w:tc>
          <w:tcPr>
            <w:tcW w:w="34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Kelly Steckelberg</w:t>
            </w:r>
          </w:p>
        </w:tc>
      </w:tr>
      <w:tr>
        <w:trPr>
          <w:trHeight w:val="173"/>
        </w:trPr>
        <w:tc>
          <w:tcPr>
            <w:tcW w:w="34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173"/>
        </w:trPr>
        <w:tc>
          <w:tcPr>
            <w:tcW w:w="34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i w:val="1"/>
                <w:iCs w:val="1"/>
                <w:color w:val="auto"/>
              </w:rPr>
              <w:t>(Principal Financial Officer)</w:t>
            </w:r>
          </w:p>
        </w:tc>
      </w:tr>
      <w:tr>
        <w:trPr>
          <w:trHeight w:val="837"/>
        </w:trPr>
        <w:tc>
          <w:tcPr>
            <w:tcW w:w="3480" w:type="dxa"/>
            <w:vAlign w:val="bottom"/>
          </w:tcPr>
          <w:p>
            <w:pPr>
              <w:spacing w:after="0"/>
              <w:rPr>
                <w:sz w:val="24"/>
                <w:szCs w:val="24"/>
                <w:color w:val="auto"/>
              </w:rPr>
            </w:pPr>
          </w:p>
        </w:tc>
        <w:tc>
          <w:tcPr>
            <w:tcW w:w="3800" w:type="dxa"/>
            <w:vAlign w:val="bottom"/>
          </w:tcPr>
          <w:p>
            <w:pPr>
              <w:jc w:val="right"/>
              <w:ind w:right="1512"/>
              <w:spacing w:after="0"/>
              <w:rPr>
                <w:sz w:val="20"/>
                <w:szCs w:val="20"/>
                <w:color w:val="auto"/>
              </w:rPr>
            </w:pPr>
            <w:r>
              <w:rPr>
                <w:rFonts w:ascii="Arial" w:cs="Arial" w:eastAsia="Arial" w:hAnsi="Arial"/>
                <w:sz w:val="14"/>
                <w:szCs w:val="14"/>
                <w:color w:val="auto"/>
              </w:rPr>
              <w:t>71</w:t>
            </w:r>
          </w:p>
        </w:tc>
        <w:tc>
          <w:tcPr>
            <w:tcW w:w="3960" w:type="dxa"/>
            <w:vAlign w:val="bottom"/>
          </w:tcPr>
          <w:p>
            <w:pPr>
              <w:spacing w:after="0"/>
              <w:rPr>
                <w:sz w:val="24"/>
                <w:szCs w:val="24"/>
                <w:color w:val="auto"/>
              </w:rPr>
            </w:pPr>
          </w:p>
        </w:tc>
      </w:tr>
    </w:tbl>
    <w:p>
      <w:pPr>
        <w:sectPr>
          <w:pgSz w:w="11900" w:h="16838" w:orient="portrait"/>
          <w:cols w:equalWidth="0" w:num="1">
            <w:col w:w="11260"/>
          </w:cols>
          <w:pgMar w:left="300" w:top="129"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auto"/>
        </w:rPr>
        <w:t>Exhibit 31.1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CHIEF EXECUTIVE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EXCHANGE ACT RULES 13a-14(a) AND 15d-14(a)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302 OF THE SARBANES-OXLEY ACT OF 2002</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I, Eric S. Yuan, certify that:</w:t>
      </w:r>
    </w:p>
    <w:p>
      <w:pPr>
        <w:spacing w:after="0" w:line="135" w:lineRule="exact"/>
        <w:rPr>
          <w:sz w:val="20"/>
          <w:szCs w:val="20"/>
          <w:color w:val="auto"/>
        </w:rPr>
      </w:pPr>
    </w:p>
    <w:p>
      <w:pPr>
        <w:ind w:left="980" w:hanging="489"/>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Zoom Video Communications, Inc.;</w:t>
      </w:r>
    </w:p>
    <w:p>
      <w:pPr>
        <w:spacing w:after="0" w:line="134" w:lineRule="exact"/>
        <w:rPr>
          <w:rFonts w:ascii="Arial" w:cs="Arial" w:eastAsia="Arial" w:hAnsi="Arial"/>
          <w:sz w:val="14"/>
          <w:szCs w:val="14"/>
          <w:color w:val="auto"/>
        </w:rPr>
      </w:pPr>
    </w:p>
    <w:p>
      <w:pPr>
        <w:ind w:left="980" w:right="640" w:hanging="489"/>
        <w:spacing w:after="0" w:line="261" w:lineRule="auto"/>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left="980" w:right="140" w:hanging="489"/>
        <w:spacing w:after="0" w:line="261" w:lineRule="auto"/>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4"/>
          <w:szCs w:val="14"/>
          <w:color w:val="auto"/>
        </w:rPr>
      </w:pPr>
    </w:p>
    <w:p>
      <w:pPr>
        <w:ind w:left="980" w:right="160" w:hanging="489"/>
        <w:spacing w:after="0" w:line="261" w:lineRule="auto"/>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4"/>
          <w:szCs w:val="14"/>
          <w:color w:val="auto"/>
        </w:rPr>
      </w:pPr>
    </w:p>
    <w:p>
      <w:pPr>
        <w:jc w:val="both"/>
        <w:ind w:left="1480" w:right="300" w:hanging="499"/>
        <w:spacing w:after="0" w:line="252" w:lineRule="auto"/>
        <w:tabs>
          <w:tab w:leader="none" w:pos="1472" w:val="left"/>
        </w:tabs>
        <w:numPr>
          <w:ilvl w:val="1"/>
          <w:numId w:val="2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4"/>
          <w:szCs w:val="14"/>
          <w:color w:val="auto"/>
        </w:rPr>
      </w:pPr>
    </w:p>
    <w:p>
      <w:pPr>
        <w:jc w:val="both"/>
        <w:ind w:left="1480" w:right="500" w:hanging="499"/>
        <w:spacing w:after="0" w:line="252" w:lineRule="auto"/>
        <w:tabs>
          <w:tab w:leader="none" w:pos="14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4"/>
          <w:szCs w:val="14"/>
          <w:color w:val="auto"/>
        </w:rPr>
      </w:pPr>
    </w:p>
    <w:p>
      <w:pPr>
        <w:ind w:left="1480" w:right="100" w:hanging="499"/>
        <w:spacing w:after="0" w:line="261" w:lineRule="auto"/>
        <w:tabs>
          <w:tab w:leader="none" w:pos="1472"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4"/>
          <w:szCs w:val="14"/>
          <w:color w:val="auto"/>
        </w:rPr>
      </w:pPr>
    </w:p>
    <w:p>
      <w:pPr>
        <w:ind w:left="1480" w:right="100" w:hanging="499"/>
        <w:spacing w:after="0" w:line="345" w:lineRule="auto"/>
        <w:tabs>
          <w:tab w:leader="none" w:pos="1480" w:val="left"/>
        </w:tabs>
        <w:numPr>
          <w:ilvl w:val="1"/>
          <w:numId w:val="2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2"/>
          <w:szCs w:val="12"/>
          <w:color w:val="auto"/>
        </w:rPr>
      </w:pPr>
    </w:p>
    <w:p>
      <w:pPr>
        <w:ind w:left="980" w:right="320" w:hanging="489"/>
        <w:spacing w:after="0" w:line="261" w:lineRule="auto"/>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4"/>
          <w:szCs w:val="14"/>
          <w:color w:val="auto"/>
        </w:rPr>
      </w:pPr>
    </w:p>
    <w:p>
      <w:pPr>
        <w:ind w:left="1480" w:right="440" w:hanging="499"/>
        <w:spacing w:after="0" w:line="261" w:lineRule="auto"/>
        <w:tabs>
          <w:tab w:leader="none" w:pos="1472" w:val="left"/>
        </w:tabs>
        <w:numPr>
          <w:ilvl w:val="1"/>
          <w:numId w:val="2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4"/>
          <w:szCs w:val="14"/>
          <w:color w:val="auto"/>
        </w:rPr>
      </w:pPr>
    </w:p>
    <w:p>
      <w:pPr>
        <w:ind w:left="1480" w:hanging="499"/>
        <w:spacing w:after="0"/>
        <w:tabs>
          <w:tab w:leader="none" w:pos="1480" w:val="left"/>
        </w:tabs>
        <w:numPr>
          <w:ilvl w:val="1"/>
          <w:numId w:val="2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8255</wp:posOffset>
            </wp:positionV>
            <wp:extent cx="229362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293620" cy="6350"/>
                    </a:xfrm>
                    <a:prstGeom prst="rect">
                      <a:avLst/>
                    </a:prstGeom>
                    <a:noFill/>
                  </pic:spPr>
                </pic:pic>
              </a:graphicData>
            </a:graphic>
          </wp:anchor>
        </w:drawing>
      </w:r>
    </w:p>
    <w:p>
      <w:pPr>
        <w:spacing w:after="0" w:line="3" w:lineRule="exact"/>
        <w:rPr>
          <w:sz w:val="20"/>
          <w:szCs w:val="20"/>
          <w:color w:val="auto"/>
        </w:rPr>
      </w:pPr>
    </w:p>
    <w:p>
      <w:pPr>
        <w:ind w:left="500"/>
        <w:spacing w:after="0"/>
        <w:tabs>
          <w:tab w:leader="none" w:pos="6520" w:val="left"/>
        </w:tabs>
        <w:rPr>
          <w:sz w:val="20"/>
          <w:szCs w:val="20"/>
          <w:color w:val="auto"/>
        </w:rPr>
      </w:pPr>
      <w:r>
        <w:rPr>
          <w:rFonts w:ascii="Arial" w:cs="Arial" w:eastAsia="Arial" w:hAnsi="Arial"/>
          <w:sz w:val="14"/>
          <w:szCs w:val="14"/>
          <w:color w:val="auto"/>
        </w:rPr>
        <w:t>Date: November 23, 2021</w:t>
      </w:r>
      <w:r>
        <w:rPr>
          <w:sz w:val="20"/>
          <w:szCs w:val="20"/>
          <w:color w:val="auto"/>
        </w:rPr>
        <w:tab/>
      </w:r>
      <w:r>
        <w:rPr>
          <w:rFonts w:ascii="Arial" w:cs="Arial" w:eastAsia="Arial" w:hAnsi="Arial"/>
          <w:sz w:val="12"/>
          <w:szCs w:val="12"/>
          <w:color w:val="auto"/>
        </w:rPr>
        <w:t>Eric S. Yuan</w:t>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President and Chief Executive Officer</w:t>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708" w:right="31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t>Exhibit 31.2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CHIEF FINANCIAL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EXCHANGE ACT RULES 13a-14(a) AND 15d-14(a)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302 OF THE SARBANES-OXLEY ACT OF 2002</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I, Kelly Steckelberg, certify that:</w:t>
      </w:r>
    </w:p>
    <w:p>
      <w:pPr>
        <w:spacing w:after="0" w:line="135" w:lineRule="exact"/>
        <w:rPr>
          <w:sz w:val="20"/>
          <w:szCs w:val="20"/>
          <w:color w:val="auto"/>
        </w:rPr>
      </w:pPr>
    </w:p>
    <w:p>
      <w:pPr>
        <w:ind w:left="980" w:hanging="489"/>
        <w:spacing w:after="0"/>
        <w:tabs>
          <w:tab w:leader="none" w:pos="9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Zoom Video Communications, Inc.;</w:t>
      </w:r>
    </w:p>
    <w:p>
      <w:pPr>
        <w:spacing w:after="0" w:line="145" w:lineRule="exact"/>
        <w:rPr>
          <w:rFonts w:ascii="Arial" w:cs="Arial" w:eastAsia="Arial" w:hAnsi="Arial"/>
          <w:sz w:val="14"/>
          <w:szCs w:val="14"/>
          <w:color w:val="auto"/>
        </w:rPr>
      </w:pPr>
    </w:p>
    <w:p>
      <w:pPr>
        <w:ind w:left="980" w:right="640" w:hanging="489"/>
        <w:spacing w:after="0" w:line="261" w:lineRule="auto"/>
        <w:tabs>
          <w:tab w:leader="none" w:pos="9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4"/>
          <w:szCs w:val="14"/>
          <w:color w:val="auto"/>
        </w:rPr>
      </w:pPr>
    </w:p>
    <w:p>
      <w:pPr>
        <w:ind w:left="980" w:right="140" w:hanging="489"/>
        <w:spacing w:after="0" w:line="261" w:lineRule="auto"/>
        <w:tabs>
          <w:tab w:leader="none" w:pos="9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4"/>
          <w:szCs w:val="14"/>
          <w:color w:val="auto"/>
        </w:rPr>
      </w:pPr>
    </w:p>
    <w:p>
      <w:pPr>
        <w:ind w:left="980" w:right="160" w:hanging="489"/>
        <w:spacing w:after="0" w:line="261" w:lineRule="auto"/>
        <w:tabs>
          <w:tab w:leader="none" w:pos="9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4"/>
          <w:szCs w:val="14"/>
          <w:color w:val="auto"/>
        </w:rPr>
      </w:pPr>
    </w:p>
    <w:p>
      <w:pPr>
        <w:jc w:val="both"/>
        <w:ind w:left="1480" w:right="300" w:hanging="499"/>
        <w:spacing w:after="0" w:line="252" w:lineRule="auto"/>
        <w:tabs>
          <w:tab w:leader="none" w:pos="1472" w:val="left"/>
        </w:tabs>
        <w:numPr>
          <w:ilvl w:val="1"/>
          <w:numId w:val="2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4"/>
          <w:szCs w:val="14"/>
          <w:color w:val="auto"/>
        </w:rPr>
      </w:pPr>
    </w:p>
    <w:p>
      <w:pPr>
        <w:jc w:val="both"/>
        <w:ind w:left="1480" w:right="500" w:hanging="499"/>
        <w:spacing w:after="0" w:line="252" w:lineRule="auto"/>
        <w:tabs>
          <w:tab w:leader="none" w:pos="14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4"/>
          <w:szCs w:val="14"/>
          <w:color w:val="auto"/>
        </w:rPr>
      </w:pPr>
    </w:p>
    <w:p>
      <w:pPr>
        <w:ind w:left="1480" w:right="100" w:hanging="499"/>
        <w:spacing w:after="0" w:line="261" w:lineRule="auto"/>
        <w:tabs>
          <w:tab w:leader="none" w:pos="1472" w:val="left"/>
        </w:tabs>
        <w:numPr>
          <w:ilvl w:val="1"/>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ind w:left="1480" w:right="100" w:hanging="499"/>
        <w:spacing w:after="0" w:line="345" w:lineRule="auto"/>
        <w:tabs>
          <w:tab w:leader="none" w:pos="1480" w:val="left"/>
        </w:tabs>
        <w:numPr>
          <w:ilvl w:val="1"/>
          <w:numId w:val="2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2"/>
          <w:szCs w:val="12"/>
          <w:color w:val="auto"/>
        </w:rPr>
      </w:pPr>
    </w:p>
    <w:p>
      <w:pPr>
        <w:ind w:left="980" w:right="320" w:hanging="489"/>
        <w:spacing w:after="0" w:line="261" w:lineRule="auto"/>
        <w:tabs>
          <w:tab w:leader="none" w:pos="9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4"/>
          <w:szCs w:val="14"/>
          <w:color w:val="auto"/>
        </w:rPr>
      </w:pPr>
    </w:p>
    <w:p>
      <w:pPr>
        <w:ind w:left="1480" w:right="440" w:hanging="499"/>
        <w:spacing w:after="0" w:line="261" w:lineRule="auto"/>
        <w:tabs>
          <w:tab w:leader="none" w:pos="1472" w:val="left"/>
        </w:tabs>
        <w:numPr>
          <w:ilvl w:val="1"/>
          <w:numId w:val="2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480" w:hanging="499"/>
        <w:spacing w:after="0"/>
        <w:tabs>
          <w:tab w:leader="none" w:pos="1480" w:val="left"/>
        </w:tabs>
        <w:numPr>
          <w:ilvl w:val="1"/>
          <w:numId w:val="2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8255</wp:posOffset>
            </wp:positionV>
            <wp:extent cx="229362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293620" cy="6350"/>
                    </a:xfrm>
                    <a:prstGeom prst="rect">
                      <a:avLst/>
                    </a:prstGeom>
                    <a:noFill/>
                  </pic:spPr>
                </pic:pic>
              </a:graphicData>
            </a:graphic>
          </wp:anchor>
        </w:drawing>
      </w:r>
    </w:p>
    <w:p>
      <w:pPr>
        <w:spacing w:after="0" w:line="3" w:lineRule="exact"/>
        <w:rPr>
          <w:sz w:val="20"/>
          <w:szCs w:val="20"/>
          <w:color w:val="auto"/>
        </w:rPr>
      </w:pPr>
    </w:p>
    <w:p>
      <w:pPr>
        <w:ind w:left="500"/>
        <w:spacing w:after="0"/>
        <w:tabs>
          <w:tab w:leader="none" w:pos="6640" w:val="left"/>
        </w:tabs>
        <w:rPr>
          <w:sz w:val="20"/>
          <w:szCs w:val="20"/>
          <w:color w:val="auto"/>
        </w:rPr>
      </w:pPr>
      <w:r>
        <w:rPr>
          <w:rFonts w:ascii="Arial" w:cs="Arial" w:eastAsia="Arial" w:hAnsi="Arial"/>
          <w:sz w:val="14"/>
          <w:szCs w:val="14"/>
          <w:color w:val="auto"/>
        </w:rPr>
        <w:t>Date: November 23, 2021</w:t>
      </w:r>
      <w:r>
        <w:rPr>
          <w:sz w:val="20"/>
          <w:szCs w:val="20"/>
          <w:color w:val="auto"/>
        </w:rPr>
        <w:tab/>
      </w:r>
      <w:r>
        <w:rPr>
          <w:rFonts w:ascii="Arial" w:cs="Arial" w:eastAsia="Arial" w:hAnsi="Arial"/>
          <w:sz w:val="12"/>
          <w:szCs w:val="12"/>
          <w:color w:val="auto"/>
        </w:rPr>
        <w:t>Kelly Steckelberg</w:t>
      </w:r>
    </w:p>
    <w:p>
      <w:pPr>
        <w:spacing w:after="0" w:line="12"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Chief Financial Officer</w:t>
      </w:r>
    </w:p>
    <w:p>
      <w:pPr>
        <w:spacing w:after="0" w:line="12" w:lineRule="exact"/>
        <w:rPr>
          <w:sz w:val="20"/>
          <w:szCs w:val="20"/>
          <w:color w:val="auto"/>
        </w:rPr>
      </w:pPr>
    </w:p>
    <w:p>
      <w:pPr>
        <w:ind w:left="666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80"/>
          </w:cols>
          <w:pgMar w:left="300" w:top="841" w:right="31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auto"/>
        </w:rPr>
        <w:t>Exhibit 32.1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CHIEF EXECUTIVE OFFICER AND CHIEF FINANCIAL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18 U.S.C. SECTION 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 SECTION 906 OF THE SARBANES-OXLEY ACT OF 2002</w:t>
      </w:r>
    </w:p>
    <w:p>
      <w:pPr>
        <w:spacing w:after="0" w:line="309"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Video Communications, Inc. for the fiscal quarter ended October 31, 2021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185" w:lineRule="exact"/>
        <w:rPr>
          <w:sz w:val="20"/>
          <w:szCs w:val="20"/>
          <w:color w:val="auto"/>
        </w:rPr>
      </w:pPr>
    </w:p>
    <w:p>
      <w:pPr>
        <w:ind w:left="20"/>
        <w:spacing w:after="0"/>
        <w:tabs>
          <w:tab w:leader="none" w:pos="6740" w:val="left"/>
          <w:tab w:leader="none" w:pos="7180" w:val="left"/>
        </w:tabs>
        <w:rPr>
          <w:sz w:val="20"/>
          <w:szCs w:val="20"/>
          <w:color w:val="auto"/>
        </w:rPr>
      </w:pPr>
      <w:r>
        <w:rPr>
          <w:rFonts w:ascii="Arial" w:cs="Arial" w:eastAsia="Arial" w:hAnsi="Arial"/>
          <w:sz w:val="14"/>
          <w:szCs w:val="14"/>
          <w:color w:val="auto"/>
        </w:rPr>
        <w:t>Date: November 23,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8255</wp:posOffset>
            </wp:positionV>
            <wp:extent cx="252031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520315" cy="635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4"/>
          <w:szCs w:val="14"/>
          <w:color w:val="auto"/>
        </w:rPr>
        <w:t>Eric S. Yuan</w:t>
      </w:r>
    </w:p>
    <w:p>
      <w:pPr>
        <w:spacing w:after="0" w:line="12" w:lineRule="exact"/>
        <w:rPr>
          <w:sz w:val="20"/>
          <w:szCs w:val="20"/>
          <w:color w:val="auto"/>
        </w:rPr>
      </w:pPr>
    </w:p>
    <w:p>
      <w:pPr>
        <w:ind w:left="7200"/>
        <w:spacing w:after="0"/>
        <w:rPr>
          <w:sz w:val="20"/>
          <w:szCs w:val="20"/>
          <w:color w:val="auto"/>
        </w:rPr>
      </w:pPr>
      <w:r>
        <w:rPr>
          <w:rFonts w:ascii="Arial" w:cs="Arial" w:eastAsia="Arial" w:hAnsi="Arial"/>
          <w:sz w:val="14"/>
          <w:szCs w:val="14"/>
          <w:color w:val="auto"/>
        </w:rPr>
        <w:t>President and Chief Executive Officer</w:t>
      </w:r>
    </w:p>
    <w:p>
      <w:pPr>
        <w:spacing w:after="0" w:line="12" w:lineRule="exact"/>
        <w:rPr>
          <w:sz w:val="20"/>
          <w:szCs w:val="20"/>
          <w:color w:val="auto"/>
        </w:rPr>
      </w:pPr>
    </w:p>
    <w:p>
      <w:pPr>
        <w:ind w:left="7200"/>
        <w:spacing w:after="0"/>
        <w:rPr>
          <w:sz w:val="20"/>
          <w:szCs w:val="20"/>
          <w:color w:val="auto"/>
        </w:rPr>
      </w:pPr>
      <w:r>
        <w:rPr>
          <w:rFonts w:ascii="Arial" w:cs="Arial" w:eastAsia="Arial" w:hAnsi="Arial"/>
          <w:sz w:val="14"/>
          <w:szCs w:val="14"/>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spacing w:after="0" w:line="224" w:lineRule="auto"/>
        <w:rPr>
          <w:sz w:val="20"/>
          <w:szCs w:val="20"/>
          <w:color w:val="auto"/>
        </w:rPr>
      </w:pPr>
      <w:r>
        <w:rPr>
          <w:rFonts w:ascii="Arial" w:cs="Arial" w:eastAsia="Arial" w:hAnsi="Arial"/>
          <w:sz w:val="14"/>
          <w:szCs w:val="14"/>
          <w:color w:val="auto"/>
        </w:rPr>
        <w:t>I, Kelly Steckelberg, certify, pursuant to the requirement set forth in Rule 13a-14(b) of the Exchange Act and 18 U.S.C. Section 1350, as adopted pursuant to Section 906 of the Sarbanes-Oxley Act of 2002, that to the best of my knowledge, the Quarterly Report on Form 10-Q of Zoom Video Communications, Inc. for the fiscal quarter ended October 31, 2021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185" w:lineRule="exact"/>
        <w:rPr>
          <w:sz w:val="20"/>
          <w:szCs w:val="20"/>
          <w:color w:val="auto"/>
        </w:rPr>
      </w:pPr>
    </w:p>
    <w:p>
      <w:pPr>
        <w:ind w:left="20"/>
        <w:spacing w:after="0"/>
        <w:tabs>
          <w:tab w:leader="none" w:pos="6740" w:val="left"/>
          <w:tab w:leader="none" w:pos="7180" w:val="left"/>
        </w:tabs>
        <w:rPr>
          <w:sz w:val="20"/>
          <w:szCs w:val="20"/>
          <w:color w:val="auto"/>
        </w:rPr>
      </w:pPr>
      <w:r>
        <w:rPr>
          <w:rFonts w:ascii="Arial" w:cs="Arial" w:eastAsia="Arial" w:hAnsi="Arial"/>
          <w:sz w:val="14"/>
          <w:szCs w:val="14"/>
          <w:color w:val="auto"/>
        </w:rPr>
        <w:t>Date: November 23,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8255</wp:posOffset>
            </wp:positionV>
            <wp:extent cx="252031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520315" cy="635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4"/>
          <w:szCs w:val="14"/>
          <w:color w:val="auto"/>
        </w:rPr>
        <w:t>Kelly Steckelberg</w:t>
      </w:r>
    </w:p>
    <w:p>
      <w:pPr>
        <w:spacing w:after="0" w:line="12" w:lineRule="exact"/>
        <w:rPr>
          <w:sz w:val="20"/>
          <w:szCs w:val="20"/>
          <w:color w:val="auto"/>
        </w:rPr>
      </w:pPr>
    </w:p>
    <w:p>
      <w:pPr>
        <w:ind w:left="7200"/>
        <w:spacing w:after="0"/>
        <w:rPr>
          <w:sz w:val="20"/>
          <w:szCs w:val="20"/>
          <w:color w:val="auto"/>
        </w:rPr>
      </w:pPr>
      <w:r>
        <w:rPr>
          <w:rFonts w:ascii="Arial" w:cs="Arial" w:eastAsia="Arial" w:hAnsi="Arial"/>
          <w:sz w:val="14"/>
          <w:szCs w:val="14"/>
          <w:color w:val="auto"/>
        </w:rPr>
        <w:t>Chief Financial Officer</w:t>
      </w:r>
    </w:p>
    <w:p>
      <w:pPr>
        <w:spacing w:after="0" w:line="12" w:lineRule="exact"/>
        <w:rPr>
          <w:sz w:val="20"/>
          <w:szCs w:val="20"/>
          <w:color w:val="auto"/>
        </w:rPr>
      </w:pPr>
    </w:p>
    <w:p>
      <w:pPr>
        <w:ind w:left="7200"/>
        <w:spacing w:after="0"/>
        <w:rPr>
          <w:sz w:val="20"/>
          <w:szCs w:val="20"/>
          <w:color w:val="auto"/>
        </w:rPr>
      </w:pPr>
      <w:r>
        <w:rPr>
          <w:rFonts w:ascii="Arial" w:cs="Arial" w:eastAsia="Arial" w:hAnsi="Arial"/>
          <w:sz w:val="14"/>
          <w:szCs w:val="14"/>
          <w:i w:val="1"/>
          <w:iCs w:val="1"/>
          <w:color w:val="auto"/>
        </w:rPr>
        <w:t>(Principal Financial Officer)</w:t>
      </w:r>
    </w:p>
    <w:sectPr>
      <w:pgSz w:w="11900" w:h="16838" w:orient="portrait"/>
      <w:cols w:equalWidth="0" w:num="1">
        <w:col w:w="11280"/>
      </w:cols>
      <w:pgMar w:left="300" w:top="7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5"/>
    </w:lvl>
  </w:abstractNum>
  <w:abstractNum w:abstractNumId="6">
    <w:nsid w:val="25E45D32"/>
    <w:multiLevelType w:val="hybridMultilevel"/>
    <w:lvl w:ilvl="0">
      <w:lvlJc w:val="left"/>
      <w:lvlText w:val="%1."/>
      <w:numFmt w:val="decimal"/>
      <w:start w:val="6"/>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230"/>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lvl w:ilvl="1">
      <w:lvlJc w:val="left"/>
      <w:lvlText w:val="%2"/>
      <w:numFmt w:val="decimal"/>
      <w:start w:val="104"/>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88" Type="http://schemas.openxmlformats.org/officeDocument/2006/relationships/hyperlink" Target="http://www.sec.gov/Archives/edgar/data/1585521/000119312519115111/d736915dex31.htm" TargetMode="External"/><Relationship Id="rId89" Type="http://schemas.openxmlformats.org/officeDocument/2006/relationships/hyperlink" Target="http://www.sec.gov/Archives/edgar/data/1585521/000119312519099813/d6426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2021-11-23T15:36:36Z</dcterms:created>
  <dcterms:modified xsi:type="dcterms:W3CDTF">2021-11-23T15:36:36Z</dcterms:modified>
</cp:coreProperties>
</file>