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304800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325120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3" w:lineRule="exact"/>
        <w:rPr>
          <w:sz w:val="24"/>
          <w:szCs w:val="24"/>
          <w:color w:val="auto"/>
        </w:rPr>
      </w:pPr>
    </w:p>
    <w:p>
      <w:pPr>
        <w:ind w:left="560" w:hanging="541"/>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April 30, 2024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3" w:lineRule="exact"/>
        <w:rPr>
          <w:sz w:val="24"/>
          <w:szCs w:val="24"/>
          <w:color w:val="auto"/>
        </w:rPr>
      </w:pPr>
    </w:p>
    <w:p>
      <w:pPr>
        <w:ind w:left="580" w:hanging="540"/>
        <w:spacing w:after="0"/>
        <w:tabs>
          <w:tab w:leader="none" w:pos="5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1" w:lineRule="exact"/>
        <w:rPr>
          <w:sz w:val="24"/>
          <w:szCs w:val="24"/>
          <w:color w:val="auto"/>
        </w:rPr>
      </w:pPr>
    </w:p>
    <w:p>
      <w:pPr>
        <w:ind w:left="3940"/>
        <w:spacing w:after="0"/>
        <w:tabs>
          <w:tab w:leader="none" w:pos="714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001-38865</w:t>
      </w:r>
    </w:p>
    <w:p>
      <w:pPr>
        <w:spacing w:after="0" w:line="2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Zoom Video Communications,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8"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178"/>
        </w:trPr>
        <w:tc>
          <w:tcPr>
            <w:tcW w:w="3680" w:type="dxa"/>
            <w:vAlign w:val="bottom"/>
          </w:tcPr>
          <w:p>
            <w:pPr>
              <w:jc w:val="center"/>
              <w:ind w:left="1898"/>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520" w:type="dxa"/>
            <w:vAlign w:val="bottom"/>
          </w:tcPr>
          <w:p>
            <w:pPr>
              <w:jc w:val="center"/>
              <w:ind w:right="2018"/>
              <w:spacing w:after="0"/>
              <w:rPr>
                <w:sz w:val="20"/>
                <w:szCs w:val="20"/>
                <w:color w:val="auto"/>
              </w:rPr>
            </w:pPr>
            <w:r>
              <w:rPr>
                <w:rFonts w:ascii="Times New Roman" w:cs="Times New Roman" w:eastAsia="Times New Roman" w:hAnsi="Times New Roman"/>
                <w:sz w:val="14"/>
                <w:szCs w:val="14"/>
                <w:b w:val="1"/>
                <w:bCs w:val="1"/>
                <w:color w:val="auto"/>
              </w:rPr>
              <w:t>61-1648780</w:t>
            </w:r>
          </w:p>
        </w:tc>
      </w:tr>
      <w:tr>
        <w:trPr>
          <w:trHeight w:val="115"/>
        </w:trPr>
        <w:tc>
          <w:tcPr>
            <w:tcW w:w="3680" w:type="dxa"/>
            <w:vAlign w:val="bottom"/>
          </w:tcPr>
          <w:p>
            <w:pPr>
              <w:jc w:val="center"/>
              <w:ind w:left="1898"/>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20" w:type="dxa"/>
            <w:vAlign w:val="bottom"/>
          </w:tcPr>
          <w:p>
            <w:pPr>
              <w:jc w:val="center"/>
              <w:ind w:right="2038"/>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680" w:type="dxa"/>
            <w:vAlign w:val="bottom"/>
          </w:tcPr>
          <w:p>
            <w:pPr>
              <w:jc w:val="center"/>
              <w:ind w:left="1898"/>
              <w:spacing w:after="0"/>
              <w:rPr>
                <w:sz w:val="20"/>
                <w:szCs w:val="20"/>
                <w:color w:val="auto"/>
              </w:rPr>
            </w:pPr>
            <w:r>
              <w:rPr>
                <w:rFonts w:ascii="Times New Roman" w:cs="Times New Roman" w:eastAsia="Times New Roman" w:hAnsi="Times New Roman"/>
                <w:sz w:val="11"/>
                <w:szCs w:val="11"/>
                <w:b w:val="1"/>
                <w:bCs w:val="1"/>
                <w:color w:val="auto"/>
              </w:rPr>
              <w:t>of incorporation or organization)</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20" w:type="dxa"/>
            <w:vAlign w:val="bottom"/>
          </w:tcPr>
          <w:p>
            <w:pPr>
              <w:jc w:val="center"/>
              <w:ind w:right="20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70"/>
        </w:trPr>
        <w:tc>
          <w:tcPr>
            <w:tcW w:w="3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55 Almaden Boulevard, 6</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w:t>
            </w:r>
          </w:p>
        </w:tc>
        <w:tc>
          <w:tcPr>
            <w:tcW w:w="3520" w:type="dxa"/>
            <w:vAlign w:val="bottom"/>
          </w:tcPr>
          <w:p>
            <w:pPr>
              <w:spacing w:after="0"/>
              <w:rPr>
                <w:sz w:val="23"/>
                <w:szCs w:val="23"/>
                <w:color w:val="auto"/>
              </w:rPr>
            </w:pPr>
          </w:p>
        </w:tc>
      </w:tr>
      <w:tr>
        <w:trPr>
          <w:trHeight w:val="167"/>
        </w:trPr>
        <w:tc>
          <w:tcPr>
            <w:tcW w:w="3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San Jose, California 95113</w:t>
            </w:r>
          </w:p>
        </w:tc>
        <w:tc>
          <w:tcPr>
            <w:tcW w:w="3520" w:type="dxa"/>
            <w:vAlign w:val="bottom"/>
          </w:tcPr>
          <w:p>
            <w:pPr>
              <w:spacing w:after="0"/>
              <w:rPr>
                <w:sz w:val="14"/>
                <w:szCs w:val="14"/>
                <w:color w:val="auto"/>
              </w:rPr>
            </w:pPr>
          </w:p>
        </w:tc>
      </w:tr>
      <w:tr>
        <w:trPr>
          <w:trHeight w:val="149"/>
        </w:trPr>
        <w:tc>
          <w:tcPr>
            <w:tcW w:w="3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60" w:type="dxa"/>
            <w:vAlign w:val="bottom"/>
            <w:gridSpan w:val="3"/>
          </w:tcPr>
          <w:p>
            <w:pPr>
              <w:jc w:val="center"/>
              <w:ind w:right="840"/>
              <w:spacing w:after="0"/>
              <w:rPr>
                <w:sz w:val="20"/>
                <w:szCs w:val="20"/>
                <w:color w:val="auto"/>
              </w:rPr>
            </w:pPr>
            <w:r>
              <w:rPr>
                <w:rFonts w:ascii="Times New Roman" w:cs="Times New Roman" w:eastAsia="Times New Roman" w:hAnsi="Times New Roman"/>
                <w:sz w:val="11"/>
                <w:szCs w:val="11"/>
                <w:b w:val="1"/>
                <w:bCs w:val="1"/>
                <w:i w:val="1"/>
                <w:iCs w:val="1"/>
                <w:color w:val="auto"/>
              </w:rPr>
              <w:t>(Address of principal executive offices and Zip Code)</w:t>
            </w:r>
          </w:p>
        </w:tc>
        <w:tc>
          <w:tcPr>
            <w:tcW w:w="3520" w:type="dxa"/>
            <w:vAlign w:val="bottom"/>
          </w:tcPr>
          <w:p>
            <w:pPr>
              <w:spacing w:after="0"/>
              <w:rPr>
                <w:sz w:val="12"/>
                <w:szCs w:val="12"/>
                <w:color w:val="auto"/>
              </w:rPr>
            </w:pPr>
          </w:p>
        </w:tc>
      </w:tr>
      <w:tr>
        <w:trPr>
          <w:trHeight w:val="223"/>
        </w:trPr>
        <w:tc>
          <w:tcPr>
            <w:tcW w:w="3680" w:type="dxa"/>
            <w:vAlign w:val="bottom"/>
          </w:tcPr>
          <w:p>
            <w:pPr>
              <w:spacing w:after="0"/>
              <w:rPr>
                <w:sz w:val="19"/>
                <w:szCs w:val="19"/>
                <w:color w:val="auto"/>
              </w:rPr>
            </w:pPr>
          </w:p>
        </w:tc>
        <w:tc>
          <w:tcPr>
            <w:tcW w:w="3200" w:type="dxa"/>
            <w:vAlign w:val="bottom"/>
            <w:gridSpan w:val="3"/>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(888) 799-9666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138"/>
        </w:trPr>
        <w:tc>
          <w:tcPr>
            <w:tcW w:w="3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3"/>
          </w:tcPr>
          <w:p>
            <w:pPr>
              <w:jc w:val="center"/>
              <w:ind w:right="840"/>
              <w:spacing w:after="0"/>
              <w:rPr>
                <w:sz w:val="20"/>
                <w:szCs w:val="20"/>
                <w:color w:val="auto"/>
              </w:rPr>
            </w:pPr>
            <w:r>
              <w:rPr>
                <w:rFonts w:ascii="Times New Roman" w:cs="Times New Roman" w:eastAsia="Times New Roman" w:hAnsi="Times New Roman"/>
                <w:sz w:val="11"/>
                <w:szCs w:val="11"/>
                <w:b w:val="1"/>
                <w:bCs w:val="1"/>
                <w:i w:val="1"/>
                <w:iCs w:val="1"/>
                <w:color w:val="auto"/>
              </w:rPr>
              <w:t>(Registrant’s telephone number, including area code)</w:t>
            </w:r>
          </w:p>
        </w:tc>
        <w:tc>
          <w:tcPr>
            <w:tcW w:w="3520" w:type="dxa"/>
            <w:vAlign w:val="bottom"/>
          </w:tcPr>
          <w:p>
            <w:pPr>
              <w:spacing w:after="0"/>
              <w:rPr>
                <w:sz w:val="11"/>
                <w:szCs w:val="11"/>
                <w:color w:val="auto"/>
              </w:rPr>
            </w:pPr>
          </w:p>
        </w:tc>
      </w:tr>
      <w:tr>
        <w:trPr>
          <w:trHeight w:val="149"/>
        </w:trPr>
        <w:tc>
          <w:tcPr>
            <w:tcW w:w="3680" w:type="dxa"/>
            <w:vAlign w:val="bottom"/>
          </w:tcPr>
          <w:p>
            <w:pPr>
              <w:spacing w:after="0"/>
              <w:rPr>
                <w:sz w:val="12"/>
                <w:szCs w:val="12"/>
                <w:color w:val="auto"/>
              </w:rPr>
            </w:pPr>
          </w:p>
        </w:tc>
        <w:tc>
          <w:tcPr>
            <w:tcW w:w="4040" w:type="dxa"/>
            <w:vAlign w:val="bottom"/>
            <w:gridSpan w:val="5"/>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tc>
        <w:tc>
          <w:tcPr>
            <w:tcW w:w="3520" w:type="dxa"/>
            <w:vAlign w:val="bottom"/>
          </w:tcPr>
          <w:p>
            <w:pPr>
              <w:spacing w:after="0"/>
              <w:rPr>
                <w:sz w:val="12"/>
                <w:szCs w:val="12"/>
                <w:color w:val="auto"/>
              </w:rPr>
            </w:pPr>
          </w:p>
        </w:tc>
      </w:tr>
      <w:tr>
        <w:trPr>
          <w:trHeight w:val="206"/>
        </w:trPr>
        <w:tc>
          <w:tcPr>
            <w:tcW w:w="3680" w:type="dxa"/>
            <w:vAlign w:val="bottom"/>
          </w:tcPr>
          <w:p>
            <w:pPr>
              <w:spacing w:after="0"/>
              <w:rPr>
                <w:sz w:val="17"/>
                <w:szCs w:val="17"/>
                <w:color w:val="auto"/>
              </w:rPr>
            </w:pPr>
          </w:p>
        </w:tc>
        <w:tc>
          <w:tcPr>
            <w:tcW w:w="404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3520" w:type="dxa"/>
            <w:vAlign w:val="bottom"/>
          </w:tcPr>
          <w:p>
            <w:pPr>
              <w:spacing w:after="0"/>
              <w:rPr>
                <w:sz w:val="17"/>
                <w:szCs w:val="17"/>
                <w:color w:val="auto"/>
              </w:rPr>
            </w:pPr>
          </w:p>
        </w:tc>
      </w:tr>
      <w:tr>
        <w:trPr>
          <w:trHeight w:val="183"/>
        </w:trPr>
        <w:tc>
          <w:tcPr>
            <w:tcW w:w="3680" w:type="dxa"/>
            <w:vAlign w:val="bottom"/>
          </w:tcPr>
          <w:p>
            <w:pPr>
              <w:jc w:val="center"/>
              <w:ind w:left="538"/>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gridSpan w:val="3"/>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3520" w:type="dxa"/>
            <w:vAlign w:val="bottom"/>
          </w:tcPr>
          <w:p>
            <w:pPr>
              <w:jc w:val="center"/>
              <w:ind w:right="678"/>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158"/>
        </w:trPr>
        <w:tc>
          <w:tcPr>
            <w:tcW w:w="3680" w:type="dxa"/>
            <w:vAlign w:val="bottom"/>
            <w:tcBorders>
              <w:top w:val="single" w:sz="8" w:color="auto"/>
            </w:tcBorders>
          </w:tcPr>
          <w:p>
            <w:pPr>
              <w:jc w:val="center"/>
              <w:ind w:left="538"/>
              <w:spacing w:after="0"/>
              <w:rPr>
                <w:sz w:val="20"/>
                <w:szCs w:val="20"/>
                <w:color w:val="auto"/>
              </w:rPr>
            </w:pPr>
            <w:r>
              <w:rPr>
                <w:rFonts w:ascii="Times New Roman" w:cs="Times New Roman" w:eastAsia="Times New Roman" w:hAnsi="Times New Roman"/>
                <w:sz w:val="13"/>
                <w:szCs w:val="13"/>
                <w:color w:val="auto"/>
                <w:w w:val="97"/>
              </w:rPr>
              <w:t>Class A Common Stock, $0.001 par value per share</w:t>
            </w: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ZM</w:t>
            </w: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520" w:type="dxa"/>
            <w:vAlign w:val="bottom"/>
            <w:tcBorders>
              <w:top w:val="single" w:sz="8" w:color="auto"/>
            </w:tcBorders>
          </w:tcPr>
          <w:p>
            <w:pPr>
              <w:jc w:val="center"/>
              <w:ind w:right="678"/>
              <w:spacing w:after="0"/>
              <w:rPr>
                <w:sz w:val="20"/>
                <w:szCs w:val="20"/>
                <w:color w:val="auto"/>
              </w:rPr>
            </w:pPr>
            <w:r>
              <w:rPr>
                <w:rFonts w:ascii="Times New Roman" w:cs="Times New Roman" w:eastAsia="Times New Roman" w:hAnsi="Times New Roman"/>
                <w:sz w:val="13"/>
                <w:szCs w:val="13"/>
                <w:color w:val="auto"/>
                <w:w w:val="98"/>
              </w:rPr>
              <w:t>The Nasdaq Global Select Market</w:t>
            </w:r>
          </w:p>
        </w:tc>
      </w:tr>
    </w:tbl>
    <w:p>
      <w:pPr>
        <w:spacing w:after="0" w:line="110"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40" w:type="dxa"/>
            <w:vAlign w:val="bottom"/>
          </w:tcPr>
          <w:p>
            <w:pPr>
              <w:ind w:left="620"/>
              <w:spacing w:after="0" w:line="111" w:lineRule="exact"/>
              <w:rPr>
                <w:sz w:val="20"/>
                <w:szCs w:val="20"/>
                <w:color w:val="auto"/>
              </w:rPr>
            </w:pPr>
            <w:r>
              <w:rPr>
                <w:rFonts w:ascii="MS PGothic" w:cs="MS PGothic" w:eastAsia="MS PGothic" w:hAnsi="MS PGothic"/>
                <w:sz w:val="11"/>
                <w:szCs w:val="11"/>
                <w:color w:val="auto"/>
              </w:rPr>
              <w:t>☒</w:t>
            </w:r>
          </w:p>
        </w:tc>
        <w:tc>
          <w:tcPr>
            <w:tcW w:w="474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Accelerated filer</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40" w:type="dxa"/>
            <w:vAlign w:val="bottom"/>
          </w:tcPr>
          <w:p>
            <w:pPr>
              <w:ind w:left="620"/>
              <w:spacing w:after="0" w:line="111" w:lineRule="exact"/>
              <w:rPr>
                <w:sz w:val="20"/>
                <w:szCs w:val="20"/>
                <w:color w:val="auto"/>
              </w:rPr>
            </w:pPr>
            <w:r>
              <w:rPr>
                <w:rFonts w:ascii="MS PGothic" w:cs="MS PGothic" w:eastAsia="MS PGothic" w:hAnsi="MS PGothic"/>
                <w:sz w:val="11"/>
                <w:szCs w:val="11"/>
                <w:color w:val="auto"/>
              </w:rPr>
              <w:t>☐</w:t>
            </w:r>
          </w:p>
        </w:tc>
        <w:tc>
          <w:tcPr>
            <w:tcW w:w="474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440" w:type="dxa"/>
            <w:vAlign w:val="bottom"/>
          </w:tcPr>
          <w:p>
            <w:pPr>
              <w:ind w:left="620"/>
              <w:spacing w:after="0" w:line="111" w:lineRule="exact"/>
              <w:rPr>
                <w:sz w:val="20"/>
                <w:szCs w:val="20"/>
                <w:color w:val="auto"/>
              </w:rPr>
            </w:pPr>
            <w:r>
              <w:rPr>
                <w:rFonts w:ascii="MS PGothic" w:cs="MS PGothic" w:eastAsia="MS PGothic" w:hAnsi="MS PGothic"/>
                <w:sz w:val="11"/>
                <w:szCs w:val="11"/>
                <w:color w:val="auto"/>
              </w:rPr>
              <w:t>☐</w:t>
            </w:r>
          </w:p>
        </w:tc>
        <w:tc>
          <w:tcPr>
            <w:tcW w:w="474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107"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0" w:lineRule="exact"/>
        <w:tabs>
          <w:tab w:leader="none" w:pos="5900" w:val="left"/>
          <w:tab w:leader="none" w:pos="63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May 10, 2024, the number of shares of the registrant’s Class A common stock outstanding was 263,616,605 and the number of shares of the registrant’s Class B common stock outstanding was 45,660,427.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645160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80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4"/>
        </w:trPr>
        <w:tc>
          <w:tcPr>
            <w:tcW w:w="9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7"/>
          </w:tcPr>
          <w:p>
            <w:pPr>
              <w:jc w:val="center"/>
              <w:ind w:right="286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7"/>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rPr>
              <w:t>Quarterly Report on Form 10-Q</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40" w:type="dxa"/>
            <w:vAlign w:val="bottom"/>
            <w:gridSpan w:val="9"/>
          </w:tcPr>
          <w:p>
            <w:pPr>
              <w:jc w:val="center"/>
              <w:ind w:right="2580"/>
              <w:spacing w:after="0"/>
              <w:rPr>
                <w:sz w:val="20"/>
                <w:szCs w:val="20"/>
                <w:color w:val="auto"/>
              </w:rPr>
            </w:pPr>
            <w:r>
              <w:rPr>
                <w:rFonts w:ascii="Times New Roman" w:cs="Times New Roman" w:eastAsia="Times New Roman" w:hAnsi="Times New Roman"/>
                <w:sz w:val="14"/>
                <w:szCs w:val="14"/>
                <w:b w:val="1"/>
                <w:bCs w:val="1"/>
                <w:color w:val="auto"/>
              </w:rPr>
              <w:t>For the Quarterly Period Ended April 30, 2024</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7"/>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40" w:type="dxa"/>
            <w:vAlign w:val="bottom"/>
          </w:tcPr>
          <w:p>
            <w:pPr>
              <w:spacing w:after="0"/>
              <w:rPr>
                <w:sz w:val="17"/>
                <w:szCs w:val="17"/>
                <w:color w:val="auto"/>
              </w:rPr>
            </w:pPr>
          </w:p>
        </w:tc>
        <w:tc>
          <w:tcPr>
            <w:tcW w:w="304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5820" w:type="dxa"/>
            <w:vAlign w:val="bottom"/>
            <w:gridSpan w:val="10"/>
            <w:vMerge w:val="restart"/>
          </w:tcPr>
          <w:p>
            <w:pPr>
              <w:spacing w:after="0"/>
              <w:rPr>
                <w:sz w:val="17"/>
                <w:szCs w:val="17"/>
                <w:color w:val="auto"/>
              </w:rPr>
            </w:pPr>
          </w:p>
        </w:tc>
        <w:tc>
          <w:tcPr>
            <w:tcW w:w="14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3040" w:type="dxa"/>
            <w:vAlign w:val="bottom"/>
            <w:tcBorders>
              <w:bottom w:val="single" w:sz="8" w:color="0000FF"/>
            </w:tcBorders>
            <w:gridSpan w:val="13"/>
            <w:vMerge w:val="continue"/>
          </w:tcPr>
          <w:p>
            <w:pPr>
              <w:spacing w:after="0"/>
              <w:rPr>
                <w:sz w:val="11"/>
                <w:szCs w:val="11"/>
                <w:color w:val="auto"/>
              </w:rPr>
            </w:pPr>
          </w:p>
        </w:tc>
        <w:tc>
          <w:tcPr>
            <w:tcW w:w="5820" w:type="dxa"/>
            <w:vAlign w:val="bottom"/>
            <w:gridSpan w:val="10"/>
            <w:vMerge w:val="continue"/>
          </w:tcPr>
          <w:p>
            <w:pPr>
              <w:spacing w:after="0"/>
              <w:rPr>
                <w:sz w:val="11"/>
                <w:szCs w:val="11"/>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88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Summary Risk Factors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tcPr>
          <w:p>
            <w:pPr>
              <w:spacing w:after="0"/>
              <w:rPr>
                <w:sz w:val="17"/>
                <w:szCs w:val="17"/>
                <w:color w:val="auto"/>
              </w:rPr>
            </w:pPr>
          </w:p>
        </w:tc>
        <w:tc>
          <w:tcPr>
            <w:tcW w:w="18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8"/>
              </w:rPr>
              <w:t>PART I – Financial Information</w:t>
            </w:r>
          </w:p>
        </w:tc>
        <w:tc>
          <w:tcPr>
            <w:tcW w:w="7060" w:type="dxa"/>
            <w:vAlign w:val="bottom"/>
            <w:gridSpan w:val="13"/>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Item 1.</w:t>
            </w:r>
          </w:p>
        </w:tc>
        <w:tc>
          <w:tcPr>
            <w:tcW w:w="1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w w:val="99"/>
              </w:rPr>
              <w:t>Financial Statements (Unaudited)</w:t>
            </w:r>
          </w:p>
        </w:tc>
        <w:tc>
          <w:tcPr>
            <w:tcW w:w="6960" w:type="dxa"/>
            <w:vAlign w:val="bottom"/>
            <w:gridSpan w:val="11"/>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940" w:type="dxa"/>
            <w:vAlign w:val="bottom"/>
          </w:tcPr>
          <w:p>
            <w:pPr>
              <w:spacing w:after="0"/>
              <w:rPr>
                <w:sz w:val="13"/>
                <w:szCs w:val="13"/>
                <w:color w:val="auto"/>
              </w:rPr>
            </w:pPr>
          </w:p>
        </w:tc>
        <w:tc>
          <w:tcPr>
            <w:tcW w:w="47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Condensed Consolidated Balance Sheets as of April 30, 2024 and January 31, 2024</w:t>
            </w:r>
          </w:p>
        </w:tc>
        <w:tc>
          <w:tcPr>
            <w:tcW w:w="4140" w:type="dxa"/>
            <w:vAlign w:val="bottom"/>
            <w:gridSpan w:val="6"/>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94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for the Three Months Ended April 30, 2024 and 2023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66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Income for the Three Months Ended April 30, 2024 and 2023</w:t>
            </w:r>
          </w:p>
        </w:tc>
        <w:tc>
          <w:tcPr>
            <w:tcW w:w="2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94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Condensed Consolidated Statements of Stockholders’ Equity for the Three Months Ended April 30, 2024 and 2023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40" w:type="dxa"/>
            <w:vAlign w:val="bottom"/>
          </w:tcPr>
          <w:p>
            <w:pPr>
              <w:spacing w:after="0"/>
              <w:rPr>
                <w:sz w:val="13"/>
                <w:szCs w:val="13"/>
                <w:color w:val="auto"/>
              </w:rPr>
            </w:pPr>
          </w:p>
        </w:tc>
        <w:tc>
          <w:tcPr>
            <w:tcW w:w="650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for the Three Months Ended April 30, 2024 and 2023</w:t>
            </w:r>
          </w:p>
        </w:tc>
        <w:tc>
          <w:tcPr>
            <w:tcW w:w="2360" w:type="dxa"/>
            <w:vAlign w:val="bottom"/>
            <w:gridSpan w:val="2"/>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tcPr>
          <w:p>
            <w:pPr>
              <w:spacing w:after="0"/>
              <w:rPr>
                <w:sz w:val="13"/>
                <w:szCs w:val="13"/>
                <w:color w:val="auto"/>
              </w:rPr>
            </w:pPr>
          </w:p>
        </w:tc>
        <w:tc>
          <w:tcPr>
            <w:tcW w:w="59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2900" w:type="dxa"/>
            <w:vAlign w:val="bottom"/>
            <w:gridSpan w:val="3"/>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Item 2.</w:t>
            </w:r>
          </w:p>
        </w:tc>
        <w:tc>
          <w:tcPr>
            <w:tcW w:w="88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Item 3.</w:t>
            </w:r>
          </w:p>
        </w:tc>
        <w:tc>
          <w:tcPr>
            <w:tcW w:w="34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2"/>
          </w:tcPr>
          <w:p>
            <w:pPr>
              <w:spacing w:after="0"/>
              <w:rPr>
                <w:sz w:val="13"/>
                <w:szCs w:val="13"/>
                <w:color w:val="auto"/>
              </w:rPr>
            </w:pPr>
          </w:p>
        </w:tc>
        <w:tc>
          <w:tcPr>
            <w:tcW w:w="3800" w:type="dxa"/>
            <w:vAlign w:val="bottom"/>
            <w:gridSpan w:val="5"/>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Item 4.</w:t>
            </w:r>
          </w:p>
        </w:tc>
        <w:tc>
          <w:tcPr>
            <w:tcW w:w="88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tcPr>
          <w:p>
            <w:pPr>
              <w:spacing w:after="0"/>
              <w:rPr>
                <w:sz w:val="17"/>
                <w:szCs w:val="17"/>
                <w:color w:val="auto"/>
              </w:rPr>
            </w:pPr>
          </w:p>
        </w:tc>
        <w:tc>
          <w:tcPr>
            <w:tcW w:w="1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8"/>
              </w:rPr>
              <w:t>PART II – Other Information</w:t>
            </w:r>
          </w:p>
        </w:tc>
        <w:tc>
          <w:tcPr>
            <w:tcW w:w="7220" w:type="dxa"/>
            <w:vAlign w:val="bottom"/>
            <w:gridSpan w:val="14"/>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Item 1.</w:t>
            </w:r>
          </w:p>
        </w:tc>
        <w:tc>
          <w:tcPr>
            <w:tcW w:w="1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8"/>
              </w:rPr>
              <w:t>Legal Proceedings</w:t>
            </w:r>
          </w:p>
        </w:tc>
        <w:tc>
          <w:tcPr>
            <w:tcW w:w="7820" w:type="dxa"/>
            <w:vAlign w:val="bottom"/>
            <w:gridSpan w:val="17"/>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Item 1A</w:t>
            </w:r>
          </w:p>
        </w:tc>
        <w:tc>
          <w:tcPr>
            <w:tcW w:w="88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Item 2.</w:t>
            </w:r>
          </w:p>
        </w:tc>
        <w:tc>
          <w:tcPr>
            <w:tcW w:w="88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Item 3.</w:t>
            </w:r>
          </w:p>
        </w:tc>
        <w:tc>
          <w:tcPr>
            <w:tcW w:w="18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9"/>
              </w:rPr>
              <w:t>Defaults Upon Senior Securities</w:t>
            </w:r>
          </w:p>
        </w:tc>
        <w:tc>
          <w:tcPr>
            <w:tcW w:w="1580" w:type="dxa"/>
            <w:vAlign w:val="bottom"/>
            <w:tcBorders>
              <w:top w:val="single" w:sz="8" w:color="0000FF"/>
            </w:tcBorders>
            <w:gridSpan w:val="4"/>
          </w:tcPr>
          <w:p>
            <w:pPr>
              <w:spacing w:after="0"/>
              <w:rPr>
                <w:sz w:val="13"/>
                <w:szCs w:val="13"/>
                <w:color w:val="auto"/>
              </w:rPr>
            </w:pPr>
          </w:p>
        </w:tc>
        <w:tc>
          <w:tcPr>
            <w:tcW w:w="5460" w:type="dxa"/>
            <w:vAlign w:val="bottom"/>
            <w:gridSpan w:val="8"/>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Item 4.</w:t>
            </w:r>
          </w:p>
        </w:tc>
        <w:tc>
          <w:tcPr>
            <w:tcW w:w="88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Item 5.</w:t>
            </w:r>
          </w:p>
        </w:tc>
        <w:tc>
          <w:tcPr>
            <w:tcW w:w="13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480" w:type="dxa"/>
            <w:vAlign w:val="bottom"/>
            <w:gridSpan w:val="15"/>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Item 6.</w:t>
            </w:r>
          </w:p>
        </w:tc>
        <w:tc>
          <w:tcPr>
            <w:tcW w:w="1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Exhibits</w:t>
            </w:r>
          </w:p>
        </w:tc>
        <w:tc>
          <w:tcPr>
            <w:tcW w:w="7840" w:type="dxa"/>
            <w:vAlign w:val="bottom"/>
            <w:gridSpan w:val="18"/>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80" w:type="dxa"/>
            <w:vAlign w:val="bottom"/>
            <w:gridSpan w:val="2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40" w:type="dxa"/>
            <w:vAlign w:val="bottom"/>
          </w:tcPr>
          <w:p>
            <w:pPr>
              <w:spacing w:after="0"/>
              <w:rPr>
                <w:sz w:val="13"/>
                <w:szCs w:val="13"/>
                <w:color w:val="auto"/>
              </w:rPr>
            </w:pPr>
          </w:p>
        </w:tc>
        <w:tc>
          <w:tcPr>
            <w:tcW w:w="88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1"/>
        </w:trPr>
        <w:tc>
          <w:tcPr>
            <w:tcW w:w="940" w:type="dxa"/>
            <w:vAlign w:val="bottom"/>
          </w:tcPr>
          <w:p>
            <w:pPr>
              <w:spacing w:after="0"/>
              <w:rPr>
                <w:sz w:val="24"/>
                <w:szCs w:val="24"/>
                <w:color w:val="auto"/>
              </w:rPr>
            </w:pPr>
          </w:p>
        </w:tc>
        <w:tc>
          <w:tcPr>
            <w:tcW w:w="580" w:type="dxa"/>
            <w:vAlign w:val="bottom"/>
            <w:tcBorders>
              <w:top w:val="single" w:sz="8" w:color="0000FF"/>
            </w:tcBorders>
            <w:gridSpan w:val="3"/>
          </w:tcPr>
          <w:p>
            <w:pPr>
              <w:spacing w:after="0"/>
              <w:rPr>
                <w:sz w:val="24"/>
                <w:szCs w:val="24"/>
                <w:color w:val="auto"/>
              </w:rPr>
            </w:pPr>
          </w:p>
        </w:tc>
        <w:tc>
          <w:tcPr>
            <w:tcW w:w="4480" w:type="dxa"/>
            <w:vAlign w:val="bottom"/>
            <w:gridSpan w:val="15"/>
          </w:tcPr>
          <w:p>
            <w:pPr>
              <w:jc w:val="center"/>
              <w:ind w:left="3689"/>
              <w:spacing w:after="0"/>
              <w:rPr>
                <w:sz w:val="20"/>
                <w:szCs w:val="20"/>
                <w:color w:val="auto"/>
              </w:rPr>
            </w:pPr>
            <w:r>
              <w:rPr>
                <w:rFonts w:ascii="Times New Roman" w:cs="Times New Roman" w:eastAsia="Times New Roman" w:hAnsi="Times New Roman"/>
                <w:sz w:val="14"/>
                <w:szCs w:val="14"/>
                <w:color w:val="auto"/>
              </w:rPr>
              <w:t>2</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our product strategy; our efforts to enhance the security and privacy of our platform; our ability to operate our business and effectively manage our scale under evolving macroeconomic conditions, such as high inflation, recessionary or uncertain environments and fluctuations in foreign currency exchange rates; our ability to become the ubiquitous platform for communications and collaboration;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6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56"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2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Investing in our Class A common stock involves numerous risks, including the risks described in “Part II—Other Information, Item 1A. Risk Factors” of this Quarterly Report on Form 10-Q.</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are some of these risks, any one of which could materially adversely affect our business, financial condition, results of operations, and prospects.</w:t>
      </w:r>
    </w:p>
    <w:p>
      <w:pPr>
        <w:spacing w:after="0" w:line="79" w:lineRule="exact"/>
        <w:rPr>
          <w:sz w:val="20"/>
          <w:szCs w:val="20"/>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ability to attract new customers, retain and upsell additional products and new product categories to existing customers, and upgrade free users to one of our paid offerings. Any decline in new customers, renewals, or upgrades would harm our business.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growth rate has fluctuated in prior periods, and may continue to decline in future periods.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delays, or outages in service from our co-located data centers and a variety of other factors, would impair the delivery of our services, require us to issue credits or pay penalties, and harm our business.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spacing w:after="0" w:line="5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significantly affected by changes in the economy, including any resulting effect on consumer or business spending.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we increase sales to large organizations, our sales cycles have and could continue to lengthen, and we could experience greater deployment challenges.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generate revenue from sales of subscriptions to our platform, and any decline in demand for our platform or for communications and collaboration technologies in general would harm our business.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net losses in the past and there are no assurances we will be able to maintain or increase profitability in the future.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respond to rapid technological changes, extend our platform or develop new features.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security measures, and those of the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our incurring significant liabilities, and our business being harmed.</w:t>
      </w:r>
    </w:p>
    <w:p>
      <w:pPr>
        <w:spacing w:after="0" w:line="5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at the current scale of our business, which makes it difficult to evaluate our prospects and future results of operations.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or perceived failure by us, our customers, partners, or vendors to comply with stringent and evolving laws and regulations, industry standards, policies, and contractual obligations relating to privacy, data protection, information security laws, and other matters could harm our reputation and business or subject us to significant fines and liability.</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to lose the services of our Chief Executive Officer or other members of our senior management team, we may not be able to execute our business strategy.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significant and expanding operations outside the United States, which may subject us to increased business, regulatory, and economic risks that could harm our business.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generative AI including in our products and services, which may result in operational challenges, legal liability, reputational concerns, competitive risks and regulatory concerns that could adversely affect our business and results of operations.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4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7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gridSpan w:val="2"/>
          </w:tcPr>
          <w:p>
            <w:pPr>
              <w:jc w:val="center"/>
              <w:ind w:right="400"/>
              <w:spacing w:after="0" w:line="106" w:lineRule="exact"/>
              <w:rPr>
                <w:sz w:val="20"/>
                <w:szCs w:val="20"/>
                <w:color w:val="auto"/>
              </w:rPr>
            </w:pPr>
            <w:r>
              <w:rPr>
                <w:rFonts w:ascii="Times New Roman" w:cs="Times New Roman" w:eastAsia="Times New Roman" w:hAnsi="Times New Roman"/>
                <w:sz w:val="11"/>
                <w:szCs w:val="11"/>
                <w:b w:val="1"/>
                <w:bCs w:val="1"/>
                <w:color w:val="auto"/>
              </w:rPr>
              <w:t>April 30,</w:t>
            </w:r>
          </w:p>
        </w:tc>
        <w:tc>
          <w:tcPr>
            <w:tcW w:w="300" w:type="dxa"/>
            <w:vAlign w:val="bottom"/>
          </w:tcPr>
          <w:p>
            <w:pPr>
              <w:spacing w:after="0"/>
              <w:rPr>
                <w:sz w:val="9"/>
                <w:szCs w:val="9"/>
                <w:color w:val="auto"/>
              </w:rPr>
            </w:pPr>
          </w:p>
        </w:tc>
        <w:tc>
          <w:tcPr>
            <w:tcW w:w="1340" w:type="dxa"/>
            <w:vAlign w:val="bottom"/>
          </w:tcPr>
          <w:p>
            <w:pPr>
              <w:jc w:val="right"/>
              <w:ind w:right="477"/>
              <w:spacing w:after="0" w:line="106" w:lineRule="exact"/>
              <w:rPr>
                <w:sz w:val="20"/>
                <w:szCs w:val="20"/>
                <w:color w:val="auto"/>
              </w:rPr>
            </w:pPr>
            <w:r>
              <w:rPr>
                <w:rFonts w:ascii="Times New Roman" w:cs="Times New Roman" w:eastAsia="Times New Roman" w:hAnsi="Times New Roman"/>
                <w:sz w:val="11"/>
                <w:szCs w:val="11"/>
                <w:b w:val="1"/>
                <w:bCs w:val="1"/>
                <w:color w:val="auto"/>
              </w:rPr>
              <w:t>January 31,</w:t>
            </w:r>
          </w:p>
        </w:tc>
        <w:tc>
          <w:tcPr>
            <w:tcW w:w="0" w:type="dxa"/>
            <w:vAlign w:val="bottom"/>
          </w:tcPr>
          <w:p>
            <w:pPr>
              <w:spacing w:after="0"/>
              <w:rPr>
                <w:sz w:val="1"/>
                <w:szCs w:val="1"/>
                <w:color w:val="auto"/>
              </w:rPr>
            </w:pPr>
          </w:p>
        </w:tc>
      </w:tr>
      <w:tr>
        <w:trPr>
          <w:trHeight w:val="154"/>
        </w:trPr>
        <w:tc>
          <w:tcPr>
            <w:tcW w:w="78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237"/>
              <w:spacing w:after="0"/>
              <w:rPr>
                <w:sz w:val="20"/>
                <w:szCs w:val="20"/>
                <w:color w:val="auto"/>
              </w:rPr>
            </w:pPr>
            <w:r>
              <w:rPr>
                <w:rFonts w:ascii="Times New Roman" w:cs="Times New Roman" w:eastAsia="Times New Roman" w:hAnsi="Times New Roman"/>
                <w:sz w:val="13"/>
                <w:szCs w:val="13"/>
                <w:color w:val="auto"/>
              </w:rPr>
              <w:t>(unaudited)</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1,885,603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1,558,252</w:t>
            </w:r>
          </w:p>
        </w:tc>
        <w:tc>
          <w:tcPr>
            <w:tcW w:w="0" w:type="dxa"/>
            <w:vAlign w:val="bottom"/>
          </w:tcPr>
          <w:p>
            <w:pPr>
              <w:spacing w:after="0"/>
              <w:rPr>
                <w:sz w:val="1"/>
                <w:szCs w:val="1"/>
                <w:color w:val="auto"/>
              </w:rPr>
            </w:pPr>
          </w:p>
        </w:tc>
      </w:tr>
      <w:tr>
        <w:trPr>
          <w:trHeight w:val="168"/>
        </w:trPr>
        <w:tc>
          <w:tcPr>
            <w:tcW w:w="7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Marketable securities</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5,488,737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5,404,233</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receivable, net of allowances of $22,009 and $32,371 as of April 30, 2024 and January 31, 2024, respectively</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527,515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536,078</w:t>
            </w:r>
          </w:p>
        </w:tc>
        <w:tc>
          <w:tcPr>
            <w:tcW w:w="0" w:type="dxa"/>
            <w:vAlign w:val="bottom"/>
          </w:tcPr>
          <w:p>
            <w:pPr>
              <w:spacing w:after="0"/>
              <w:rPr>
                <w:sz w:val="1"/>
                <w:szCs w:val="1"/>
                <w:color w:val="auto"/>
              </w:rPr>
            </w:pPr>
          </w:p>
        </w:tc>
      </w:tr>
      <w:tr>
        <w:trPr>
          <w:trHeight w:val="168"/>
        </w:trPr>
        <w:tc>
          <w:tcPr>
            <w:tcW w:w="7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contract acquisition costs, current</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198,113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208,474</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182,077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219,182</w:t>
            </w:r>
          </w:p>
        </w:tc>
        <w:tc>
          <w:tcPr>
            <w:tcW w:w="0" w:type="dxa"/>
            <w:vAlign w:val="bottom"/>
          </w:tcPr>
          <w:p>
            <w:pPr>
              <w:spacing w:after="0"/>
              <w:rPr>
                <w:sz w:val="1"/>
                <w:szCs w:val="1"/>
                <w:color w:val="auto"/>
              </w:rPr>
            </w:pPr>
          </w:p>
        </w:tc>
      </w:tr>
      <w:tr>
        <w:trPr>
          <w:trHeight w:val="158"/>
        </w:trPr>
        <w:tc>
          <w:tcPr>
            <w:tcW w:w="78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current assets</w:t>
            </w: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8,282,045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7,926,219</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contract acquisition costs, noncurrent</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138,724</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304,712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293,704</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58,975</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Strategic investments</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424,923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409,222</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307,295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307,295</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673,808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662,177</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 noncurrent</w:t>
            </w: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127,010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133,477</w:t>
            </w:r>
          </w:p>
        </w:tc>
        <w:tc>
          <w:tcPr>
            <w:tcW w:w="0" w:type="dxa"/>
            <w:vAlign w:val="bottom"/>
          </w:tcPr>
          <w:p>
            <w:pPr>
              <w:spacing w:after="0"/>
              <w:rPr>
                <w:sz w:val="1"/>
                <w:szCs w:val="1"/>
                <w:color w:val="auto"/>
              </w:rPr>
            </w:pPr>
          </w:p>
        </w:tc>
      </w:tr>
      <w:tr>
        <w:trPr>
          <w:trHeight w:val="158"/>
        </w:trPr>
        <w:tc>
          <w:tcPr>
            <w:tcW w:w="78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Total assets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10,296,630</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9,929,793</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10,175</w:t>
            </w:r>
          </w:p>
        </w:tc>
        <w:tc>
          <w:tcPr>
            <w:tcW w:w="0" w:type="dxa"/>
            <w:vAlign w:val="bottom"/>
          </w:tcPr>
          <w:p>
            <w:pPr>
              <w:spacing w:after="0"/>
              <w:rPr>
                <w:sz w:val="1"/>
                <w:szCs w:val="1"/>
                <w:color w:val="auto"/>
              </w:rPr>
            </w:pPr>
          </w:p>
        </w:tc>
      </w:tr>
      <w:tr>
        <w:trPr>
          <w:trHeight w:val="168"/>
        </w:trPr>
        <w:tc>
          <w:tcPr>
            <w:tcW w:w="7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501,799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500,164</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Deferred revenue, current</w:t>
            </w: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1,335,787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1,251,848</w:t>
            </w:r>
          </w:p>
        </w:tc>
        <w:tc>
          <w:tcPr>
            <w:tcW w:w="0" w:type="dxa"/>
            <w:vAlign w:val="bottom"/>
          </w:tcPr>
          <w:p>
            <w:pPr>
              <w:spacing w:after="0"/>
              <w:rPr>
                <w:sz w:val="1"/>
                <w:szCs w:val="1"/>
                <w:color w:val="auto"/>
              </w:rPr>
            </w:pPr>
          </w:p>
        </w:tc>
      </w:tr>
      <w:tr>
        <w:trPr>
          <w:trHeight w:val="158"/>
        </w:trPr>
        <w:tc>
          <w:tcPr>
            <w:tcW w:w="78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current liabilities</w:t>
            </w: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1,855,901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1,762,187</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 noncurrent</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18,514</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48,308</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 noncurrent</w:t>
            </w: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85,216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81,378</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CEEFF"/>
            </w:tcBorders>
          </w:tcPr>
          <w:p>
            <w:pPr>
              <w:spacing w:after="0" w:line="146" w:lineRule="exact"/>
              <w:rPr>
                <w:sz w:val="20"/>
                <w:szCs w:val="20"/>
                <w:color w:val="auto"/>
              </w:rPr>
            </w:pPr>
            <w:r>
              <w:rPr>
                <w:rFonts w:ascii="Times New Roman" w:cs="Times New Roman" w:eastAsia="Times New Roman" w:hAnsi="Times New Roman"/>
                <w:sz w:val="13"/>
                <w:szCs w:val="13"/>
                <w:color w:val="auto"/>
              </w:rPr>
              <w:t>Total liabilities</w:t>
            </w: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1,997,806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1,910,387</w:t>
            </w:r>
          </w:p>
        </w:tc>
        <w:tc>
          <w:tcPr>
            <w:tcW w:w="0" w:type="dxa"/>
            <w:vAlign w:val="bottom"/>
          </w:tcPr>
          <w:p>
            <w:pPr>
              <w:spacing w:after="0"/>
              <w:rPr>
                <w:sz w:val="1"/>
                <w:szCs w:val="1"/>
                <w:color w:val="auto"/>
              </w:rPr>
            </w:pPr>
          </w:p>
        </w:tc>
      </w:tr>
      <w:tr>
        <w:trPr>
          <w:trHeight w:val="152"/>
        </w:trPr>
        <w:tc>
          <w:tcPr>
            <w:tcW w:w="7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Commitments and contingencies (Note 7)</w:t>
            </w: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40" w:type="dxa"/>
            <w:vAlign w:val="bottom"/>
            <w:shd w:val="clear" w:color="auto" w:fill="CCEEFF"/>
          </w:tcPr>
          <w:p>
            <w:pPr>
              <w:ind w:left="260"/>
              <w:spacing w:after="0" w:line="129" w:lineRule="exact"/>
              <w:rPr>
                <w:sz w:val="20"/>
                <w:szCs w:val="20"/>
                <w:color w:val="auto"/>
              </w:rPr>
            </w:pPr>
            <w:r>
              <w:rPr>
                <w:rFonts w:ascii="Times New Roman" w:cs="Times New Roman" w:eastAsia="Times New Roman" w:hAnsi="Times New Roman"/>
                <w:sz w:val="13"/>
                <w:szCs w:val="13"/>
                <w:color w:val="auto"/>
                <w:w w:val="99"/>
              </w:rPr>
              <w:t>Common stock, $0.001 par value per share, 2,000,000,000 Class A shares authorized as of April 30, 2024 and January 31, 2024; 263,636,337 and</w:t>
            </w: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40" w:type="dxa"/>
            <w:vAlign w:val="bottom"/>
            <w:shd w:val="clear" w:color="auto" w:fill="CCEEFF"/>
          </w:tcPr>
          <w:p>
            <w:pPr>
              <w:ind w:left="260"/>
              <w:spacing w:after="0" w:line="128" w:lineRule="exact"/>
              <w:rPr>
                <w:sz w:val="20"/>
                <w:szCs w:val="20"/>
                <w:color w:val="auto"/>
              </w:rPr>
            </w:pPr>
            <w:r>
              <w:rPr>
                <w:rFonts w:ascii="Times New Roman" w:cs="Times New Roman" w:eastAsia="Times New Roman" w:hAnsi="Times New Roman"/>
                <w:sz w:val="13"/>
                <w:szCs w:val="13"/>
                <w:color w:val="auto"/>
              </w:rPr>
              <w:t>260,896,822 shares issued and outstanding as of April 30, 2024 and January 31, 2024, respectively; 300,000,000 Class B shares authorized as of</w:t>
            </w: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40" w:type="dxa"/>
            <w:vAlign w:val="bottom"/>
            <w:shd w:val="clear" w:color="auto" w:fill="CCEEFF"/>
          </w:tcPr>
          <w:p>
            <w:pPr>
              <w:ind w:left="260"/>
              <w:spacing w:after="0" w:line="128" w:lineRule="exact"/>
              <w:rPr>
                <w:sz w:val="20"/>
                <w:szCs w:val="20"/>
                <w:color w:val="auto"/>
              </w:rPr>
            </w:pPr>
            <w:r>
              <w:rPr>
                <w:rFonts w:ascii="Times New Roman" w:cs="Times New Roman" w:eastAsia="Times New Roman" w:hAnsi="Times New Roman"/>
                <w:sz w:val="13"/>
                <w:szCs w:val="13"/>
                <w:color w:val="auto"/>
              </w:rPr>
              <w:t>April 30, 2024 and January 31, 2024; 45,632,347 and 46,661,531 shares issued and outstanding as of April 30, 2024 and January 31, 2024,</w:t>
            </w:r>
          </w:p>
        </w:tc>
        <w:tc>
          <w:tcPr>
            <w:tcW w:w="3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70"/>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respectively</w:t>
            </w:r>
          </w:p>
        </w:tc>
        <w:tc>
          <w:tcPr>
            <w:tcW w:w="30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5,310,417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5,228,756</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Accumulated other comprehensive (loss) income</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(17,490)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Retained earnings</w:t>
            </w: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3,005,588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2,789,280</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stockholders’ equity</w:t>
            </w: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8,298,824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8,019,406</w:t>
            </w:r>
          </w:p>
        </w:tc>
        <w:tc>
          <w:tcPr>
            <w:tcW w:w="0" w:type="dxa"/>
            <w:vAlign w:val="bottom"/>
          </w:tcPr>
          <w:p>
            <w:pPr>
              <w:spacing w:after="0"/>
              <w:rPr>
                <w:sz w:val="1"/>
                <w:szCs w:val="1"/>
                <w:color w:val="auto"/>
              </w:rPr>
            </w:pPr>
          </w:p>
        </w:tc>
      </w:tr>
      <w:tr>
        <w:trPr>
          <w:trHeight w:val="158"/>
        </w:trPr>
        <w:tc>
          <w:tcPr>
            <w:tcW w:w="78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10,296,630</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9,929,793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8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7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1,141,234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1,105,364</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273,302</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263,947</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867,932</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841,417</w:t>
            </w:r>
          </w:p>
        </w:tc>
        <w:tc>
          <w:tcPr>
            <w:tcW w:w="0" w:type="dxa"/>
            <w:vAlign w:val="bottom"/>
          </w:tcPr>
          <w:p>
            <w:pPr>
              <w:spacing w:after="0"/>
              <w:rPr>
                <w:sz w:val="1"/>
                <w:szCs w:val="1"/>
                <w:color w:val="auto"/>
              </w:rPr>
            </w:pPr>
          </w:p>
        </w:tc>
      </w:tr>
      <w:tr>
        <w:trPr>
          <w:trHeight w:val="160"/>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205,558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209,271</w:t>
            </w:r>
          </w:p>
        </w:tc>
        <w:tc>
          <w:tcPr>
            <w:tcW w:w="0" w:type="dxa"/>
            <w:vAlign w:val="bottom"/>
          </w:tcPr>
          <w:p>
            <w:pPr>
              <w:spacing w:after="0"/>
              <w:rPr>
                <w:sz w:val="1"/>
                <w:szCs w:val="1"/>
                <w:color w:val="auto"/>
              </w:rPr>
            </w:pPr>
          </w:p>
        </w:tc>
      </w:tr>
      <w:tr>
        <w:trPr>
          <w:trHeight w:val="180"/>
        </w:trPr>
        <w:tc>
          <w:tcPr>
            <w:tcW w:w="7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Sales and marketing</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348,008</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422,504</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111,344</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199,900</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664,910</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831,675</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203,022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9,742</w:t>
            </w:r>
          </w:p>
        </w:tc>
        <w:tc>
          <w:tcPr>
            <w:tcW w:w="0" w:type="dxa"/>
            <w:vAlign w:val="bottom"/>
          </w:tcPr>
          <w:p>
            <w:pPr>
              <w:spacing w:after="0"/>
              <w:rPr>
                <w:sz w:val="1"/>
                <w:szCs w:val="1"/>
                <w:color w:val="auto"/>
              </w:rPr>
            </w:pPr>
          </w:p>
        </w:tc>
      </w:tr>
      <w:tr>
        <w:trPr>
          <w:trHeight w:val="180"/>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Gains on strategic investments, net</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71,588</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31,213</w:t>
            </w:r>
          </w:p>
        </w:tc>
        <w:tc>
          <w:tcPr>
            <w:tcW w:w="0" w:type="dxa"/>
            <w:vAlign w:val="bottom"/>
          </w:tcPr>
          <w:p>
            <w:pPr>
              <w:spacing w:after="0"/>
              <w:rPr>
                <w:sz w:val="1"/>
                <w:szCs w:val="1"/>
                <w:color w:val="auto"/>
              </w:rPr>
            </w:pPr>
          </w:p>
        </w:tc>
      </w:tr>
      <w:tr>
        <w:trPr>
          <w:trHeight w:val="171"/>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291,964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43,230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75,656</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27,786</w:t>
            </w:r>
          </w:p>
        </w:tc>
        <w:tc>
          <w:tcPr>
            <w:tcW w:w="0" w:type="dxa"/>
            <w:vAlign w:val="bottom"/>
          </w:tcPr>
          <w:p>
            <w:pPr>
              <w:spacing w:after="0"/>
              <w:rPr>
                <w:sz w:val="1"/>
                <w:szCs w:val="1"/>
                <w:color w:val="auto"/>
              </w:rPr>
            </w:pPr>
          </w:p>
        </w:tc>
      </w:tr>
      <w:tr>
        <w:trPr>
          <w:trHeight w:val="150"/>
        </w:trPr>
        <w:tc>
          <w:tcPr>
            <w:tcW w:w="786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216,308</w:t>
            </w: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15,444</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per share:</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80" w:type="dxa"/>
            <w:vAlign w:val="bottom"/>
          </w:tcPr>
          <w:p>
            <w:pPr>
              <w:spacing w:after="0"/>
              <w:rPr>
                <w:sz w:val="15"/>
                <w:szCs w:val="15"/>
                <w:color w:val="auto"/>
              </w:rPr>
            </w:pPr>
          </w:p>
        </w:tc>
        <w:tc>
          <w:tcPr>
            <w:tcW w:w="7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Weighted-average shares used in computing net income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8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308,700,582</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295,409,207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315,360,678</w:t>
            </w:r>
          </w:p>
        </w:tc>
        <w:tc>
          <w:tcPr>
            <w:tcW w:w="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304,115,913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8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960" w:type="dxa"/>
            <w:vAlign w:val="bottom"/>
            <w:tcBorders>
              <w:bottom w:val="single" w:sz="8" w:color="auto"/>
            </w:tcBorders>
          </w:tcPr>
          <w:p>
            <w:pPr>
              <w:spacing w:after="0"/>
              <w:rPr>
                <w:sz w:val="13"/>
                <w:szCs w:val="13"/>
                <w:color w:val="auto"/>
              </w:rPr>
            </w:pPr>
          </w:p>
        </w:tc>
      </w:tr>
      <w:tr>
        <w:trPr>
          <w:trHeight w:val="154"/>
        </w:trPr>
        <w:tc>
          <w:tcPr>
            <w:tcW w:w="78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7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216,308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15,444</w:t>
            </w:r>
          </w:p>
        </w:tc>
      </w:tr>
      <w:tr>
        <w:trPr>
          <w:trHeight w:val="180"/>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38"/>
        </w:trPr>
        <w:tc>
          <w:tcPr>
            <w:tcW w:w="786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4"/>
                <w:szCs w:val="14"/>
                <w:color w:val="auto"/>
              </w:rPr>
              <w:t>Unrealized (loss) gain on available-for-sale marketable securities, net of income tax benefit (expense) of $5,692 and $(4,674) for the</w:t>
            </w: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91"/>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three months ended April 30, 2024 and 2023, respectively</w:t>
            </w:r>
          </w:p>
        </w:tc>
        <w:tc>
          <w:tcPr>
            <w:tcW w:w="9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(18,553)</w:t>
            </w: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15,514</w:t>
            </w:r>
          </w:p>
        </w:tc>
      </w:tr>
      <w:tr>
        <w:trPr>
          <w:trHeight w:val="171"/>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96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197,755</w:t>
            </w: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30,958</w:t>
            </w:r>
          </w:p>
        </w:tc>
      </w:tr>
      <w:tr>
        <w:trPr>
          <w:trHeight w:val="20"/>
        </w:trPr>
        <w:tc>
          <w:tcPr>
            <w:tcW w:w="7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1"/>
                <w:szCs w:val="11"/>
                <w:b w:val="1"/>
                <w:bCs w:val="1"/>
                <w:color w:val="auto"/>
              </w:rPr>
              <w:t>Three Months Ended April 30, 2024</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9"/>
                <w:szCs w:val="9"/>
                <w:color w:val="auto"/>
              </w:rPr>
            </w:pPr>
          </w:p>
        </w:tc>
        <w:tc>
          <w:tcPr>
            <w:tcW w:w="12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vMerge w:val="restart"/>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4240" w:type="dxa"/>
            <w:vAlign w:val="bottom"/>
          </w:tcPr>
          <w:p>
            <w:pPr>
              <w:spacing w:after="0"/>
              <w:rPr>
                <w:sz w:val="9"/>
                <w:szCs w:val="9"/>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240" w:type="dxa"/>
            <w:vAlign w:val="bottom"/>
          </w:tcPr>
          <w:p>
            <w:pPr>
              <w:spacing w:after="0"/>
              <w:rPr>
                <w:sz w:val="8"/>
                <w:szCs w:val="8"/>
                <w:color w:val="auto"/>
              </w:rPr>
            </w:pPr>
          </w:p>
        </w:tc>
        <w:tc>
          <w:tcPr>
            <w:tcW w:w="1380" w:type="dxa"/>
            <w:vAlign w:val="bottom"/>
            <w:tcBorders>
              <w:bottom w:val="single" w:sz="8" w:color="auto"/>
            </w:tcBorders>
            <w:gridSpan w:val="3"/>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8"/>
                <w:szCs w:val="8"/>
                <w:color w:val="auto"/>
              </w:rPr>
            </w:pPr>
          </w:p>
        </w:tc>
        <w:tc>
          <w:tcPr>
            <w:tcW w:w="128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jc w:val="center"/>
              <w:ind w:right="123"/>
              <w:spacing w:after="0" w:line="9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4"/>
        </w:trPr>
        <w:tc>
          <w:tcPr>
            <w:tcW w:w="4240" w:type="dxa"/>
            <w:vAlign w:val="bottom"/>
          </w:tcPr>
          <w:p>
            <w:pPr>
              <w:spacing w:after="0"/>
              <w:rPr>
                <w:sz w:val="13"/>
                <w:szCs w:val="13"/>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80" w:type="dxa"/>
            <w:vAlign w:val="bottom"/>
          </w:tcPr>
          <w:p>
            <w:pPr>
              <w:spacing w:after="0"/>
              <w:rPr>
                <w:sz w:val="13"/>
                <w:szCs w:val="13"/>
                <w:color w:val="auto"/>
              </w:rPr>
            </w:pPr>
          </w:p>
        </w:tc>
        <w:tc>
          <w:tcPr>
            <w:tcW w:w="110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January 31, 2024</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307,558,353</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5,228,756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1,063</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2,789,280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8,019,406</w:t>
            </w:r>
          </w:p>
        </w:tc>
        <w:tc>
          <w:tcPr>
            <w:tcW w:w="0" w:type="dxa"/>
            <w:vAlign w:val="bottom"/>
          </w:tcPr>
          <w:p>
            <w:pPr>
              <w:spacing w:after="0"/>
              <w:rPr>
                <w:sz w:val="1"/>
                <w:szCs w:val="1"/>
                <w:color w:val="auto"/>
              </w:rPr>
            </w:pPr>
          </w:p>
        </w:tc>
      </w:tr>
      <w:tr>
        <w:trPr>
          <w:trHeight w:val="153"/>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109,464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1,016</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4,001,172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(2,400,305)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(150,048)</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230,695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230,695</w:t>
            </w:r>
          </w:p>
        </w:tc>
        <w:tc>
          <w:tcPr>
            <w:tcW w:w="0" w:type="dxa"/>
            <w:vAlign w:val="bottom"/>
          </w:tcPr>
          <w:p>
            <w:pPr>
              <w:spacing w:after="0"/>
              <w:rPr>
                <w:sz w:val="1"/>
                <w:szCs w:val="1"/>
                <w:color w:val="auto"/>
              </w:rPr>
            </w:pPr>
          </w:p>
        </w:tc>
      </w:tr>
      <w:tr>
        <w:trPr>
          <w:trHeight w:val="153"/>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(18,553)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(18,553)</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216,308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216,308</w:t>
            </w:r>
          </w:p>
        </w:tc>
        <w:tc>
          <w:tcPr>
            <w:tcW w:w="0" w:type="dxa"/>
            <w:vAlign w:val="bottom"/>
          </w:tcPr>
          <w:p>
            <w:pPr>
              <w:spacing w:after="0"/>
              <w:rPr>
                <w:sz w:val="1"/>
                <w:szCs w:val="1"/>
                <w:color w:val="auto"/>
              </w:rPr>
            </w:pPr>
          </w:p>
        </w:tc>
      </w:tr>
      <w:tr>
        <w:trPr>
          <w:trHeight w:val="144"/>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as of April 30, 2024</w:t>
            </w: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309,268,684</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309</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5,310,417</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(17,490)</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3,005,588</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8,298,824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2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1"/>
                <w:szCs w:val="11"/>
                <w:b w:val="1"/>
                <w:bCs w:val="1"/>
                <w:color w:val="auto"/>
              </w:rPr>
              <w:t>Three Months Ended April 30, 2023</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97"/>
        </w:trPr>
        <w:tc>
          <w:tcPr>
            <w:tcW w:w="4240" w:type="dxa"/>
            <w:vAlign w:val="bottom"/>
          </w:tcPr>
          <w:p>
            <w:pPr>
              <w:spacing w:after="0"/>
              <w:rPr>
                <w:sz w:val="8"/>
                <w:szCs w:val="8"/>
                <w:color w:val="auto"/>
              </w:rPr>
            </w:pPr>
          </w:p>
        </w:tc>
        <w:tc>
          <w:tcPr>
            <w:tcW w:w="1380" w:type="dxa"/>
            <w:vAlign w:val="bottom"/>
            <w:tcBorders>
              <w:bottom w:val="single" w:sz="8" w:color="auto"/>
            </w:tcBorders>
            <w:gridSpan w:val="3"/>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8"/>
                <w:szCs w:val="8"/>
                <w:color w:val="auto"/>
              </w:rPr>
            </w:pPr>
          </w:p>
        </w:tc>
        <w:tc>
          <w:tcPr>
            <w:tcW w:w="128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jc w:val="center"/>
              <w:ind w:right="123"/>
              <w:spacing w:after="0" w:line="9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4"/>
        </w:trPr>
        <w:tc>
          <w:tcPr>
            <w:tcW w:w="4240" w:type="dxa"/>
            <w:vAlign w:val="bottom"/>
          </w:tcPr>
          <w:p>
            <w:pPr>
              <w:spacing w:after="0"/>
              <w:rPr>
                <w:sz w:val="13"/>
                <w:szCs w:val="13"/>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80" w:type="dxa"/>
            <w:vAlign w:val="bottom"/>
          </w:tcPr>
          <w:p>
            <w:pPr>
              <w:spacing w:after="0"/>
              <w:rPr>
                <w:sz w:val="13"/>
                <w:szCs w:val="13"/>
                <w:color w:val="auto"/>
              </w:rPr>
            </w:pPr>
          </w:p>
        </w:tc>
        <w:tc>
          <w:tcPr>
            <w:tcW w:w="110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January 31, 2023</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293,822,850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4,104,880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(50,385)</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2,151,818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6,206,607</w:t>
            </w:r>
          </w:p>
        </w:tc>
        <w:tc>
          <w:tcPr>
            <w:tcW w:w="0" w:type="dxa"/>
            <w:vAlign w:val="bottom"/>
          </w:tcPr>
          <w:p>
            <w:pPr>
              <w:spacing w:after="0"/>
              <w:rPr>
                <w:sz w:val="1"/>
                <w:szCs w:val="1"/>
                <w:color w:val="auto"/>
              </w:rPr>
            </w:pPr>
          </w:p>
        </w:tc>
      </w:tr>
      <w:tr>
        <w:trPr>
          <w:trHeight w:val="153"/>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501,968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4,269</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3,130,908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282,273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282,273</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15,514</w:t>
            </w:r>
          </w:p>
        </w:tc>
        <w:tc>
          <w:tcPr>
            <w:tcW w:w="0" w:type="dxa"/>
            <w:vAlign w:val="bottom"/>
          </w:tcPr>
          <w:p>
            <w:pPr>
              <w:spacing w:after="0"/>
              <w:rPr>
                <w:sz w:val="1"/>
                <w:szCs w:val="1"/>
                <w:color w:val="auto"/>
              </w:rPr>
            </w:pPr>
          </w:p>
        </w:tc>
      </w:tr>
      <w:tr>
        <w:trPr>
          <w:trHeight w:val="153"/>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15,444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15,444</w:t>
            </w:r>
          </w:p>
        </w:tc>
        <w:tc>
          <w:tcPr>
            <w:tcW w:w="0" w:type="dxa"/>
            <w:vAlign w:val="bottom"/>
          </w:tcPr>
          <w:p>
            <w:pPr>
              <w:spacing w:after="0"/>
              <w:rPr>
                <w:sz w:val="1"/>
                <w:szCs w:val="1"/>
                <w:color w:val="auto"/>
              </w:rPr>
            </w:pPr>
          </w:p>
        </w:tc>
      </w:tr>
      <w:tr>
        <w:trPr>
          <w:trHeight w:val="175"/>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April 30, 2023</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297,455,726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4,391,418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(34,871)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2,167,262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6,524,107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250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56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r>
      <w:tr>
        <w:trPr>
          <w:trHeight w:val="14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53"/>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216,308</w:t>
            </w:r>
          </w:p>
        </w:tc>
        <w:tc>
          <w:tcPr>
            <w:tcW w:w="120" w:type="dxa"/>
            <w:vAlign w:val="bottom"/>
          </w:tcPr>
          <w:p>
            <w:pPr>
              <w:spacing w:after="0"/>
              <w:rPr>
                <w:sz w:val="13"/>
                <w:szCs w:val="13"/>
                <w:color w:val="auto"/>
              </w:rPr>
            </w:pPr>
          </w:p>
        </w:tc>
        <w:tc>
          <w:tcPr>
            <w:tcW w:w="900" w:type="dxa"/>
            <w:vAlign w:val="bottom"/>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15,444</w:t>
            </w:r>
          </w:p>
        </w:tc>
      </w:tr>
      <w:tr>
        <w:trPr>
          <w:trHeight w:val="1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92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229,425</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282,345</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deferred contract acquisition costs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68,125</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73,230</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92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26,667</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24,076</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income taxes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(7,952)</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21,511</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Gains on strategic investments, net</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(17,354)</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(2,275)</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Provision for accounts receivable allowances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6,782</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15,433</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Unrealized foreign exchange losses</w:t>
            </w:r>
          </w:p>
        </w:tc>
        <w:tc>
          <w:tcPr>
            <w:tcW w:w="92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7,237</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3,316</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Non-cash operating lease cost</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5,368</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5,381</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 of discount/premium on marketable securities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(17,668)</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(6,765)</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(5,471)</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5"/>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Accounts receivable</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12,260</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(29,101)</w:t>
            </w:r>
          </w:p>
        </w:tc>
      </w:tr>
      <w:tr>
        <w:trPr>
          <w:trHeight w:val="153"/>
        </w:trPr>
        <w:tc>
          <w:tcPr>
            <w:tcW w:w="82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92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35,839</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(6,659)</w:t>
            </w:r>
          </w:p>
        </w:tc>
      </w:tr>
      <w:tr>
        <w:trPr>
          <w:trHeight w:val="165"/>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Deferred contract acquisition costs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(40,128)</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(46,338)</w:t>
            </w:r>
          </w:p>
        </w:tc>
      </w:tr>
      <w:tr>
        <w:trPr>
          <w:trHeight w:val="153"/>
        </w:trPr>
        <w:tc>
          <w:tcPr>
            <w:tcW w:w="82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Accounts payable</w:t>
            </w:r>
          </w:p>
        </w:tc>
        <w:tc>
          <w:tcPr>
            <w:tcW w:w="92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7,276</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1,881</w:t>
            </w:r>
          </w:p>
        </w:tc>
      </w:tr>
      <w:tr>
        <w:trPr>
          <w:trHeight w:val="165"/>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(14,942)</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24,640</w:t>
            </w:r>
          </w:p>
        </w:tc>
      </w:tr>
      <w:tr>
        <w:trPr>
          <w:trHeight w:val="153"/>
        </w:trPr>
        <w:tc>
          <w:tcPr>
            <w:tcW w:w="82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Deferred revenue</w:t>
            </w:r>
          </w:p>
        </w:tc>
        <w:tc>
          <w:tcPr>
            <w:tcW w:w="92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77,964</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53,340</w:t>
            </w:r>
          </w:p>
        </w:tc>
      </w:tr>
      <w:tr>
        <w:trPr>
          <w:trHeight w:val="165"/>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Operating lease liabilities, net</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(7,114)</w:t>
            </w:r>
          </w:p>
        </w:tc>
        <w:tc>
          <w:tcPr>
            <w:tcW w:w="1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(5,501)</w:t>
            </w:r>
          </w:p>
        </w:tc>
      </w:tr>
      <w:tr>
        <w:trPr>
          <w:trHeight w:val="144"/>
        </w:trPr>
        <w:tc>
          <w:tcPr>
            <w:tcW w:w="8220" w:type="dxa"/>
            <w:vAlign w:val="bottom"/>
          </w:tcPr>
          <w:p>
            <w:pPr>
              <w:ind w:left="6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92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588,191</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418,487</w:t>
            </w:r>
          </w:p>
        </w:tc>
      </w:tr>
      <w:tr>
        <w:trPr>
          <w:trHeight w:val="1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Purchases of marketable securities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(867,911)</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(768,230)</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Maturities of marketable securities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776,941</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559,686</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(18,508)</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(21,826)</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Purchases of strategic investments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(51,000)</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Proceeds from strategic investments</w:t>
            </w:r>
          </w:p>
        </w:tc>
        <w:tc>
          <w:tcPr>
            <w:tcW w:w="92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4,654</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Cash paid for acquisition, net of cash acquired</w:t>
            </w:r>
          </w:p>
        </w:tc>
        <w:tc>
          <w:tcPr>
            <w:tcW w:w="9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(199,416)</w:t>
            </w:r>
          </w:p>
        </w:tc>
      </w:tr>
      <w:tr>
        <w:trPr>
          <w:trHeight w:val="144"/>
        </w:trPr>
        <w:tc>
          <w:tcPr>
            <w:tcW w:w="8220" w:type="dxa"/>
            <w:vAlign w:val="bottom"/>
          </w:tcPr>
          <w:p>
            <w:pPr>
              <w:ind w:left="62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(107,824)</w:t>
            </w: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(480,786)</w:t>
            </w:r>
          </w:p>
        </w:tc>
      </w:tr>
      <w:tr>
        <w:trPr>
          <w:trHeight w:val="1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92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1,016</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4,268</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Proceeds from employee equity transactions to be remitted to employees and tax authorities, net</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6,581</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2,751</w:t>
            </w:r>
          </w:p>
        </w:tc>
      </w:tr>
      <w:tr>
        <w:trPr>
          <w:trHeight w:val="153"/>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Cash paid for repurchases of common stock</w:t>
            </w: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(150,048)</w:t>
            </w: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8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Net cash (used in) provided by financing activities</w:t>
            </w: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(142,451)</w:t>
            </w: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7,019</w:t>
            </w:r>
          </w:p>
        </w:tc>
      </w:tr>
      <w:tr>
        <w:trPr>
          <w:trHeight w:val="1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 cash equivalents, and restricted cash</w:t>
            </w: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(6,852)</w:t>
            </w: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(2,553)</w:t>
            </w:r>
          </w:p>
        </w:tc>
      </w:tr>
      <w:tr>
        <w:trPr>
          <w:trHeight w:val="15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increase (decrease) in cash, cash equivalents, and restricted cash</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331,064</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(57,833)</w:t>
            </w:r>
          </w:p>
        </w:tc>
      </w:tr>
      <w:tr>
        <w:trPr>
          <w:trHeight w:val="15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 beginning of period</w:t>
            </w: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1,565,380</w:t>
            </w: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1,100,243</w:t>
            </w:r>
          </w:p>
        </w:tc>
      </w:tr>
      <w:tr>
        <w:trPr>
          <w:trHeight w:val="17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 end of period</w:t>
            </w:r>
          </w:p>
        </w:tc>
        <w:tc>
          <w:tcPr>
            <w:tcW w:w="92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1,896,444</w:t>
            </w: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1,042,410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32"/>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08"/>
        </w:trPr>
        <w:tc>
          <w:tcPr>
            <w:tcW w:w="822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 within the condensed consolidated balance sheets to the amounts shown in the condensed consolidated</w:t>
            </w:r>
          </w:p>
        </w:tc>
        <w:tc>
          <w:tcPr>
            <w:tcW w:w="9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statements of cash flows above:</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920" w:type="dxa"/>
            <w:vAlign w:val="bottom"/>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1,885,603</w:t>
            </w:r>
          </w:p>
        </w:tc>
        <w:tc>
          <w:tcPr>
            <w:tcW w:w="120" w:type="dxa"/>
            <w:vAlign w:val="bottom"/>
          </w:tcPr>
          <w:p>
            <w:pPr>
              <w:spacing w:after="0"/>
              <w:rPr>
                <w:sz w:val="13"/>
                <w:szCs w:val="13"/>
                <w:color w:val="auto"/>
              </w:rPr>
            </w:pPr>
          </w:p>
        </w:tc>
        <w:tc>
          <w:tcPr>
            <w:tcW w:w="900" w:type="dxa"/>
            <w:vAlign w:val="bottom"/>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1,029,546</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Restricted cash, current included in prepaid expenses and other current assets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10,588</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12,610</w:t>
            </w:r>
          </w:p>
        </w:tc>
      </w:tr>
      <w:tr>
        <w:trPr>
          <w:trHeight w:val="153"/>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Restricted cash, noncurrent included in other assets, noncurrent</w:t>
            </w: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253</w:t>
            </w: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254</w:t>
            </w:r>
          </w:p>
        </w:tc>
      </w:tr>
      <w:tr>
        <w:trPr>
          <w:trHeight w:val="175"/>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92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1,896,444</w:t>
            </w: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1,042,410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p>
      <w:pPr>
        <w:ind w:left="520" w:hanging="515"/>
        <w:spacing w:after="0"/>
        <w:tabs>
          <w:tab w:leader="none" w:pos="52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Business and Significant Accounting Policies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Zoom Video Communications, Inc. and its subsidiaries (collectively, “Zoom,” the “Company,” “we,” “us,” or “our”) provide a workplace collaboration platform that connects people through frictionless and secure meetings, phone, chat, content sharing and more. We were incorporated in the state of Delaware in April 2011, and are headquartered in San Jose, California.</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Fiscal Year</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fiscal year ends on January 31. References to fiscal year 2025, for example, refer to the fiscal year ending January 31, 2025.</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variable interest entities for which we are the primary beneficiary. All intercompany balances and transactions have been eliminated in consolidation.</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condensed consolidated balance sheet as of January 31, 2024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unaudited condensed consolidated financial statements should be read in conjunction with the audited consolidated financial statements and notes included in our Annual Report on Form 10-K for the year ended January 31, 2024, filed with the SEC on March 4, 2024.</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stock-based compensation expense, the fair value of marketable securities, acquired intangible assets and goodwill, the valuation of deferred income tax assets and uncertain tax positions, and accruals and contingencies. Actual results could materially differ from those estimates.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Summary of Significant Accounting Policies</w:t>
      </w:r>
    </w:p>
    <w:p>
      <w:pPr>
        <w:spacing w:after="0" w:line="96"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Our significant accounting policies are discussed in Note 1. “Summary of Business and Significant Accounting Policies” in the notes to consolidated financial statements included in our Annual Report on Form 10-K for the year ended January 31, 2024, filed with the SEC on March 4, 2024. Except for an update to our stock-based compensation policy covering our recently granted restricted stock units (“RSUs”) that contain both service and performance conditions as noted below, there have been no significant changes to these policies during the three months ended April 30, 2024.</w:t>
      </w:r>
    </w:p>
    <w:p>
      <w:pPr>
        <w:spacing w:after="0" w:line="3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Stock-Based Compensation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Stock-based compensation expense related to stock awards with only service conditions, including stock options, RSUs, and employee stock purchase plan (“ESPP”), are measured based on the fair value of the awards granted and recognized as an expense on a straight-line basis over the requisite service period. For RSU’s with service and performance conditions, expense is recognized over the requisite service period if it is probable the performance condition will be achieved. The probability of achievement is assessed quarterly, and the effect of any change in the estimated number of performance-based awards expected to vest is recognized in the period those estimates are revised as a cumulative catch-up adjustment to stock-based compensation expense.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fair value of each option and ESPP award is estimated on the grant date using the Black-Scholes option pricing model. The Black-Scholes option pricing model requires the use of assumptions, including the fair value of the underlying common stock, the expected term of the award, the expected volatility of the price of our common stock, risk-free interest rates, and the expected dividend yield of our common stock.</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fair value of each RSU award is based on the fair value of the underlying common stock as of the grant date.</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assumptions used to determine the fair value of the stock awards represent management’s best estimates. These estimates involve inherent uncertainties and the application of management’s judgment. We account for forfeitures as they occur instead of estimating the number of awards expected to be forfeited.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94"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which aims to improve financial reporting by requiring disclosure of incremental segment information on an annual and interim basis to enable investors to develop more decision-useful financial analyses. ASU 2023-07 is effective for fiscal years beginning after December 15, 2023 and interim periods within fiscal years beginning after December 15, 2024. Early adoption is permitted. This ASU will likely result in us including the additional required disclosures when adopted. We are currently evaluating the impact from the adoption of this ASU on our consolidated financial statements and will adopt it for the year ending January 31, 2025.</w:t>
      </w:r>
    </w:p>
    <w:p>
      <w:pPr>
        <w:spacing w:after="0" w:line="55"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aims to improve the transparency of income tax disclosures by requiring consistent categories and greater disaggregation of information in the rate reconciliation and income taxes paid disaggregated by jurisdiction. ASU 2023-09 is effective for fiscal years beginning after December 15, 2024 and early adoption is permitted. We are currently evaluating the impact from the adoption of this ASU on our consolidated financial statements.</w:t>
      </w:r>
    </w:p>
    <w:p>
      <w:pPr>
        <w:spacing w:after="0" w:line="10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r>
      <w:r>
        <w:rPr>
          <w:sz w:val="20"/>
          <w:szCs w:val="20"/>
          <w:color w:val="auto"/>
        </w:rPr>
        <w:tab/>
      </w:r>
      <w:r>
        <w:rPr>
          <w:rFonts w:ascii="Times New Roman" w:cs="Times New Roman" w:eastAsia="Times New Roman" w:hAnsi="Times New Roman"/>
          <w:sz w:val="13"/>
          <w:szCs w:val="13"/>
          <w:b w:val="1"/>
          <w:bCs w:val="1"/>
          <w:color w:val="auto"/>
        </w:rPr>
        <w:t>Revenue Recognition</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revenue by region based on the billing address of customers: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04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0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04"/>
        </w:trPr>
        <w:tc>
          <w:tcPr>
            <w:tcW w:w="6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jc w:val="right"/>
              <w:ind w:right="221"/>
              <w:spacing w:after="0" w:line="104"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restart"/>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jc w:val="right"/>
              <w:ind w:right="219"/>
              <w:spacing w:after="0" w:line="104"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53"/>
        </w:trPr>
        <w:tc>
          <w:tcPr>
            <w:tcW w:w="6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0" w:type="dxa"/>
            <w:vAlign w:val="bottom"/>
          </w:tcPr>
          <w:p>
            <w:pPr>
              <w:spacing w:after="0"/>
              <w:rPr>
                <w:sz w:val="1"/>
                <w:szCs w:val="1"/>
                <w:color w:val="auto"/>
              </w:rPr>
            </w:pPr>
          </w:p>
        </w:tc>
      </w:tr>
      <w:tr>
        <w:trPr>
          <w:trHeight w:val="346"/>
        </w:trPr>
        <w:tc>
          <w:tcPr>
            <w:tcW w:w="6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818,683</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784,597</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71.0 %</w:t>
            </w:r>
          </w:p>
        </w:tc>
        <w:tc>
          <w:tcPr>
            <w:tcW w:w="0" w:type="dxa"/>
            <w:vAlign w:val="bottom"/>
          </w:tcPr>
          <w:p>
            <w:pPr>
              <w:spacing w:after="0"/>
              <w:rPr>
                <w:sz w:val="1"/>
                <w:szCs w:val="1"/>
                <w:color w:val="auto"/>
              </w:rPr>
            </w:pPr>
          </w:p>
        </w:tc>
      </w:tr>
      <w:tr>
        <w:trPr>
          <w:trHeight w:val="297"/>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 (“APAC”)</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138,314</w:t>
            </w:r>
          </w:p>
        </w:tc>
        <w:tc>
          <w:tcPr>
            <w:tcW w:w="134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140,870</w:t>
            </w:r>
          </w:p>
        </w:tc>
        <w:tc>
          <w:tcPr>
            <w:tcW w:w="136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9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 Middle East, and Africa (“EMEA”)</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184,237</w:t>
            </w:r>
          </w:p>
        </w:tc>
        <w:tc>
          <w:tcPr>
            <w:tcW w:w="13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179,897</w:t>
            </w:r>
          </w:p>
        </w:tc>
        <w:tc>
          <w:tcPr>
            <w:tcW w:w="136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71"/>
        </w:trPr>
        <w:tc>
          <w:tcPr>
            <w:tcW w:w="6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1,141,234</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1,105,364</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was $137.7 million and $124.8 million as of April 30, 2024 and January 31, 2024, respectively, and the amount of unbilled accounts receivable included within other assets, noncurrent was immaterial as of April 30, 2024 and January 31, 2024.</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April 30, 2024 and 2023 that was included in deferred revenue at the beginning of each period was $592.5 million and $576.8 million, respectively.</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terms of our subscription agreements are monthly, annual, and multiyear, and we may bill for the full term in advance or on an annual, quarterly, or monthly basis, depending on the billing terms with customers. As of April 30, 2024, the aggregate amount of the transaction price allocated to our remaining performance obligations was $3,665.7 million, which consists of both billed consideration in the amount of $1,352.2 million and unbilled consideration in the amount of $2,313.5 million that we expect to recognize as revenue. We expect to recognize 59% of our remaining performance obligations as revenue over the next 12 months and the remainder thereafter.</w:t>
      </w:r>
    </w:p>
    <w:p>
      <w:pPr>
        <w:spacing w:after="0" w:line="13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3"/>
          <w:szCs w:val="13"/>
          <w:b w:val="1"/>
          <w:bCs w:val="1"/>
          <w:color w:val="auto"/>
        </w:rPr>
        <w:t>Investments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April 30, 2024 and January 31, 2024, our marketable securities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As of April 30, 2024</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240" w:type="dxa"/>
            <w:vAlign w:val="bottom"/>
          </w:tcPr>
          <w:p>
            <w:pPr>
              <w:spacing w:after="0"/>
              <w:rPr>
                <w:sz w:val="9"/>
                <w:szCs w:val="9"/>
                <w:color w:val="auto"/>
              </w:rPr>
            </w:pPr>
          </w:p>
        </w:tc>
        <w:tc>
          <w:tcPr>
            <w:tcW w:w="118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9"/>
                <w:szCs w:val="9"/>
                <w:color w:val="auto"/>
              </w:rPr>
            </w:pPr>
          </w:p>
        </w:tc>
        <w:tc>
          <w:tcPr>
            <w:tcW w:w="1060" w:type="dxa"/>
            <w:vAlign w:val="bottom"/>
            <w:gridSpan w:val="2"/>
          </w:tcPr>
          <w:p>
            <w:pPr>
              <w:jc w:val="center"/>
              <w:ind w:right="420"/>
              <w:spacing w:after="0" w:line="108" w:lineRule="exact"/>
              <w:rPr>
                <w:sz w:val="20"/>
                <w:szCs w:val="20"/>
                <w:color w:val="auto"/>
              </w:rPr>
            </w:pPr>
            <w:r>
              <w:rPr>
                <w:rFonts w:ascii="Times New Roman" w:cs="Times New Roman" w:eastAsia="Times New Roman" w:hAnsi="Times New Roman"/>
                <w:sz w:val="11"/>
                <w:szCs w:val="11"/>
                <w:b w:val="1"/>
                <w:bCs w:val="1"/>
                <w:color w:val="auto"/>
              </w:rPr>
              <w:t>Gross</w:t>
            </w:r>
          </w:p>
        </w:tc>
        <w:tc>
          <w:tcPr>
            <w:tcW w:w="260" w:type="dxa"/>
            <w:vAlign w:val="bottom"/>
          </w:tcPr>
          <w:p>
            <w:pPr>
              <w:spacing w:after="0"/>
              <w:rPr>
                <w:sz w:val="9"/>
                <w:szCs w:val="9"/>
                <w:color w:val="auto"/>
              </w:rPr>
            </w:pPr>
          </w:p>
        </w:tc>
        <w:tc>
          <w:tcPr>
            <w:tcW w:w="1060" w:type="dxa"/>
            <w:vAlign w:val="bottom"/>
          </w:tcPr>
          <w:p>
            <w:pPr>
              <w:jc w:val="center"/>
              <w:ind w:right="194"/>
              <w:spacing w:after="0" w:line="108"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15"/>
        </w:trPr>
        <w:tc>
          <w:tcPr>
            <w:tcW w:w="5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9"/>
                <w:szCs w:val="9"/>
                <w:color w:val="auto"/>
              </w:rPr>
            </w:pPr>
          </w:p>
        </w:tc>
        <w:tc>
          <w:tcPr>
            <w:tcW w:w="1060" w:type="dxa"/>
            <w:vAlign w:val="bottom"/>
            <w:gridSpan w:val="2"/>
          </w:tcPr>
          <w:p>
            <w:pPr>
              <w:jc w:val="center"/>
              <w:ind w:right="44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60" w:type="dxa"/>
            <w:vAlign w:val="bottom"/>
          </w:tcPr>
          <w:p>
            <w:pPr>
              <w:spacing w:after="0"/>
              <w:rPr>
                <w:sz w:val="9"/>
                <w:szCs w:val="9"/>
                <w:color w:val="auto"/>
              </w:rPr>
            </w:pPr>
          </w:p>
        </w:tc>
        <w:tc>
          <w:tcPr>
            <w:tcW w:w="1060" w:type="dxa"/>
            <w:vAlign w:val="bottom"/>
          </w:tcPr>
          <w:p>
            <w:pPr>
              <w:jc w:val="center"/>
              <w:ind w:right="194"/>
              <w:spacing w:after="0" w:line="115"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55"/>
        </w:trPr>
        <w:tc>
          <w:tcPr>
            <w:tcW w:w="5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6"/>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3"/>
          </w:tcPr>
          <w:p>
            <w:pPr>
              <w:jc w:val="center"/>
              <w:ind w:left="67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19,737</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1,752,707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1,746,249</w:t>
            </w: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652,318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649,789</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3,032,764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3,018,280</w:t>
            </w: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54,682</w:t>
            </w:r>
          </w:p>
        </w:tc>
        <w:tc>
          <w:tcPr>
            <w:tcW w:w="0" w:type="dxa"/>
            <w:vAlign w:val="bottom"/>
          </w:tcPr>
          <w:p>
            <w:pPr>
              <w:spacing w:after="0"/>
              <w:rPr>
                <w:sz w:val="1"/>
                <w:szCs w:val="1"/>
                <w:color w:val="auto"/>
              </w:rPr>
            </w:pPr>
          </w:p>
        </w:tc>
      </w:tr>
      <w:tr>
        <w:trPr>
          <w:trHeight w:val="171"/>
        </w:trPr>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5,512,253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5,488,737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As of January 31, 2024</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5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240" w:type="dxa"/>
            <w:vAlign w:val="bottom"/>
          </w:tcPr>
          <w:p>
            <w:pPr>
              <w:spacing w:after="0"/>
              <w:rPr>
                <w:sz w:val="9"/>
                <w:szCs w:val="9"/>
                <w:color w:val="auto"/>
              </w:rPr>
            </w:pPr>
          </w:p>
        </w:tc>
        <w:tc>
          <w:tcPr>
            <w:tcW w:w="1180" w:type="dxa"/>
            <w:vAlign w:val="bottom"/>
            <w:gridSpan w:val="2"/>
          </w:tcPr>
          <w:p>
            <w:pPr>
              <w:jc w:val="center"/>
              <w:ind w:right="340"/>
              <w:spacing w:after="0" w:line="106" w:lineRule="exact"/>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9"/>
                <w:szCs w:val="9"/>
                <w:color w:val="auto"/>
              </w:rPr>
            </w:pPr>
          </w:p>
        </w:tc>
        <w:tc>
          <w:tcPr>
            <w:tcW w:w="1060" w:type="dxa"/>
            <w:vAlign w:val="bottom"/>
            <w:gridSpan w:val="2"/>
          </w:tcPr>
          <w:p>
            <w:pPr>
              <w:jc w:val="center"/>
              <w:ind w:right="420"/>
              <w:spacing w:after="0" w:line="106" w:lineRule="exact"/>
              <w:rPr>
                <w:sz w:val="20"/>
                <w:szCs w:val="20"/>
                <w:color w:val="auto"/>
              </w:rPr>
            </w:pPr>
            <w:r>
              <w:rPr>
                <w:rFonts w:ascii="Times New Roman" w:cs="Times New Roman" w:eastAsia="Times New Roman" w:hAnsi="Times New Roman"/>
                <w:sz w:val="11"/>
                <w:szCs w:val="11"/>
                <w:b w:val="1"/>
                <w:bCs w:val="1"/>
                <w:color w:val="auto"/>
              </w:rPr>
              <w:t>Gross</w:t>
            </w:r>
          </w:p>
        </w:tc>
        <w:tc>
          <w:tcPr>
            <w:tcW w:w="260" w:type="dxa"/>
            <w:vAlign w:val="bottom"/>
          </w:tcPr>
          <w:p>
            <w:pPr>
              <w:spacing w:after="0"/>
              <w:rPr>
                <w:sz w:val="9"/>
                <w:szCs w:val="9"/>
                <w:color w:val="auto"/>
              </w:rPr>
            </w:pPr>
          </w:p>
        </w:tc>
        <w:tc>
          <w:tcPr>
            <w:tcW w:w="1060" w:type="dxa"/>
            <w:vAlign w:val="bottom"/>
          </w:tcPr>
          <w:p>
            <w:pPr>
              <w:jc w:val="center"/>
              <w:ind w:right="194"/>
              <w:spacing w:after="0" w:line="106"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10"/>
                <w:szCs w:val="10"/>
                <w:color w:val="auto"/>
              </w:rPr>
            </w:pPr>
          </w:p>
        </w:tc>
        <w:tc>
          <w:tcPr>
            <w:tcW w:w="1060" w:type="dxa"/>
            <w:vAlign w:val="bottom"/>
            <w:gridSpan w:val="2"/>
          </w:tcPr>
          <w:p>
            <w:pPr>
              <w:jc w:val="center"/>
              <w:ind w:right="44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60" w:type="dxa"/>
            <w:vAlign w:val="bottom"/>
          </w:tcPr>
          <w:p>
            <w:pPr>
              <w:spacing w:after="0"/>
              <w:rPr>
                <w:sz w:val="10"/>
                <w:szCs w:val="10"/>
                <w:color w:val="auto"/>
              </w:rPr>
            </w:pPr>
          </w:p>
        </w:tc>
        <w:tc>
          <w:tcPr>
            <w:tcW w:w="1060" w:type="dxa"/>
            <w:vAlign w:val="bottom"/>
          </w:tcPr>
          <w:p>
            <w:pPr>
              <w:jc w:val="center"/>
              <w:ind w:right="194"/>
              <w:spacing w:after="0" w:line="117"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54"/>
        </w:trPr>
        <w:tc>
          <w:tcPr>
            <w:tcW w:w="5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7"/>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3"/>
          </w:tcPr>
          <w:p>
            <w:pPr>
              <w:jc w:val="center"/>
              <w:ind w:left="67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41,564</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1,667,601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1,666,683</w:t>
            </w: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663,159</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3,003,224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3,004,842</w:t>
            </w: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27,985</w:t>
            </w:r>
          </w:p>
        </w:tc>
        <w:tc>
          <w:tcPr>
            <w:tcW w:w="0" w:type="dxa"/>
            <w:vAlign w:val="bottom"/>
          </w:tcPr>
          <w:p>
            <w:pPr>
              <w:spacing w:after="0"/>
              <w:rPr>
                <w:sz w:val="1"/>
                <w:szCs w:val="1"/>
                <w:color w:val="auto"/>
              </w:rPr>
            </w:pPr>
          </w:p>
        </w:tc>
      </w:tr>
      <w:tr>
        <w:trPr>
          <w:trHeight w:val="171"/>
        </w:trPr>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5,403,503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11,446</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(10,716)</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5,404,233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Unrealized losses for securities that have been in an unrealized loss position for less than 12 months were $21.8 million and $6.0 million as of April 30, 2024 and January 31, 2024, respectively. Unrealized losses for securities that have been in an unrealized loss position for 12 months or longer were $1.9 million and $4.8 million as of April 30, 2024 and January 31, 2024, respectively.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loss for the three months ended April 30, 2024 and 2023.</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contractual maturities of our marketable securities as of April 30, 2024 and January 31,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3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April 30, 2024</w:t>
            </w:r>
          </w:p>
        </w:tc>
        <w:tc>
          <w:tcPr>
            <w:tcW w:w="10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than one year</w:t>
            </w: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3,017,465</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2,883,598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Due in one to five years</w:t>
            </w:r>
          </w:p>
        </w:tc>
        <w:tc>
          <w:tcPr>
            <w:tcW w:w="340" w:type="dxa"/>
            <w:vAlign w:val="bottom"/>
            <w:tcBorders>
              <w:bottom w:val="single" w:sz="8" w:color="CFF0FC"/>
            </w:tcBorders>
          </w:tcPr>
          <w:p>
            <w:pPr>
              <w:spacing w:after="0"/>
              <w:rPr>
                <w:sz w:val="15"/>
                <w:szCs w:val="15"/>
                <w:color w:val="auto"/>
              </w:rPr>
            </w:pPr>
          </w:p>
        </w:tc>
        <w:tc>
          <w:tcPr>
            <w:tcW w:w="13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50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2,471,272</w:t>
            </w:r>
          </w:p>
        </w:tc>
        <w:tc>
          <w:tcPr>
            <w:tcW w:w="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2,520,635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gridSpan w:val="2"/>
            <w:shd w:val="clear" w:color="auto" w:fill="CFF0FC"/>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5,488,737</w:t>
            </w:r>
          </w:p>
        </w:tc>
        <w:tc>
          <w:tcPr>
            <w:tcW w:w="4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gridSpan w:val="2"/>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5,404,233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bottom w:val="single" w:sz="8" w:color="CFF0FC"/>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tc>
        <w:tc>
          <w:tcPr>
            <w:tcW w:w="3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16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Strategic investments by form and measurement category as of April 30, 2024 were as follows:</w:t>
            </w: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4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ind w:left="960"/>
              <w:spacing w:after="0"/>
              <w:rPr>
                <w:sz w:val="20"/>
                <w:szCs w:val="20"/>
                <w:color w:val="auto"/>
              </w:rPr>
            </w:pPr>
            <w:r>
              <w:rPr>
                <w:rFonts w:ascii="Times New Roman" w:cs="Times New Roman" w:eastAsia="Times New Roman" w:hAnsi="Times New Roman"/>
                <w:sz w:val="11"/>
                <w:szCs w:val="11"/>
                <w:b w:val="1"/>
                <w:bCs w:val="1"/>
                <w:color w:val="auto"/>
              </w:rPr>
              <w:t>Measurement Category</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4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Measurement Alternative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Equity Method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299,651</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97,208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421,059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Strategic investments</w:t>
            </w: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299,651</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97,208</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424,923</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Strategic investments by form and measurement category as of January 31, 2024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1"/>
                <w:szCs w:val="11"/>
                <w:b w:val="1"/>
                <w:bCs w:val="1"/>
                <w:color w:val="auto"/>
              </w:rPr>
              <w:t>Measurement Category</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54"/>
        </w:trPr>
        <w:tc>
          <w:tcPr>
            <w:tcW w:w="442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Measurement Alternative</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Equity Method</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7"/>
        </w:trPr>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285,509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96,725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405,394</w:t>
            </w: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w:t>
            </w:r>
          </w:p>
        </w:tc>
      </w:tr>
      <w:tr>
        <w:trPr>
          <w:trHeight w:val="196"/>
        </w:trPr>
        <w:tc>
          <w:tcPr>
            <w:tcW w:w="4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Strategic investments</w:t>
            </w:r>
          </w:p>
        </w:tc>
        <w:tc>
          <w:tcPr>
            <w:tcW w:w="112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409,222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641"/>
        </w:trPr>
        <w:tc>
          <w:tcPr>
            <w:tcW w:w="4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7"/>
        </w:trPr>
        <w:tc>
          <w:tcPr>
            <w:tcW w:w="44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r>
      <w:r>
        <w:rPr>
          <w:sz w:val="20"/>
          <w:szCs w:val="20"/>
          <w:color w:val="auto"/>
        </w:rPr>
        <w:tab/>
      </w:r>
      <w:r>
        <w:rPr>
          <w:rFonts w:ascii="Times New Roman" w:cs="Times New Roman" w:eastAsia="Times New Roman" w:hAnsi="Times New Roman"/>
          <w:sz w:val="13"/>
          <w:szCs w:val="13"/>
          <w:b w:val="1"/>
          <w:bCs w:val="1"/>
          <w:color w:val="auto"/>
        </w:rPr>
        <w:t>Fair Value Measurements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As of April 30, 2024</w:t>
            </w: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54"/>
        </w:trPr>
        <w:tc>
          <w:tcPr>
            <w:tcW w:w="5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77"/>
        </w:trPr>
        <w:tc>
          <w:tcPr>
            <w:tcW w:w="5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5"/>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1,347,656</w:t>
            </w:r>
          </w:p>
        </w:tc>
        <w:tc>
          <w:tcPr>
            <w:tcW w:w="40" w:type="dxa"/>
            <w:vAlign w:val="bottom"/>
          </w:tcPr>
          <w:p>
            <w:pPr>
              <w:spacing w:after="0"/>
              <w:rPr>
                <w:sz w:val="15"/>
                <w:szCs w:val="15"/>
                <w:color w:val="auto"/>
              </w:rPr>
            </w:pPr>
          </w:p>
        </w:tc>
        <w:tc>
          <w:tcPr>
            <w:tcW w:w="3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1,347,656</w:t>
            </w:r>
          </w:p>
        </w:tc>
        <w:tc>
          <w:tcPr>
            <w:tcW w:w="40" w:type="dxa"/>
            <w:vAlign w:val="bottom"/>
          </w:tcPr>
          <w:p>
            <w:pPr>
              <w:spacing w:after="0"/>
              <w:rPr>
                <w:sz w:val="15"/>
                <w:szCs w:val="15"/>
                <w:color w:val="auto"/>
              </w:rPr>
            </w:pPr>
          </w:p>
        </w:tc>
        <w:tc>
          <w:tcPr>
            <w:tcW w:w="54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Cash equivalents</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1,400,951</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1,347,656</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53,295</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1,746,249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1,746,249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649,789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649,789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3,018,280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3,018,280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54,682</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54,682</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Marketable securities</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5,488,737</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5,488,737</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 included in other assets, noncurrent</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Publicly held equity securities included in strategic investments</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24,200</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24,200</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Privately held debt securities included in strategic investments</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40" w:type="dxa"/>
            <w:vAlign w:val="bottom"/>
            <w:tcBorders>
              <w:bottom w:val="single" w:sz="8" w:color="auto"/>
            </w:tcBorders>
            <w:shd w:val="clear" w:color="auto" w:fill="CCEEFF"/>
          </w:tcPr>
          <w:p>
            <w:pPr>
              <w:spacing w:after="0"/>
              <w:rPr>
                <w:sz w:val="14"/>
                <w:szCs w:val="14"/>
                <w:color w:val="auto"/>
              </w:rPr>
            </w:pPr>
          </w:p>
        </w:tc>
      </w:tr>
      <w:tr>
        <w:trPr>
          <w:trHeight w:val="17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financial assets</w:t>
            </w: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6,918,005</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1,371,856</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5,542,285</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40" w:type="dxa"/>
            <w:vAlign w:val="bottom"/>
            <w:tcBorders>
              <w:bottom w:val="single" w:sz="8" w:color="auto"/>
            </w:tcBorders>
          </w:tcPr>
          <w:p>
            <w:pPr>
              <w:spacing w:after="0"/>
              <w:rPr>
                <w:sz w:val="14"/>
                <w:szCs w:val="14"/>
                <w:color w:val="auto"/>
              </w:rPr>
            </w:pPr>
          </w:p>
        </w:tc>
      </w:tr>
      <w:tr>
        <w:trPr>
          <w:trHeight w:val="20"/>
        </w:trPr>
        <w:tc>
          <w:tcPr>
            <w:tcW w:w="5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6"/>
        </w:trPr>
        <w:tc>
          <w:tcPr>
            <w:tcW w:w="57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1"/>
                <w:szCs w:val="11"/>
                <w:b w:val="1"/>
                <w:bCs w:val="1"/>
                <w:color w:val="auto"/>
              </w:rPr>
              <w:t>As of January 31, 2024</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54"/>
        </w:trPr>
        <w:tc>
          <w:tcPr>
            <w:tcW w:w="57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w w:val="94"/>
              </w:rPr>
              <w:t>Level 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Pr>
          <w:p>
            <w:pPr>
              <w:spacing w:after="0"/>
              <w:rPr>
                <w:sz w:val="13"/>
                <w:szCs w:val="13"/>
                <w:color w:val="auto"/>
              </w:rPr>
            </w:pPr>
          </w:p>
        </w:tc>
      </w:tr>
      <w:tr>
        <w:trPr>
          <w:trHeight w:val="177"/>
        </w:trPr>
        <w:tc>
          <w:tcPr>
            <w:tcW w:w="5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5"/>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851,100</w:t>
            </w:r>
          </w:p>
        </w:tc>
        <w:tc>
          <w:tcPr>
            <w:tcW w:w="40" w:type="dxa"/>
            <w:vAlign w:val="bottom"/>
          </w:tcPr>
          <w:p>
            <w:pPr>
              <w:spacing w:after="0"/>
              <w:rPr>
                <w:sz w:val="15"/>
                <w:szCs w:val="15"/>
                <w:color w:val="auto"/>
              </w:rPr>
            </w:pPr>
          </w:p>
        </w:tc>
        <w:tc>
          <w:tcPr>
            <w:tcW w:w="36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851,100</w:t>
            </w:r>
          </w:p>
        </w:tc>
        <w:tc>
          <w:tcPr>
            <w:tcW w:w="40" w:type="dxa"/>
            <w:vAlign w:val="bottom"/>
          </w:tcPr>
          <w:p>
            <w:pPr>
              <w:spacing w:after="0"/>
              <w:rPr>
                <w:sz w:val="15"/>
                <w:szCs w:val="15"/>
                <w:color w:val="auto"/>
              </w:rPr>
            </w:pPr>
          </w:p>
        </w:tc>
        <w:tc>
          <w:tcPr>
            <w:tcW w:w="540" w:type="dxa"/>
            <w:vAlign w:val="bottom"/>
            <w:gridSpan w:val="3"/>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71"/>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Cash equivalents</w:t>
            </w: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974,599</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851,100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123,499</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1,666,683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1,666,683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663,159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663,159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3,004,842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3,004,842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71"/>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Marketable securities</w:t>
            </w: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5,404,233</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5,404,233</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 included in other assets, noncurrent</w:t>
            </w:r>
          </w:p>
        </w:tc>
        <w:tc>
          <w:tcPr>
            <w:tcW w:w="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Publicly held equity securities included in strategic investments</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23,160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23,160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Privately held debt securities included in strategic investments</w:t>
            </w:r>
          </w:p>
        </w:tc>
        <w:tc>
          <w:tcPr>
            <w:tcW w:w="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40" w:type="dxa"/>
            <w:vAlign w:val="bottom"/>
          </w:tcPr>
          <w:p>
            <w:pPr>
              <w:spacing w:after="0"/>
              <w:rPr>
                <w:sz w:val="14"/>
                <w:szCs w:val="14"/>
                <w:color w:val="auto"/>
              </w:rPr>
            </w:pPr>
          </w:p>
        </w:tc>
      </w:tr>
      <w:tr>
        <w:trPr>
          <w:trHeight w:val="17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financial assets</w:t>
            </w:r>
          </w:p>
        </w:tc>
        <w:tc>
          <w:tcPr>
            <w:tcW w:w="26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6,406,074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874,260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gridSpan w:val="2"/>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5,527,986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40" w:type="dxa"/>
            <w:vAlign w:val="bottom"/>
          </w:tcPr>
          <w:p>
            <w:pPr>
              <w:spacing w:after="0"/>
              <w:rPr>
                <w:sz w:val="14"/>
                <w:szCs w:val="14"/>
                <w:color w:val="auto"/>
              </w:rPr>
            </w:pPr>
          </w:p>
        </w:tc>
      </w:tr>
      <w:tr>
        <w:trPr>
          <w:trHeight w:val="20"/>
        </w:trPr>
        <w:tc>
          <w:tcPr>
            <w:tcW w:w="5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privately held debt securities as Level 3 due to the lack of relevant observable market data over fair value inputs, such as the probability weighting of the various scenarios that can impact settlement of the arrangement.</w:t>
      </w:r>
    </w:p>
    <w:p>
      <w:pPr>
        <w:spacing w:after="0" w:line="9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tab/>
        <w:t>Business Combinations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Workvivo Limited</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April 21, 2023, we acquired 100% of the issued and outstanding share capital of Workvivo Limited (“Workvivo”), a private technology company that provides an employee experience platform, for an all-cash purchase consideration of $221.8 million. The acquisition extends our platform and offers our customers new ways to keep employees informed, engaged, and connected. The acquisition has been accounted for as a business combination.</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allocating the purchase consideration, $184.7 million was attributed to goodwill, $28.0 million to intangible assets (primarily consisting of $10.8 million to developed technology and $17.0 million to customer relationships), and $9.1 million to other net assets acquired. The goodwill amount represents synergies related to our existing products expected to be realized from the acquisition and assembled workforce. The associated goodwill is not deductible for tax purposes.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At the date of the acquisition, the developed technology and customer relationships both had an estimated useful life of 5.0 years, and both are amortized using the straight-line method over their respective estimated useful lives. Amortization of developed technology and customer relationships is recorded within cost of revenue and sales and marketing expense, respectively, within the condensed consolidated statements of operations. As of April 30, 2024, the developed technology and customer relationships both had a remaining useful life of 4.0 years.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Transaction costs incurred in connection with the acquisition were immaterial. The results of operations of Workvivo, which are not material, have been included in our condensed consolidated financial statements from the date of the acquisition. Pro forma and historical results of operations of the company have not been presented, as the results do not have a material effect on any of the periods presented in our condensed consolidated statements of operations.</w:t>
      </w:r>
    </w:p>
    <w:p>
      <w:pPr>
        <w:spacing w:after="0" w:line="134" w:lineRule="exact"/>
        <w:rPr>
          <w:sz w:val="20"/>
          <w:szCs w:val="20"/>
          <w:color w:val="auto"/>
        </w:rPr>
      </w:pPr>
    </w:p>
    <w:p>
      <w:pPr>
        <w:jc w:val="right"/>
        <w:ind w:left="380" w:right="9380" w:hanging="375"/>
        <w:spacing w:after="0" w:line="381" w:lineRule="auto"/>
        <w:tabs>
          <w:tab w:leader="none" w:pos="246"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Balance Sheet Components </w:t>
      </w:r>
      <w:r>
        <w:rPr>
          <w:rFonts w:ascii="Times New Roman" w:cs="Times New Roman" w:eastAsia="Times New Roman" w:hAnsi="Times New Roman"/>
          <w:sz w:val="14"/>
          <w:szCs w:val="14"/>
          <w:b w:val="1"/>
          <w:bCs w:val="1"/>
          <w:i w:val="1"/>
          <w:iCs w:val="1"/>
          <w:color w:val="auto"/>
        </w:rPr>
        <w:t>Accounts Receivable, Net</w:t>
      </w:r>
    </w:p>
    <w:p>
      <w:pPr>
        <w:ind w:firstLine="382"/>
        <w:spacing w:after="0" w:line="287" w:lineRule="auto"/>
        <w:rPr>
          <w:sz w:val="20"/>
          <w:szCs w:val="20"/>
          <w:color w:val="auto"/>
        </w:rPr>
      </w:pPr>
      <w:r>
        <w:rPr>
          <w:rFonts w:ascii="Times New Roman" w:cs="Times New Roman" w:eastAsia="Times New Roman" w:hAnsi="Times New Roman"/>
          <w:sz w:val="14"/>
          <w:szCs w:val="14"/>
          <w:color w:val="auto"/>
        </w:rPr>
        <w:t>Accounts receivable are recorded for invoiced amounts and amounts for which revenue has been recognized, but not invoiced, net of allowances. Our short-term accounts receivable consist of the following:</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Accounts receivable,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allowance for credit losses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allowance for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Below is a rollforward of our allowance for credit losses for the three months ended April 30, 2024 and 2023:</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1"/>
          <w:szCs w:val="11"/>
          <w:b w:val="1"/>
          <w:bCs w:val="1"/>
          <w:color w:val="auto"/>
        </w:rPr>
        <w:t>As of</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April 30, 2024</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January 31, 2024</w:t>
            </w:r>
          </w:p>
        </w:tc>
      </w:tr>
      <w:tr>
        <w:trPr>
          <w:trHeight w:val="168"/>
        </w:trPr>
        <w:tc>
          <w:tcPr>
            <w:tcW w:w="28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80" w:type="dxa"/>
            <w:vAlign w:val="bottom"/>
          </w:tcPr>
          <w:p>
            <w:pPr>
              <w:spacing w:after="0"/>
              <w:rPr>
                <w:sz w:val="14"/>
                <w:szCs w:val="14"/>
                <w:color w:val="auto"/>
              </w:rPr>
            </w:pPr>
          </w:p>
        </w:tc>
      </w:tr>
      <w:tr>
        <w:trPr>
          <w:trHeight w:val="195"/>
        </w:trPr>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549,524</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568,449</w:t>
            </w:r>
          </w:p>
        </w:tc>
      </w:tr>
      <w:tr>
        <w:trPr>
          <w:trHeight w:val="180"/>
        </w:trPr>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(25,916)</w:t>
            </w:r>
          </w:p>
        </w:tc>
      </w:tr>
      <w:tr>
        <w:trPr>
          <w:trHeight w:val="184"/>
        </w:trPr>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(6,455)</w:t>
            </w:r>
          </w:p>
        </w:tc>
      </w:tr>
      <w:tr>
        <w:trPr>
          <w:trHeight w:val="171"/>
        </w:trPr>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527,515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536,078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30"/>
        </w:trPr>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5"/>
        </w:trPr>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5"/>
        </w:trPr>
        <w:tc>
          <w:tcPr>
            <w:tcW w:w="280" w:type="dxa"/>
            <w:vAlign w:val="bottom"/>
          </w:tcPr>
          <w:p>
            <w:pPr>
              <w:spacing w:after="0"/>
              <w:rPr>
                <w:sz w:val="12"/>
                <w:szCs w:val="12"/>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80" w:type="dxa"/>
            <w:vAlign w:val="bottom"/>
          </w:tcPr>
          <w:p>
            <w:pPr>
              <w:spacing w:after="0"/>
              <w:rPr>
                <w:sz w:val="12"/>
                <w:szCs w:val="12"/>
                <w:color w:val="auto"/>
              </w:rPr>
            </w:pPr>
          </w:p>
        </w:tc>
      </w:tr>
    </w:tbl>
    <w:p>
      <w:pPr>
        <w:spacing w:after="0" w:line="20" w:lineRule="exact"/>
        <w:rPr>
          <w:sz w:val="20"/>
          <w:szCs w:val="20"/>
          <w:color w:val="auto"/>
        </w:rPr>
      </w:pPr>
    </w:p>
    <w:p>
      <w:pPr>
        <w:sectPr>
          <w:pgSz w:w="11900" w:h="16838" w:orient="portrait"/>
          <w:cols w:equalWidth="0" w:num="2">
            <w:col w:w="7180" w:space="720"/>
            <w:col w:w="338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31</w:t>
            </w:r>
          </w:p>
        </w:tc>
        <w:tc>
          <w:tcPr>
            <w:tcW w:w="4980" w:type="dxa"/>
            <w:vAlign w:val="bottom"/>
            <w:gridSpan w:val="2"/>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24,900</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21,737</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436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(13,438)</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(8,516)</w:t>
            </w: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April 30</w:t>
            </w:r>
          </w:p>
        </w:tc>
        <w:tc>
          <w:tcPr>
            <w:tcW w:w="4360" w:type="dxa"/>
            <w:vAlign w:val="bottom"/>
          </w:tcPr>
          <w:p>
            <w:pPr>
              <w:spacing w:after="0"/>
              <w:rPr>
                <w:sz w:val="14"/>
                <w:szCs w:val="14"/>
                <w:color w:val="auto"/>
              </w:rPr>
            </w:pP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17,011</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38,121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360" w:type="dxa"/>
            <w:vAlign w:val="bottom"/>
            <w:vMerge w:val="restart"/>
          </w:tcPr>
          <w:p>
            <w:pPr>
              <w:jc w:val="right"/>
              <w:ind w:right="2109"/>
              <w:spacing w:after="0"/>
              <w:rPr>
                <w:sz w:val="20"/>
                <w:szCs w:val="20"/>
                <w:color w:val="auto"/>
              </w:rPr>
            </w:pPr>
            <w:r>
              <w:rPr>
                <w:rFonts w:ascii="Times New Roman" w:cs="Times New Roman" w:eastAsia="Times New Roman" w:hAnsi="Times New Roman"/>
                <w:sz w:val="14"/>
                <w:szCs w:val="14"/>
                <w:color w:val="auto"/>
              </w:rPr>
              <w:t>16</w:t>
            </w: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35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40" w:type="dxa"/>
            <w:vAlign w:val="bottom"/>
            <w:tcBorders>
              <w:bottom w:val="single" w:sz="8" w:color="9A9A9A"/>
            </w:tcBorders>
          </w:tcPr>
          <w:p>
            <w:pPr>
              <w:spacing w:after="0"/>
              <w:rPr>
                <w:sz w:val="7"/>
                <w:szCs w:val="7"/>
                <w:color w:val="auto"/>
              </w:rPr>
            </w:pPr>
          </w:p>
        </w:tc>
        <w:tc>
          <w:tcPr>
            <w:tcW w:w="43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 and Other Current Assets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ind w:left="954"/>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April 30, 2024</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0" w:type="dxa"/>
            <w:vAlign w:val="bottom"/>
          </w:tcPr>
          <w:p>
            <w:pPr>
              <w:spacing w:after="0"/>
              <w:rPr>
                <w:sz w:val="1"/>
                <w:szCs w:val="1"/>
                <w:color w:val="auto"/>
              </w:rPr>
            </w:pPr>
          </w:p>
        </w:tc>
      </w:tr>
      <w:tr>
        <w:trPr>
          <w:trHeight w:val="177"/>
        </w:trPr>
        <w:tc>
          <w:tcPr>
            <w:tcW w:w="7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center"/>
              <w:ind w:left="95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188,259</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6,874</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24,049</w:t>
            </w:r>
          </w:p>
        </w:tc>
        <w:tc>
          <w:tcPr>
            <w:tcW w:w="0" w:type="dxa"/>
            <w:vAlign w:val="bottom"/>
          </w:tcPr>
          <w:p>
            <w:pPr>
              <w:spacing w:after="0"/>
              <w:rPr>
                <w:sz w:val="1"/>
                <w:szCs w:val="1"/>
                <w:color w:val="auto"/>
              </w:rPr>
            </w:pPr>
          </w:p>
        </w:tc>
      </w:tr>
      <w:tr>
        <w:trPr>
          <w:trHeight w:val="171"/>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182,077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219,182</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7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Property and equipment consisted of the following:</w:t>
            </w: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center"/>
              <w:ind w:left="954"/>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78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April 30, 2024</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0" w:type="dxa"/>
            <w:vAlign w:val="bottom"/>
          </w:tcPr>
          <w:p>
            <w:pPr>
              <w:spacing w:after="0"/>
              <w:rPr>
                <w:sz w:val="1"/>
                <w:szCs w:val="1"/>
                <w:color w:val="auto"/>
              </w:rPr>
            </w:pPr>
          </w:p>
        </w:tc>
      </w:tr>
      <w:tr>
        <w:trPr>
          <w:trHeight w:val="177"/>
        </w:trPr>
        <w:tc>
          <w:tcPr>
            <w:tcW w:w="7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center"/>
              <w:ind w:left="95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Servers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360,672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340,868</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95,409</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and office equipment</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44,571</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0" w:type="dxa"/>
            <w:vAlign w:val="bottom"/>
          </w:tcPr>
          <w:p>
            <w:pPr>
              <w:spacing w:after="0"/>
              <w:rPr>
                <w:sz w:val="1"/>
                <w:szCs w:val="1"/>
                <w:color w:val="auto"/>
              </w:rPr>
            </w:pPr>
          </w:p>
        </w:tc>
      </w:tr>
      <w:tr>
        <w:trPr>
          <w:trHeight w:val="171"/>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559,910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530,021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(255,198)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(236,317)</w:t>
            </w:r>
          </w:p>
        </w:tc>
        <w:tc>
          <w:tcPr>
            <w:tcW w:w="0" w:type="dxa"/>
            <w:vAlign w:val="bottom"/>
          </w:tcPr>
          <w:p>
            <w:pPr>
              <w:spacing w:after="0"/>
              <w:rPr>
                <w:sz w:val="1"/>
                <w:szCs w:val="1"/>
                <w:color w:val="auto"/>
              </w:rPr>
            </w:pPr>
          </w:p>
        </w:tc>
      </w:tr>
      <w:tr>
        <w:trPr>
          <w:trHeight w:val="171"/>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304,712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293,704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Depreciation and amortization expense was $23.3 million and $22.0 million for the three months ended April 30, 2024 and 2023, respectively.</w:t>
      </w:r>
    </w:p>
    <w:p>
      <w:pPr>
        <w:spacing w:after="0" w:line="2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Assets, Noncurrent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assets, noncurrent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3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April 30, 2024</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0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noncurrent</w:t>
            </w:r>
          </w:p>
        </w:tc>
        <w:tc>
          <w:tcPr>
            <w:tcW w:w="40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subject to amortization, net</w:t>
            </w:r>
          </w:p>
        </w:tc>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3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noncurrent</w:t>
            </w:r>
          </w:p>
        </w:tc>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8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assets, noncurrent</w:t>
            </w:r>
          </w:p>
        </w:tc>
        <w:tc>
          <w:tcPr>
            <w:tcW w:w="38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127,010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800" w:type="dxa"/>
            <w:vAlign w:val="bottom"/>
            <w:vMerge w:val="restart"/>
          </w:tcPr>
          <w:p>
            <w:pPr>
              <w:jc w:val="right"/>
              <w:ind w:right="2069"/>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40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6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 and Other Current Liabilities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ind w:left="954"/>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April 30, 2024</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0" w:type="dxa"/>
            <w:vAlign w:val="bottom"/>
          </w:tcPr>
          <w:p>
            <w:pPr>
              <w:spacing w:after="0"/>
              <w:rPr>
                <w:sz w:val="1"/>
                <w:szCs w:val="1"/>
                <w:color w:val="auto"/>
              </w:rPr>
            </w:pPr>
          </w:p>
        </w:tc>
      </w:tr>
      <w:tr>
        <w:trPr>
          <w:trHeight w:val="177"/>
        </w:trPr>
        <w:tc>
          <w:tcPr>
            <w:tcW w:w="7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center"/>
              <w:ind w:left="95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173,993</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185,128</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liabilities</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21,880</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other non-income tax liabilities</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deposit liabilities</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40,142</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24,645</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18,916</w:t>
            </w:r>
          </w:p>
        </w:tc>
        <w:tc>
          <w:tcPr>
            <w:tcW w:w="0" w:type="dxa"/>
            <w:vAlign w:val="bottom"/>
          </w:tcPr>
          <w:p>
            <w:pPr>
              <w:spacing w:after="0"/>
              <w:rPr>
                <w:sz w:val="1"/>
                <w:szCs w:val="1"/>
                <w:color w:val="auto"/>
              </w:rPr>
            </w:pPr>
          </w:p>
        </w:tc>
      </w:tr>
      <w:tr>
        <w:trPr>
          <w:trHeight w:val="171"/>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501,799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500,164</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Liabilities, Noncurrent</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7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liabilities, noncurrent consisted of the following:</w:t>
            </w: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center"/>
              <w:ind w:left="954"/>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78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April 30, 2024</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0" w:type="dxa"/>
            <w:vAlign w:val="bottom"/>
          </w:tcPr>
          <w:p>
            <w:pPr>
              <w:spacing w:after="0"/>
              <w:rPr>
                <w:sz w:val="1"/>
                <w:szCs w:val="1"/>
                <w:color w:val="auto"/>
              </w:rPr>
            </w:pPr>
          </w:p>
        </w:tc>
      </w:tr>
      <w:tr>
        <w:trPr>
          <w:trHeight w:val="177"/>
        </w:trPr>
        <w:tc>
          <w:tcPr>
            <w:tcW w:w="7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center"/>
              <w:ind w:left="95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other non-income tax liabilities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42,515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42,254</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income tax liabilities</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33,864</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0" w:type="dxa"/>
            <w:vAlign w:val="bottom"/>
          </w:tcPr>
          <w:p>
            <w:pPr>
              <w:spacing w:after="0"/>
              <w:rPr>
                <w:sz w:val="1"/>
                <w:szCs w:val="1"/>
                <w:color w:val="auto"/>
              </w:rPr>
            </w:pPr>
          </w:p>
        </w:tc>
      </w:tr>
      <w:tr>
        <w:trPr>
          <w:trHeight w:val="171"/>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85,216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81,378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tab/>
        <w:t>Commitments and Contingencies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Non-cancelable Purchase Obligations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During the three months ended April 30, 2024, there have been no material changes to our non-cancelable purchase obligations from those disclosed in Note 9. “Commitments and Contingencies” in the notes to consolidated financial statements included in our Annual Report on Form 10-K for the year ended January 31, 2024 filed with the SEC on March 4, 2024.</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Contingencies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reputational harm.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On October 27, 2021, a third substantially identical lawsuit was filed in the same court against the same defendants, seeking unspecified monetary damages and governance reforms. On November 17, 2021, all three derivative lawsuits were consolidated. The consolidated case was stayed pending resolution of the motion to dismiss the securities class action. On April 11, 2023, the court entered a stipulated order that requires defendants to answer, move, or otherwise respond to the operative complaint by June 12, 2023. On June 12, 2023, defendants filed a motion to dismiss the consolidated case. On August 11, 2023, the plaintiff in the consolidated case filed an amended complaint. On October 18, 2023, defendants filed their motion to dismiss the amended complaint. On October 18, 2023, defendants filed their motion to dismiss the amended complaint. On December 22, 2023, plaintiff filed her opposition to the motion to dismiss, and on January 26, 2024, defendants filed their reply in support of the motion to dismiss.</w:t>
      </w:r>
    </w:p>
    <w:p>
      <w:pPr>
        <w:spacing w:after="0" w:line="6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vigorously defending ourselves against these lawsuits. Given the uncertainty of litigation and the legal standards that must be met for, among other things, class certification and success on the merits, we cannot estimate the reasonably possible loss or range of loss that may result from these actions.</w:t>
      </w:r>
    </w:p>
    <w:p>
      <w:pPr>
        <w:spacing w:after="0" w:line="39"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 On March 8, 2023, the court denied our motion for reconsideration. On April 6, 2023, the court entered a scheduling order. On July 17, 2023, the parties entered into a stipulation and agreement of settlement (the “Stipulation”) to resolve this matter. Under the terms of the stipulation, in exchange for the release and dismissal with prejudice of all claims against all defendants in the matter, we have agreed to pay and/or cause our insurance carriers to pay a total of $150.0 million. The Stipulation and settlement remain subject to preliminary and final approval by the court. On July 25, 2023, the court entered an order staying further proceedings in the matter pending the filing of a motion for preliminary approval of the settlement. On October 17, 2023, lead plaintiff filed a motion for preliminary approval of the settlement. A hearing on the motion for preliminary approval of the settlement is scheduled for June 13, 2024. As a result of the settlement, we made net payments of $60.0 million ($150.0 million for the settlement net of $90.0 million covered by insurance) during the fiscal year ended January 31, 2024, of which $7.5 million had been accrued during the year ended January 31, 2023 and $52.5 million was recorded as a general and administrative expense in our consolidated statement of operations for the fiscal year ended January 31, 2024.</w:t>
      </w:r>
    </w:p>
    <w:p>
      <w:pPr>
        <w:spacing w:after="0" w:line="6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3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tab/>
        <w:t>Stockholders’ Equity and Equity Incentive Plans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February 2024, our Board of Directors authorized a stock repurchase program of up to $1.5 billion of our Class A common stock. Repurchases of our Class A common stock may be effected from time to time, either on the open market (including preset trading plans), in privately negotiated transactions, and other transactions in accordance with applicable securities laws. The program does not obligate us to repurchase any specific number of shares and may be discontinued at any time.</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During the three months ended April 30, 2024, we repurchased and subsequently retired 2,400,305 shares of our Class A common stock for an aggregate amount of $150.0 million. As of April 30, 2024, $1,350.0 million of the repurchase authorization remained available.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have two equity incentive plans: the 2011 Global Share Plan (“2011 Plan”) and the 2019 Equity Incentive Plan (“2019 Plan”). All shares that remain available for future grants are under the 2019 Plan.</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summary of stock option activity under our equity incentive plan and related information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4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jc w:val="center"/>
              <w:ind w:left="123"/>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24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jc w:val="center"/>
              <w:ind w:left="143"/>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363"/>
              <w:spacing w:after="0" w:line="117"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ind w:left="143"/>
              <w:spacing w:after="0" w:line="117"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240" w:type="dxa"/>
            <w:vAlign w:val="bottom"/>
          </w:tcPr>
          <w:p>
            <w:pPr>
              <w:spacing w:after="0"/>
              <w:rPr>
                <w:sz w:val="9"/>
                <w:szCs w:val="9"/>
                <w:color w:val="auto"/>
              </w:rPr>
            </w:pPr>
          </w:p>
        </w:tc>
        <w:tc>
          <w:tcPr>
            <w:tcW w:w="14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9"/>
                <w:szCs w:val="9"/>
                <w:color w:val="auto"/>
              </w:rPr>
            </w:pPr>
          </w:p>
        </w:tc>
        <w:tc>
          <w:tcPr>
            <w:tcW w:w="1000" w:type="dxa"/>
            <w:vAlign w:val="bottom"/>
          </w:tcPr>
          <w:p>
            <w:pPr>
              <w:jc w:val="center"/>
              <w:ind w:left="363"/>
              <w:spacing w:after="0" w:line="10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jc w:val="center"/>
              <w:ind w:left="143"/>
              <w:spacing w:after="0" w:line="10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jc w:val="center"/>
              <w:ind w:right="155"/>
              <w:spacing w:after="0" w:line="106"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bottom w:val="single" w:sz="8" w:color="auto"/>
            </w:tcBorders>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w w:val="99"/>
              </w:rPr>
              <w:t>Life (Years)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 except share, life, and per share data)</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3,314,228</w:t>
            </w:r>
          </w:p>
        </w:tc>
        <w:tc>
          <w:tcPr>
            <w:tcW w:w="1100" w:type="dxa"/>
            <w:vAlign w:val="bottom"/>
            <w:gridSpan w:val="2"/>
            <w:shd w:val="clear" w:color="auto" w:fill="CCEEFF"/>
          </w:tcPr>
          <w:p>
            <w:pPr>
              <w:jc w:val="right"/>
              <w:ind w:right="86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3.9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(109,464)</w:t>
            </w:r>
          </w:p>
        </w:tc>
        <w:tc>
          <w:tcPr>
            <w:tcW w:w="1100" w:type="dxa"/>
            <w:vAlign w:val="bottom"/>
            <w:gridSpan w:val="2"/>
          </w:tcPr>
          <w:p>
            <w:pPr>
              <w:jc w:val="right"/>
              <w:ind w:right="86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Canceled/forfeited/expired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1100" w:type="dxa"/>
            <w:vAlign w:val="bottom"/>
            <w:gridSpan w:val="2"/>
            <w:shd w:val="clear" w:color="auto" w:fill="CCEEFF"/>
          </w:tcPr>
          <w:p>
            <w:pPr>
              <w:jc w:val="right"/>
              <w:ind w:right="86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and exercisable as of April 30,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3,202,889</w:t>
            </w:r>
          </w:p>
        </w:tc>
        <w:tc>
          <w:tcPr>
            <w:tcW w:w="1100" w:type="dxa"/>
            <w:vAlign w:val="bottom"/>
            <w:gridSpan w:val="2"/>
          </w:tcPr>
          <w:p>
            <w:pPr>
              <w:jc w:val="right"/>
              <w:ind w:right="86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1"/>
              </w:rPr>
              <w:t>3.7</w:t>
            </w:r>
          </w:p>
        </w:tc>
        <w:tc>
          <w:tcPr>
            <w:tcW w:w="80" w:type="dxa"/>
            <w:vAlign w:val="bottom"/>
          </w:tcPr>
          <w:p>
            <w:pPr>
              <w:spacing w:after="0"/>
              <w:rPr>
                <w:sz w:val="14"/>
                <w:szCs w:val="14"/>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778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As of April 30, 2024, all options have vested and there is no unrecognized stock-based compensation expense remaining.</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2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 summary of RSU activity under our equity incentive plan and related information is as follows:</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1"/>
                <w:szCs w:val="11"/>
                <w:b w:val="1"/>
                <w:bCs w:val="1"/>
                <w:color w:val="auto"/>
              </w:rPr>
              <w:t>RSUs</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5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jc w:val="center"/>
              <w:ind w:right="335"/>
              <w:spacing w:after="0" w:line="108" w:lineRule="exact"/>
              <w:rPr>
                <w:sz w:val="20"/>
                <w:szCs w:val="20"/>
                <w:color w:val="auto"/>
              </w:rPr>
            </w:pPr>
            <w:r>
              <w:rPr>
                <w:rFonts w:ascii="Times New Roman" w:cs="Times New Roman" w:eastAsia="Times New Roman" w:hAnsi="Times New Roman"/>
                <w:sz w:val="11"/>
                <w:szCs w:val="11"/>
                <w:b w:val="1"/>
                <w:bCs w:val="1"/>
                <w:color w:val="auto"/>
                <w:w w:val="98"/>
              </w:rPr>
              <w:t>Weighted-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RSUs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jc w:val="center"/>
              <w:ind w:right="335"/>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524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Grant Date Fair Value Per Share</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January 31, 2024</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26,040,557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5,073,584</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(4,001,172)</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Canceled/forfeited</w:t>
            </w: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(1,099,816)</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83.83</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April 30, 2024</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26,013,153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April 30, 2024, unrecognized stock-based compensation expense related to RSUs was $1,787.9 million, which is expected to be recognized over a weighted-average period of 2.6 years.</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For the three months ended April 30, 2024, we granted 1.7 million RSUs that contain both service and performance vesting criteria. The ultimate number of shares eligible to vest pursuant to these RSUs range from 0% to 100% of the target number of shares depending on achievement of the performance metrics. The number of RSUs with service and performance vesting conditions included in the granted amount in the table above reflects the shares that would be eligible to vest at 100% of the target amount.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2019 Employee Stock Purchase Plan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April 2019, we adopted the 2019 ESPP. As of April 30, 2024, unrecognized stock-based compensation expense related to the ESPP was $26.8 million, which is expected to be recognized over a weighted-average period of 1.0 year.</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stock-based compensation expense by line item in the accompanying condensed consolidated statements of operations is summarized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940" w:type="dxa"/>
            <w:vAlign w:val="bottom"/>
            <w:tcBorders>
              <w:bottom w:val="single" w:sz="8" w:color="auto"/>
            </w:tcBorders>
          </w:tcPr>
          <w:p>
            <w:pPr>
              <w:spacing w:after="0"/>
              <w:rPr>
                <w:sz w:val="13"/>
                <w:szCs w:val="13"/>
                <w:color w:val="auto"/>
              </w:rPr>
            </w:pPr>
          </w:p>
        </w:tc>
      </w:tr>
      <w:tr>
        <w:trPr>
          <w:trHeight w:val="154"/>
        </w:trPr>
        <w:tc>
          <w:tcPr>
            <w:tcW w:w="79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347"/>
        </w:trPr>
        <w:tc>
          <w:tcPr>
            <w:tcW w:w="7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3"/>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24"/>
                <w:szCs w:val="24"/>
                <w:color w:val="auto"/>
              </w:rPr>
            </w:pPr>
          </w:p>
        </w:tc>
      </w:tr>
      <w:tr>
        <w:trPr>
          <w:trHeight w:val="19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38,089</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82,569</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81,466</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112,593</w:t>
            </w:r>
          </w:p>
        </w:tc>
      </w:tr>
      <w:tr>
        <w:trPr>
          <w:trHeight w:val="18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38,047</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50,197</w:t>
            </w:r>
          </w:p>
        </w:tc>
      </w:tr>
      <w:tr>
        <w:trPr>
          <w:trHeight w:val="171"/>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229,425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282,345</w:t>
            </w:r>
          </w:p>
        </w:tc>
      </w:tr>
      <w:tr>
        <w:trPr>
          <w:trHeight w:val="180"/>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9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(43,474)</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(49,677)</w:t>
            </w:r>
          </w:p>
        </w:tc>
      </w:tr>
      <w:tr>
        <w:trPr>
          <w:trHeight w:val="196"/>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 recorded to net income</w:t>
            </w: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185,951</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232,668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Restructuring Activities</w:t>
      </w:r>
    </w:p>
    <w:p>
      <w:pPr>
        <w:spacing w:after="0" w:line="18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February 7, 2023, we announced a restructuring plan (the “Plan”) intended to reduce operating costs and continue advancing our ongoing commitment to profitable growth. The Plan included a reduction of our then-current workforce by approximately 15%. The execution of the Plan was completed as of July 31, 2023, and therefore no restructuring expense was recorded for the three months ended April 30, 2024.</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the three months ended April 30, 2023, we recorded net restructuring costs of $73.2 million, which consisted of $54.8 million related to employee transition, severance payments, and employee benefits; $17.3 million related to stock-based compensation awards; and $1.1 million for other related expenses.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summarizes our restructuring expenses that were recorded as an operating expense in the condensed consolidated statement of operations for the three months ended April 30, 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94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right"/>
              <w:ind w:right="315"/>
              <w:spacing w:after="0" w:line="117" w:lineRule="exact"/>
              <w:rPr>
                <w:sz w:val="20"/>
                <w:szCs w:val="20"/>
                <w:color w:val="auto"/>
              </w:rPr>
            </w:pPr>
            <w:r>
              <w:rPr>
                <w:rFonts w:ascii="Times New Roman" w:cs="Times New Roman" w:eastAsia="Times New Roman" w:hAnsi="Times New Roman"/>
                <w:sz w:val="11"/>
                <w:szCs w:val="11"/>
                <w:b w:val="1"/>
                <w:bCs w:val="1"/>
                <w:color w:val="auto"/>
              </w:rPr>
              <w:t>Three Months Ended</w:t>
            </w:r>
          </w:p>
        </w:tc>
      </w:tr>
      <w:tr>
        <w:trPr>
          <w:trHeight w:val="154"/>
        </w:trPr>
        <w:tc>
          <w:tcPr>
            <w:tcW w:w="9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April 30, 2023</w:t>
            </w:r>
          </w:p>
        </w:tc>
      </w:tr>
      <w:tr>
        <w:trPr>
          <w:trHeight w:val="150"/>
        </w:trPr>
        <w:tc>
          <w:tcPr>
            <w:tcW w:w="9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8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7,095</w:t>
            </w:r>
          </w:p>
        </w:tc>
      </w:tr>
      <w:tr>
        <w:trPr>
          <w:trHeight w:val="180"/>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19,302</w:t>
            </w:r>
          </w:p>
        </w:tc>
      </w:tr>
      <w:tr>
        <w:trPr>
          <w:trHeight w:val="18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33,841</w:t>
            </w:r>
          </w:p>
        </w:tc>
      </w:tr>
      <w:tr>
        <w:trPr>
          <w:trHeight w:val="18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12,942</w:t>
            </w:r>
          </w:p>
        </w:tc>
      </w:tr>
      <w:tr>
        <w:trPr>
          <w:trHeight w:val="196"/>
        </w:trPr>
        <w:tc>
          <w:tcPr>
            <w:tcW w:w="9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restructuring expenses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There was no restructuring liability as of January 31, 2024 and April 30, 2024.</w:t>
      </w:r>
    </w:p>
    <w:p>
      <w:pPr>
        <w:spacing w:after="0" w:line="1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compute our provision for income taxes by applying the estimated annual effective tax rate to year-to-date ordinary income and adjust the provision for discrete tax items recorded in the period. In each quarter, we update the estimated annual effective tax rate and make a year-to-date adjustment to the provision.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provides details of the provision for income taxes: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center"/>
              <w:ind w:right="276"/>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660" w:type="dxa"/>
            <w:vAlign w:val="bottom"/>
            <w:tcBorders>
              <w:bottom w:val="single" w:sz="8" w:color="auto"/>
            </w:tcBorders>
          </w:tcPr>
          <w:p>
            <w:pPr>
              <w:spacing w:after="0"/>
              <w:rPr>
                <w:sz w:val="13"/>
                <w:szCs w:val="13"/>
                <w:color w:val="auto"/>
              </w:rPr>
            </w:pPr>
          </w:p>
        </w:tc>
      </w:tr>
      <w:tr>
        <w:trPr>
          <w:trHeight w:val="154"/>
        </w:trPr>
        <w:tc>
          <w:tcPr>
            <w:tcW w:w="770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spacing w:after="0"/>
              <w:rPr>
                <w:sz w:val="13"/>
                <w:szCs w:val="13"/>
                <w:color w:val="auto"/>
              </w:rPr>
            </w:pPr>
          </w:p>
        </w:tc>
      </w:tr>
      <w:tr>
        <w:trPr>
          <w:trHeight w:val="177"/>
        </w:trPr>
        <w:tc>
          <w:tcPr>
            <w:tcW w:w="7700" w:type="dxa"/>
            <w:vAlign w:val="bottom"/>
          </w:tcPr>
          <w:p>
            <w:pPr>
              <w:spacing w:after="0"/>
              <w:rPr>
                <w:sz w:val="15"/>
                <w:szCs w:val="15"/>
                <w:color w:val="auto"/>
              </w:rPr>
            </w:pPr>
          </w:p>
        </w:tc>
        <w:tc>
          <w:tcPr>
            <w:tcW w:w="2920" w:type="dxa"/>
            <w:vAlign w:val="bottom"/>
            <w:gridSpan w:val="4"/>
          </w:tcPr>
          <w:p>
            <w:pPr>
              <w:jc w:val="center"/>
              <w:ind w:left="619"/>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660" w:type="dxa"/>
            <w:vAlign w:val="bottom"/>
          </w:tcPr>
          <w:p>
            <w:pPr>
              <w:spacing w:after="0"/>
              <w:rPr>
                <w:sz w:val="15"/>
                <w:szCs w:val="15"/>
                <w:color w:val="auto"/>
              </w:rPr>
            </w:pPr>
          </w:p>
        </w:tc>
      </w:tr>
      <w:tr>
        <w:trPr>
          <w:trHeight w:val="19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102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291,964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43,230</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2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75,656</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27,786</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64.3 %</w:t>
            </w:r>
          </w:p>
        </w:tc>
      </w:tr>
    </w:tbl>
    <w:p>
      <w:pPr>
        <w:spacing w:after="0" w:line="14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year-over-year change in effective tax rate for the three months ended April 30, 2024 was due primarily to the increase in income before taxes and tax shortfalls and windfalls on stock-based compensation. For both the three months ended April 30, 2024 and April 30, 2023, the effective tax rate differed from the U.S. federal statutory rate due primarily to the foreign-derived intangible income deduction and research credits, offset by tax shortfalls on stock-based compensation, and other compensation-related permanent differences.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required by the 2017 Tax Cuts and Jobs Act, we started capitalizing research and development expenses incurred beginning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Net Income Per Share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per share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0" w:type="dxa"/>
            <w:vAlign w:val="bottom"/>
          </w:tcPr>
          <w:p>
            <w:pPr>
              <w:spacing w:after="0"/>
              <w:rPr>
                <w:sz w:val="1"/>
                <w:szCs w:val="1"/>
                <w:color w:val="auto"/>
              </w:rPr>
            </w:pPr>
          </w:p>
        </w:tc>
      </w:tr>
      <w:tr>
        <w:trPr>
          <w:trHeight w:val="231"/>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basic</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184,070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0" w:type="dxa"/>
            <w:vAlign w:val="bottom"/>
          </w:tcPr>
          <w:p>
            <w:pPr>
              <w:spacing w:after="0"/>
              <w:rPr>
                <w:sz w:val="1"/>
                <w:szCs w:val="1"/>
                <w:color w:val="auto"/>
              </w:rPr>
            </w:pPr>
          </w:p>
        </w:tc>
      </w:tr>
      <w:tr>
        <w:trPr>
          <w:trHeight w:val="168"/>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Reallocation of net income</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diluted</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182,778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33,530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used in computing net income per share, basic</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262,693,481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46,007,101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248,731,065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46,678,142</w:t>
            </w:r>
          </w:p>
        </w:tc>
        <w:tc>
          <w:tcPr>
            <w:tcW w:w="0" w:type="dxa"/>
            <w:vAlign w:val="bottom"/>
          </w:tcPr>
          <w:p>
            <w:pPr>
              <w:spacing w:after="0"/>
              <w:rPr>
                <w:sz w:val="1"/>
                <w:szCs w:val="1"/>
                <w:color w:val="auto"/>
              </w:rPr>
            </w:pPr>
          </w:p>
        </w:tc>
      </w:tr>
      <w:tr>
        <w:trPr>
          <w:trHeight w:val="168"/>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Weighted-average shares used in computing net income per share, diluted</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266,476,843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48,883,835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253,394,377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50,721,536</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share, basic</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6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Net income per share, diluted</w:t>
            </w:r>
          </w:p>
        </w:tc>
        <w:tc>
          <w:tcPr>
            <w:tcW w:w="220" w:type="dxa"/>
            <w:vAlign w:val="bottom"/>
            <w:tcBorders>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0.69</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98"/>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0.69</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0.05</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potential shares of common stock that were excluded from the computation of diluted net income per share for the periods presented, because including them would have been anti-dilutive,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880" w:type="dxa"/>
            <w:vAlign w:val="bottom"/>
            <w:tcBorders>
              <w:bottom w:val="single" w:sz="8" w:color="auto"/>
            </w:tcBorders>
          </w:tcPr>
          <w:p>
            <w:pPr>
              <w:spacing w:after="0"/>
              <w:rPr>
                <w:sz w:val="13"/>
                <w:szCs w:val="13"/>
                <w:color w:val="auto"/>
              </w:rPr>
            </w:pPr>
          </w:p>
        </w:tc>
      </w:tr>
      <w:tr>
        <w:trPr>
          <w:trHeight w:val="154"/>
        </w:trPr>
        <w:tc>
          <w:tcPr>
            <w:tcW w:w="6620" w:type="dxa"/>
            <w:vAlign w:val="bottom"/>
          </w:tcPr>
          <w:p>
            <w:pPr>
              <w:spacing w:after="0"/>
              <w:rPr>
                <w:sz w:val="13"/>
                <w:szCs w:val="13"/>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80" w:type="dxa"/>
            <w:vAlign w:val="bottom"/>
            <w:tcBorders>
              <w:bottom w:val="single" w:sz="8" w:color="auto"/>
            </w:tcBorders>
          </w:tcPr>
          <w:p>
            <w:pPr>
              <w:spacing w:after="0"/>
              <w:rPr>
                <w:sz w:val="13"/>
                <w:szCs w:val="13"/>
                <w:color w:val="auto"/>
              </w:rPr>
            </w:pPr>
          </w:p>
        </w:tc>
      </w:tr>
      <w:tr>
        <w:trPr>
          <w:trHeight w:val="150"/>
        </w:trPr>
        <w:tc>
          <w:tcPr>
            <w:tcW w:w="6620" w:type="dxa"/>
            <w:vAlign w:val="bottom"/>
          </w:tcPr>
          <w:p>
            <w:pPr>
              <w:spacing w:after="0"/>
              <w:rPr>
                <w:sz w:val="13"/>
                <w:szCs w:val="13"/>
                <w:color w:val="auto"/>
              </w:rPr>
            </w:pPr>
          </w:p>
        </w:tc>
        <w:tc>
          <w:tcPr>
            <w:tcW w:w="1400" w:type="dxa"/>
            <w:vAlign w:val="bottom"/>
            <w:gridSpan w:val="3"/>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8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13"/>
                <w:szCs w:val="13"/>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8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Class B</w:t>
            </w:r>
          </w:p>
        </w:tc>
      </w:tr>
      <w:tr>
        <w:trPr>
          <w:trHeight w:val="17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Unvested RSUs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10,342,542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10,884,907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rights committed under the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1,040,285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2,068,828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102,354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124,051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6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11,485,181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13,077,786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table above does not include 405,156 shares of issued Class A common stock held by us as of April 30, 2024 and 2023 that are reserved for the sole purpose of being transferred to nonprofit organizations.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9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mission is to provide one platform that delivers limitless human connection. Our culture of delivering happiness drives our mission and values and is fundamental to everything we do at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Zoom.</w:t>
      </w:r>
    </w:p>
    <w:p>
      <w:pPr>
        <w:spacing w:after="0" w:line="7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Zoom is an AI-powered, open collaboration platform built for modern work. Zoom Workplace along with AI Companion, Business Services for sales, marketing, and customer care teams, including Zoom Contact Center, and our robust ecosystem with over 2,500 apps and integration, help drive impact, reimagine teamwork, strengthen customer relationships, and enable seamless experiences. Trust is a cornerstone of the Zoom platform. We equip users with a comprehensive set of tools to make their interactions safe, secure, and private. We believe that strong security should never compromise a great user experience.</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We’re on a mission to reimagine the way we communicate and collaborate in a flexible working world. Zoom Workplace, our AI-powered collaboration platform is designed to help organizations reimagine teamwork by streamlining communications, increasing employee engagement, optimizing in-person time, and improve productivity across flexible work. AI has been core to Zoom’s product DNA over many years, grounded in our conviction that AI can make work more human by strengthening collaboration, productivity, and inclusivity.</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continue to invest in AI and focus on three key areas regarding AI innovation: supporting individual productivity, powering better collaboration, and helping customer-facing teams delight their customers. We launched Zoom AI Companion, our smart assistant that is designed to empower workers to increase productivity, improve team effectiveness, and enhance skills. Additionally, we introduced our federated approach to AI, which enables us to make Zoom’s AI capabilities accessible and affordable so that more people can incorporate them in their day-to-day workflows. In line with our commitment to responsible AI, Zoom does not use customer audio, video, chat, screen sharing, attachments, or other communications (such as poll results, whiteboard, and reactions) to train Zoom’s or third-party AI models.</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believe that face-to-face communications build greater empathy and trust. We strive to live up to the trust our customers place in us by delivering a communications solution while prioritizing their privacy and security. Our 33 co-located data centers worldwide and the public cloud in conjunction with our proprietary adaptive rate codec enable us to provide both high-quality and high-definition, real-time video to our customers even in low-bandwidth environments.</w:t>
      </w:r>
    </w:p>
    <w:p>
      <w:pPr>
        <w:spacing w:after="0" w:line="5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generate revenue from the sale of subscriptions to our Zoom Workplace collaboration platform and Business Services. Subscription revenue is driven primarily by the number of customers as well as purchases of additional products, including Zoom Phone, Zoom Spaces, Zoom Events, Zoom Contact Center and Zoom Revenue Accelerator. We define a customer as a separate and distinct buying entity, which can be a single paid user or an organization of any size (including a distinct unit of an organization) that has multiple users. Our Zoom Workplace Basic offering is free and gives users access to Zoom Meetings with core features but with the limitation that meetings time-out at 40 minutes. Our core paid offerings are available with our Zoom Workplace bundles: Zoom Workplace Pro, Business, Business Plus, Enterprise, Enterprise Plus, and Enterprise Premier. The Zoom Workplace bundles are designed for different business needs and are composed of Zoom Meetings, Zoom Team Chat, Zoom Whiteboard and Mail and Calendar, Zoom Clips, as well as Zoom Phone, Zoom Webinars and Zoom Rooms for our Enterprise plans. We also offer vertical-specific plans for Education, Healthcare and Government which provide incremental features and functionality, such as different participant limits, administrative controls, and reporting.</w:t>
      </w:r>
    </w:p>
    <w:p>
      <w:pPr>
        <w:spacing w:after="0" w:line="6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four specific markets (Australia/New Zealand, Japan, United Kingdom/Ireland and United States/Canada). In addition, we offer a Global Select plan that allows customers to select from local numbers and domestic calling in more than 45 countries and territories where Zoom has local public switched telephone network (“PSTN”) coverage.</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revenue was $1,141.2 million and $1,105.4 million for the three months ended April 30, 2024 and 2023, respectively, representing period-over-period growth of 3.2%. We had net income of $216.3 million and $15.4 million for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three months ended April 30, 2024 and 2023, respectively. Net cash provided by operating activities was $588.2 million and $418.5 million for the three months ended April 30,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Conditions and Other Factors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Macroeconomic factors, including geopolitical conflicts, global economic slowdown, high inflation, increased interest rates, and the responses by central banking authorities, and fluctuations in foreign currency exchange rates, have introduced uncertainty to our business. For the three months ended April 30, 2024, compared to the three months ended April 30, 2023, we continued to experience growth in total revenue and revenue from Enterprise customers. However, macroeconomic conditions have impacted and may continue to impact the future demand for subscriptions to our unified communications and collaboration platform. For example, we have been experiencing elongated sales cycles as well as a decrease in customers’ overall corporate spending. Many factors may contribute to declines in our growth rate as compared to prior fiscal years, among other things, higher market penetration, increased competition, slowing demand for our platform, a slower than anticipated capitalization on growth opportunities, and the maturation of our business.</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continuously monitoring the impact of these circumstances on our business and financial results, as well as the overall global economy and geopolitical landscape. The implications of macroeconomic conditions on our business, results of operations and overall financial position, particularly in the long term, remain uncertain.</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Refer to “Part II—Other Information, Item 1A. Risk Factors” of this Quarterly Report on Form 10-Q for further discussions of the potential impacts of the current macroeconomic conditions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Acquiring New Customers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focused on continuing to grow the number of customers that use the Zoom Workplace and our Business Services offerings.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Expansion of Zoom Across Existing Enterprise Customers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believe that there is a large opportunity for growth with many of our existing customers. Historically customers have increased the size of their subscriptions as they have expanded their use of our platform across their operations. Despite recent macroeconomic headwinds that have impacted the rate of expansion, we believe there continues to be opportunity for future expansion with our existing customers as we innovate our platform with additional product offerings and the use of AI. This expansion in the use of our platform also provides us with opportunities to market and sell additional products to our customers, such as Zoom Phone, Spaces, Contact Center, Revenue Accelerator, Events and Developer Platform Solutions. In order for us to address this opportunity and expand the use of our products with our existing customers, we will need to maintain the reliability of our platform and produce new features and functionality that are responsive to our customers’ requirements for enterprise-grade solutions.</w:t>
      </w:r>
    </w:p>
    <w:p>
      <w:pPr>
        <w:spacing w:after="0" w:line="6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58.3% and 57.2% of total revenue for the three months ended April 30, 2024 and 2023, respectively. Our net dollar expansion rate includes the increase in user adoption within our Enterprise customers, as our subscription revenue is primarily driven by the number of paid users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ability to retain our Enterprise customers. Our trailing 12-month net dollar expansion rate for Enterprise customers as of April 30, 2024 and 2023 was 99% and 112%, respectively.</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Retention of Online Customers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 addition to Enterprise customers, we also have a significant number of customers that subscribe to our services directly through our website (“Online customers” or “Online business”). Online customers represent a diverse customer base, ranging from individual users to small and medium size businesses. We continue to focus on acquisition and retention of our Online customers through various strategies to improve the features and functionalities of our products and services. Revenue from Online customers represented 41.7% and 42.8% of total revenue for the three months ended April 30, 2024 and 2023, respectively. Our ability to retain these Online customers will have an impact on our future revenue. The online monthly average churn for our Online customers was 3.2% and 3.1% per month for the three months ended April 30, 2024 and 2023, respectively. One of the dynamics in the Online business is the MRR contribution from customers that have retained Zoom services for a certain portion of time as these customers tend to maintain their subscriptions and contribute meaningfully to the Online business. As of April 30, 2024 and 2023, the percentage of total Online MRR from Online customers with a continual term of service of at least 16 months was 73.8% and 72.0%, respectively.</w:t>
      </w:r>
    </w:p>
    <w:p>
      <w:pPr>
        <w:spacing w:after="0" w:line="6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calculate the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We then divided that amount by three to calculate the Online average monthly churn for the applicable quarter.</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Innovation and Expansion of Our Platform</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continue to invest resources to enhance the capabilities of the Zoom Workplace and our Business Services offerings. For example, we have introduced a number of new products and enhancements including Zoom AI Companion, new features for Zoom Contact Center, Zoom Notes, integration of Workvivo into the Zoom desktop client, and ongoing enhancements for Zoom Phone, Meetings, Zoom Rooms, Huddles, Webinars and Zoom Events. We also deliver Zoom Phone calling plans in more than 45 countries and territories as of April 30, 2024.</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also recently announced several upcoming products including Zoom Docs and an enhanced version of AI Companion that is designed to allow the handling of complex tasks across our platform using information from multiple sources including third party applications. These products are expected to be generally available in 2024.</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An end-to-end encryption (“E2EE”) option is available to free and paid Zoom customers globally who host meetings with up to 200 participants as well as on Zoom Phone. Zoom’s E2EE uses the same AES-256-GCM encryption that secures Zoom meetings by default, but with Zoom’s E2EE, the meeting host, or originating caller in the case of Zoom Phone, as opposed to Zoom's servers, generates encryption keys and uses public key cryptography to distribute these keys to the other meeting participants or call recipient.</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International Opportunity</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platform addresses the communications and collaboration needs of users worldwide, and we see international expansion as a major opportunity. Our revenue from the rest of world (APAC and EMEA) represented 28.3% and 29.0% of our total revenue for the three months ended April 30, 2024 and 2023,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review the following key business metrics to measure our performance, identify trends, formulate financial projections, and make strategic decisions.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Number of Enterprise Customers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 include organizations of all sizes across all industries. Over time, we expect revenue from Enterprise customers to represent a larger share of our business. As of April 30, 2024 and 2023, we had approximately 191,000 and 215,900 Enterprise customers, respectively. During the three months ended April 30, 2024, in order to enhance customer experience and improve efficiency, we transitioned approximately 26,800 Enterprise customers with lower MRR away from working with direct sales teams, resellers, or strategic partners. These customers are now considered Online customers and no longer included in our Enterprise customer total as of April 30, 2024. The impact of this transition did not have a material impact on the percent of revenue from Enterprise and Online customers, net dollar expansion rate, or Online average monthly churn.</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Customers Contributing More Than $100,000 of Trailing 12 Months Revenue</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focus on growing the number of customers that contribute more than $100,000 of trailing 12 months revenue as it is a measure of our ability to scale with our customers and attract larger organizations to Zoom. Revenue from these customers represented 29.9% and 28.6% of total revenue for the three months ended April 30, 2024 and 2023, respectively. As of April 30, 2024 and 2023, we had 3,883 and 3,580 customers, respectively, that contributed more than $100,000 of trailing 12 months revenue, demonstrating our increasing penetration of larger organizations, including enterprises. These customers are a subset of Enterprise customers.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addition to our results determined in accordance with GAAP, we believe that free cash flow (“FCF”) is a non-GAAP financial measure that is useful in evaluating our liquidity.</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Free Cash Flow</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presents a summary of our cash flows for the periods presented and a reconciliation of FCF to net cash provided by operating activities, the most directly comparable financial measure calculated in accordance with GAAP:</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77"/>
        </w:trPr>
        <w:tc>
          <w:tcPr>
            <w:tcW w:w="7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gridSpan w:val="3"/>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588,191</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418,487</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purchases of property and equipment</w:t>
            </w: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(18,508)</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(21,826)</w:t>
            </w:r>
          </w:p>
        </w:tc>
        <w:tc>
          <w:tcPr>
            <w:tcW w:w="0" w:type="dxa"/>
            <w:vAlign w:val="bottom"/>
          </w:tcPr>
          <w:p>
            <w:pPr>
              <w:spacing w:after="0"/>
              <w:rPr>
                <w:sz w:val="1"/>
                <w:szCs w:val="1"/>
                <w:color w:val="auto"/>
              </w:rPr>
            </w:pPr>
          </w:p>
        </w:tc>
      </w:tr>
      <w:tr>
        <w:trPr>
          <w:trHeight w:val="175"/>
        </w:trPr>
        <w:tc>
          <w:tcPr>
            <w:tcW w:w="7860" w:type="dxa"/>
            <w:vAlign w:val="bottom"/>
            <w:tcBorders>
              <w:bottom w:val="single" w:sz="8" w:color="CCEEFF"/>
            </w:tcBorders>
            <w:shd w:val="clear" w:color="auto" w:fill="CCEEFF"/>
          </w:tcPr>
          <w:p>
            <w:pPr>
              <w:ind w:left="180"/>
              <w:spacing w:after="0" w:line="150" w:lineRule="exact"/>
              <w:rPr>
                <w:sz w:val="20"/>
                <w:szCs w:val="20"/>
                <w:color w:val="auto"/>
              </w:rPr>
            </w:pPr>
            <w:r>
              <w:rPr>
                <w:rFonts w:ascii="Times New Roman" w:cs="Times New Roman" w:eastAsia="Times New Roman" w:hAnsi="Times New Roman"/>
                <w:sz w:val="14"/>
                <w:szCs w:val="14"/>
                <w:color w:val="auto"/>
              </w:rPr>
              <w:t>Free cash flow (non-GAAP)</w:t>
            </w:r>
          </w:p>
        </w:tc>
        <w:tc>
          <w:tcPr>
            <w:tcW w:w="960" w:type="dxa"/>
            <w:vAlign w:val="bottom"/>
            <w:tcBorders>
              <w:bottom w:val="single" w:sz="8" w:color="auto"/>
            </w:tcBorders>
            <w:shd w:val="clear" w:color="auto" w:fill="CCEEFF"/>
          </w:tcPr>
          <w:p>
            <w:pPr>
              <w:jc w:val="right"/>
              <w:ind w:right="812"/>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569,683</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4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396,661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vMerge w:val="continue"/>
          </w:tcPr>
          <w:p>
            <w:pPr>
              <w:spacing w:after="0"/>
              <w:rPr>
                <w:sz w:val="12"/>
                <w:szCs w:val="12"/>
                <w:color w:val="auto"/>
              </w:rPr>
            </w:pPr>
          </w:p>
        </w:tc>
        <w:tc>
          <w:tcPr>
            <w:tcW w:w="960" w:type="dxa"/>
            <w:vAlign w:val="bottom"/>
            <w:tcBorders>
              <w:bottom w:val="single" w:sz="8" w:color="auto"/>
            </w:tcBorders>
          </w:tcPr>
          <w:p>
            <w:pPr>
              <w:jc w:val="right"/>
              <w:ind w:right="812"/>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(107,824)</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5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(480,786)</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(142,451)</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derive our revenue from subscription agreements with customers for access to our unified communications and collaboration platform. Our customers generally do not have the ability to take possession of our software. We also provide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services, which include professional services, consulting services, and online event hosting, which are generally considered distinct from the access to our unified communications and collaboration platform. The amount of revenue recognized reflects the consideration that we expect to receive in exchange for these services over the contract term which can include a free period discount.</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Cost of revenue primarily consists of costs related to hosting our unified communications and collaboration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corporate security and regulatory expenses; and allocated overhead.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Gains on Strategic Investments,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Gains on strategic investments, net consist primarily of remeasurement gains on our equity investments.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net consists primarily of interest income and net accretion on our marketable securities and effect of changes in foreign currency exchange rates.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set forth selected condensed consolidated statements of operations data and such data as a percentage of revenue for each of the periods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940" w:type="dxa"/>
            <w:vAlign w:val="bottom"/>
            <w:tcBorders>
              <w:bottom w:val="single" w:sz="8" w:color="auto"/>
            </w:tcBorders>
          </w:tcPr>
          <w:p>
            <w:pPr>
              <w:spacing w:after="0"/>
              <w:rPr>
                <w:sz w:val="13"/>
                <w:szCs w:val="13"/>
                <w:color w:val="auto"/>
              </w:rPr>
            </w:pPr>
          </w:p>
        </w:tc>
      </w:tr>
      <w:tr>
        <w:trPr>
          <w:trHeight w:val="154"/>
        </w:trPr>
        <w:tc>
          <w:tcPr>
            <w:tcW w:w="79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77"/>
        </w:trPr>
        <w:tc>
          <w:tcPr>
            <w:tcW w:w="7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gridSpan w:val="3"/>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5"/>
                <w:szCs w:val="15"/>
                <w:color w:val="auto"/>
              </w:rPr>
            </w:pPr>
          </w:p>
        </w:tc>
      </w:tr>
      <w:tr>
        <w:trPr>
          <w:trHeight w:val="19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1,141,234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1,105,364</w:t>
            </w:r>
          </w:p>
        </w:tc>
      </w:tr>
      <w:tr>
        <w:trPr>
          <w:trHeight w:val="180"/>
        </w:trPr>
        <w:tc>
          <w:tcPr>
            <w:tcW w:w="79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Cost of revenue </w:t>
            </w:r>
            <w:r>
              <w:rPr>
                <w:rFonts w:ascii="Times New Roman" w:cs="Times New Roman" w:eastAsia="Times New Roman" w:hAnsi="Times New Roman"/>
                <w:sz w:val="18"/>
                <w:szCs w:val="18"/>
                <w:color w:val="auto"/>
                <w:vertAlign w:val="superscript"/>
              </w:rPr>
              <w:t>(1)</w:t>
            </w:r>
          </w:p>
        </w:tc>
        <w:tc>
          <w:tcPr>
            <w:tcW w:w="9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273,302</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263,947</w:t>
            </w:r>
          </w:p>
        </w:tc>
      </w:tr>
      <w:tr>
        <w:trPr>
          <w:trHeight w:val="17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867,932</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841,417</w:t>
            </w:r>
          </w:p>
        </w:tc>
      </w:tr>
      <w:tr>
        <w:trPr>
          <w:trHeight w:val="16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79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Research and development </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205,558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209,271</w:t>
            </w:r>
          </w:p>
        </w:tc>
      </w:tr>
      <w:tr>
        <w:trPr>
          <w:trHeight w:val="180"/>
        </w:trPr>
        <w:tc>
          <w:tcPr>
            <w:tcW w:w="79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Sales and marketing </w:t>
            </w:r>
            <w:r>
              <w:rPr>
                <w:rFonts w:ascii="Times New Roman" w:cs="Times New Roman" w:eastAsia="Times New Roman" w:hAnsi="Times New Roman"/>
                <w:sz w:val="18"/>
                <w:szCs w:val="18"/>
                <w:color w:val="auto"/>
                <w:vertAlign w:val="superscript"/>
              </w:rPr>
              <w:t>(1)</w:t>
            </w:r>
          </w:p>
        </w:tc>
        <w:tc>
          <w:tcPr>
            <w:tcW w:w="9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348,008</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422,504</w:t>
            </w:r>
          </w:p>
        </w:tc>
      </w:tr>
      <w:tr>
        <w:trPr>
          <w:trHeight w:val="180"/>
        </w:trPr>
        <w:tc>
          <w:tcPr>
            <w:tcW w:w="79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8"/>
                <w:szCs w:val="18"/>
                <w:color w:val="auto"/>
                <w:vertAlign w:val="superscript"/>
              </w:rPr>
              <w:t>(1)</w:t>
            </w:r>
          </w:p>
        </w:tc>
        <w:tc>
          <w:tcPr>
            <w:tcW w:w="9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111,344</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199,900</w:t>
            </w:r>
          </w:p>
        </w:tc>
      </w:tr>
      <w:tr>
        <w:trPr>
          <w:trHeight w:val="171"/>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664,910</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831,675</w:t>
            </w:r>
          </w:p>
        </w:tc>
      </w:tr>
      <w:tr>
        <w:trPr>
          <w:trHeight w:val="17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9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203,022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9,742</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on strategic investments, net</w:t>
            </w:r>
          </w:p>
        </w:tc>
        <w:tc>
          <w:tcPr>
            <w:tcW w:w="9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17,354</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9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71,588</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31,213</w:t>
            </w: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9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291,964</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43,230</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75,656</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27,786</w:t>
            </w: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216,308</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15,444</w:t>
            </w:r>
          </w:p>
        </w:tc>
      </w:tr>
      <w:tr>
        <w:trPr>
          <w:trHeight w:val="20"/>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160" w:hanging="141"/>
        <w:spacing w:after="0"/>
        <w:tabs>
          <w:tab w:leader="none" w:pos="16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4700" w:type="dxa"/>
            <w:vAlign w:val="bottom"/>
            <w:gridSpan w:val="3"/>
            <w:shd w:val="clear" w:color="auto" w:fill="CFF0FC"/>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31,575</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38,089</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82,569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81,466</w:t>
            </w:r>
          </w:p>
        </w:tc>
        <w:tc>
          <w:tcPr>
            <w:tcW w:w="0" w:type="dxa"/>
            <w:vAlign w:val="bottom"/>
          </w:tcPr>
          <w:p>
            <w:pPr>
              <w:spacing w:after="0"/>
              <w:rPr>
                <w:sz w:val="1"/>
                <w:szCs w:val="1"/>
                <w:color w:val="auto"/>
              </w:rPr>
            </w:pPr>
          </w:p>
        </w:tc>
      </w:tr>
      <w:tr>
        <w:trPr>
          <w:trHeight w:val="18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77,234</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112,593</w:t>
            </w:r>
          </w:p>
        </w:tc>
        <w:tc>
          <w:tcPr>
            <w:tcW w:w="0" w:type="dxa"/>
            <w:vAlign w:val="bottom"/>
          </w:tcPr>
          <w:p>
            <w:pPr>
              <w:spacing w:after="0"/>
              <w:rPr>
                <w:sz w:val="1"/>
                <w:szCs w:val="1"/>
                <w:color w:val="auto"/>
              </w:rPr>
            </w:pPr>
          </w:p>
        </w:tc>
      </w:tr>
      <w:tr>
        <w:trPr>
          <w:trHeight w:val="180"/>
        </w:trPr>
        <w:tc>
          <w:tcPr>
            <w:tcW w:w="4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8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38,047</w:t>
            </w:r>
          </w:p>
        </w:tc>
        <w:tc>
          <w:tcPr>
            <w:tcW w:w="10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50,197</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36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229,425</w:t>
            </w:r>
          </w:p>
        </w:tc>
        <w:tc>
          <w:tcPr>
            <w:tcW w:w="10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282,345</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36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7"/>
        </w:trPr>
        <w:tc>
          <w:tcPr>
            <w:tcW w:w="40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gridSpan w:val="4"/>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a percentage of revenue)</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8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6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6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80"/>
        </w:trPr>
        <w:tc>
          <w:tcPr>
            <w:tcW w:w="4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75.2</w:t>
            </w: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3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on strategic investments, net</w:t>
            </w:r>
          </w:p>
        </w:tc>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6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6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80" w:type="dxa"/>
            <w:vAlign w:val="bottom"/>
            <w:vMerge w:val="restart"/>
          </w:tcPr>
          <w:p>
            <w:pPr>
              <w:jc w:val="right"/>
              <w:ind w:right="1909"/>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40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9A9A9A"/>
            </w:tcBorders>
          </w:tcPr>
          <w:p>
            <w:pPr>
              <w:spacing w:after="0"/>
              <w:rPr>
                <w:sz w:val="7"/>
                <w:szCs w:val="7"/>
                <w:color w:val="auto"/>
              </w:rPr>
            </w:pPr>
          </w:p>
        </w:tc>
        <w:tc>
          <w:tcPr>
            <w:tcW w:w="36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April 30, 2024 and 2023</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154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6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3"/>
          </w:tcPr>
          <w:p>
            <w:pPr>
              <w:ind w:left="7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6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1,141,234</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1,105,364</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3.2 %</w:t>
            </w: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 xml:space="preserve">Revenue for the three months ended April 30, 2024, increased by $35.9 million, or 3.2%, compared to the three months ended April 30, 2023. The </w:t>
      </w:r>
      <w:r>
        <w:rPr>
          <w:rFonts w:ascii="Times New Roman" w:cs="Times New Roman" w:eastAsia="Times New Roman" w:hAnsi="Times New Roman"/>
          <w:sz w:val="14"/>
          <w:szCs w:val="14"/>
          <w:color w:val="000000"/>
        </w:rPr>
        <w:t>increase was driven by a 5.3% increase in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revenue from Enterprise customers, of which 42.7% and 57.3% were from existing and new customers, respectively. Revenue from Online customers remained flat year over year.</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1520" w:type="dxa"/>
            <w:vAlign w:val="bottom"/>
            <w:tcBorders>
              <w:bottom w:val="single" w:sz="8" w:color="auto"/>
            </w:tcBorders>
          </w:tcPr>
          <w:p>
            <w:pPr>
              <w:spacing w:after="0"/>
              <w:rPr>
                <w:sz w:val="13"/>
                <w:szCs w:val="13"/>
                <w:color w:val="auto"/>
              </w:rPr>
            </w:pPr>
          </w:p>
        </w:tc>
      </w:tr>
      <w:tr>
        <w:trPr>
          <w:trHeight w:val="154"/>
        </w:trPr>
        <w:tc>
          <w:tcPr>
            <w:tcW w:w="652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6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gridSpan w:val="3"/>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90"/>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88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4"/>
                <w:szCs w:val="14"/>
                <w:color w:val="auto"/>
                <w:w w:val="96"/>
              </w:rPr>
              <w:t>273,302</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w w:val="96"/>
              </w:rPr>
              <w:t>263,947</w:t>
            </w:r>
          </w:p>
        </w:tc>
        <w:tc>
          <w:tcPr>
            <w:tcW w:w="10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tcPr>
          <w:p>
            <w:pPr>
              <w:spacing w:after="0"/>
              <w:rPr>
                <w:sz w:val="15"/>
                <w:szCs w:val="15"/>
                <w:color w:val="auto"/>
              </w:rPr>
            </w:pP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w w:val="96"/>
              </w:rPr>
              <w:t>867,932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6"/>
              </w:rPr>
              <w:t>841,417</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80"/>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8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76.1 %</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76.1 %</w:t>
            </w:r>
          </w:p>
        </w:tc>
        <w:tc>
          <w:tcPr>
            <w:tcW w:w="1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r>
    </w:tbl>
    <w:p>
      <w:pPr>
        <w:spacing w:after="0" w:line="2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 xml:space="preserve">Cost of revenue for the three months ended April 30, 2024, increased by $9.4 million, or 3.5%, compared to the three months ended April 30, 2023. The </w:t>
      </w:r>
      <w:r>
        <w:rPr>
          <w:rFonts w:ascii="Times New Roman" w:cs="Times New Roman" w:eastAsia="Times New Roman" w:hAnsi="Times New Roman"/>
          <w:sz w:val="14"/>
          <w:szCs w:val="14"/>
          <w:color w:val="000000"/>
        </w:rPr>
        <w:t>increase</w:t>
      </w:r>
      <w:r>
        <w:rPr>
          <w:rFonts w:ascii="Times New Roman" w:cs="Times New Roman" w:eastAsia="Times New Roman" w:hAnsi="Times New Roman"/>
          <w:sz w:val="14"/>
          <w:szCs w:val="14"/>
          <w:color w:val="231F20"/>
        </w:rPr>
        <w:t xml:space="preserve"> was primarily driven by higher hosting costs, partially offset by lower restructuring costs as a result of the prior year restructuring plan.</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Gross margin remained flat at 76.1% for the three months ended </w:t>
      </w:r>
      <w:r>
        <w:rPr>
          <w:rFonts w:ascii="Times New Roman" w:cs="Times New Roman" w:eastAsia="Times New Roman" w:hAnsi="Times New Roman"/>
          <w:sz w:val="14"/>
          <w:szCs w:val="14"/>
          <w:color w:val="231F20"/>
        </w:rPr>
        <w:t>April 30, 2024, as the revenue increase was partially offset by the higher hosting costs.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154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6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205,558</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209,271</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r>
    </w:tbl>
    <w:p>
      <w:pPr>
        <w:spacing w:after="0" w:line="2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 xml:space="preserve">Research and development expense for the three months ended April 30, 2024, decreased by $3.7 million, or 1.8%, compared to the three months ended April 30, 2023. The decrease was primarily </w:t>
      </w:r>
      <w:r>
        <w:rPr>
          <w:rFonts w:ascii="Times New Roman" w:cs="Times New Roman" w:eastAsia="Times New Roman" w:hAnsi="Times New Roman"/>
          <w:sz w:val="14"/>
          <w:szCs w:val="14"/>
          <w:color w:val="000000"/>
        </w:rPr>
        <w:t>due to a $8.1 million decrease in personnel-related expenses, including a $19.3 million decrease in restructuring costs as a result of the prior year restructuring plan, offset by a $5.8 million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increase </w:t>
      </w:r>
      <w:r>
        <w:rPr>
          <w:rFonts w:ascii="Times New Roman" w:cs="Times New Roman" w:eastAsia="Times New Roman" w:hAnsi="Times New Roman"/>
          <w:sz w:val="14"/>
          <w:szCs w:val="14"/>
          <w:color w:val="231F20"/>
        </w:rPr>
        <w:t>in salaries, payroll taxes and benefits, and a</w:t>
      </w:r>
      <w:r>
        <w:rPr>
          <w:rFonts w:ascii="Times New Roman" w:cs="Times New Roman" w:eastAsia="Times New Roman" w:hAnsi="Times New Roman"/>
          <w:sz w:val="14"/>
          <w:szCs w:val="14"/>
          <w:color w:val="000000"/>
        </w:rPr>
        <w:t xml:space="preserve"> $5.4 million increase </w:t>
      </w:r>
      <w:r>
        <w:rPr>
          <w:rFonts w:ascii="Times New Roman" w:cs="Times New Roman" w:eastAsia="Times New Roman" w:hAnsi="Times New Roman"/>
          <w:sz w:val="14"/>
          <w:szCs w:val="14"/>
          <w:color w:val="231F20"/>
        </w:rPr>
        <w:t>in stock-based compensation expense.</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154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6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348,008</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422,504</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 xml:space="preserve">Sales and marketing expense for the three months ended April 30, 2024, decreased by $74.5 million, or 17.6%, compared to the three months ended April 30, 2023. The decrease was primarily due to a </w:t>
      </w:r>
      <w:r>
        <w:rPr>
          <w:rFonts w:ascii="Times New Roman" w:cs="Times New Roman" w:eastAsia="Times New Roman" w:hAnsi="Times New Roman"/>
          <w:sz w:val="14"/>
          <w:szCs w:val="14"/>
          <w:color w:val="000000"/>
        </w:rPr>
        <w:t>$78.1 million decrease</w:t>
      </w:r>
      <w:r>
        <w:rPr>
          <w:rFonts w:ascii="Times New Roman" w:cs="Times New Roman" w:eastAsia="Times New Roman" w:hAnsi="Times New Roman"/>
          <w:sz w:val="14"/>
          <w:szCs w:val="14"/>
          <w:color w:val="231F20"/>
        </w:rPr>
        <w:t xml:space="preserve"> in personnel-related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231F20"/>
        </w:rPr>
        <w:t xml:space="preserve">expenses, including a </w:t>
      </w:r>
      <w:r>
        <w:rPr>
          <w:rFonts w:ascii="Times New Roman" w:cs="Times New Roman" w:eastAsia="Times New Roman" w:hAnsi="Times New Roman"/>
          <w:sz w:val="14"/>
          <w:szCs w:val="14"/>
          <w:color w:val="000000"/>
        </w:rPr>
        <w:t>$33.8 million decrease</w:t>
      </w:r>
      <w:r>
        <w:rPr>
          <w:rFonts w:ascii="Times New Roman" w:cs="Times New Roman" w:eastAsia="Times New Roman" w:hAnsi="Times New Roman"/>
          <w:sz w:val="14"/>
          <w:szCs w:val="14"/>
          <w:color w:val="231F20"/>
        </w:rPr>
        <w:t xml:space="preserve"> in restructuring costs as a result of the prior year restructuring plan, a </w:t>
      </w:r>
      <w:r>
        <w:rPr>
          <w:rFonts w:ascii="Times New Roman" w:cs="Times New Roman" w:eastAsia="Times New Roman" w:hAnsi="Times New Roman"/>
          <w:sz w:val="14"/>
          <w:szCs w:val="14"/>
          <w:color w:val="000000"/>
        </w:rPr>
        <w:t>$27.2 million decrease</w:t>
      </w:r>
      <w:r>
        <w:rPr>
          <w:rFonts w:ascii="Times New Roman" w:cs="Times New Roman" w:eastAsia="Times New Roman" w:hAnsi="Times New Roman"/>
          <w:sz w:val="14"/>
          <w:szCs w:val="14"/>
          <w:color w:val="231F20"/>
        </w:rPr>
        <w:t xml:space="preserve"> in </w:t>
      </w:r>
      <w:r>
        <w:rPr>
          <w:rFonts w:ascii="Times New Roman" w:cs="Times New Roman" w:eastAsia="Times New Roman" w:hAnsi="Times New Roman"/>
          <w:sz w:val="14"/>
          <w:szCs w:val="14"/>
          <w:color w:val="000000"/>
        </w:rPr>
        <w:t>stock-based compensation expense, and a $12.5 million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decrease in commissions expense.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154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6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111,344</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199,900</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w:t>
            </w:r>
          </w:p>
        </w:tc>
      </w:tr>
    </w:tbl>
    <w:p>
      <w:pPr>
        <w:spacing w:after="0" w:line="2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 xml:space="preserve">General and administrative expense for the three months ended April 30, 2024, decreased by $88.6 million, or 44.3%, compared to the three months ended April 30, 2023. The decrease was primarily </w:t>
      </w:r>
      <w:r>
        <w:rPr>
          <w:rFonts w:ascii="Times New Roman" w:cs="Times New Roman" w:eastAsia="Times New Roman" w:hAnsi="Times New Roman"/>
          <w:sz w:val="14"/>
          <w:szCs w:val="14"/>
          <w:color w:val="000000"/>
        </w:rPr>
        <w:t>due to a $50.0 million decrease in legal expenses, including litigation settlements; a $17.8 million decrease in personnel-related expenses, including a $12.9 million decrease in restructuring</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costs as a result of the prior year restructuring plan, and a $9.2 million decrease in stock-based compensation expense; and a $8.7 million decrease in bad debt expense.</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Gains on Strategic Investments,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154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6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Gains on strategic investments, net</w:t>
            </w:r>
          </w:p>
        </w:tc>
        <w:tc>
          <w:tcPr>
            <w:tcW w:w="90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17,354</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662.8 %</w:t>
            </w:r>
          </w:p>
        </w:tc>
      </w:tr>
    </w:tbl>
    <w:p>
      <w:pPr>
        <w:spacing w:after="0" w:line="2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Gains on strategic investments, net for the three months ended April 30, 2024, increased by $15.1 million, or 662.8%, compared to the three months ended April 30, 2023. The decrease was mainly due to changes in the valuations of our privately held securities.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154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6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90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71,588</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31,213</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129.4 %</w:t>
            </w: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 xml:space="preserve">Other income, net for the three months ended April 30, 2024, increased by $40.4 million, or 129.4%, compared to the three months ended April 30, 2023. The increase was mainly due to a $43.7 million </w:t>
      </w:r>
      <w:r>
        <w:rPr>
          <w:rFonts w:ascii="Times New Roman" w:cs="Times New Roman" w:eastAsia="Times New Roman" w:hAnsi="Times New Roman"/>
          <w:sz w:val="14"/>
          <w:szCs w:val="14"/>
          <w:color w:val="000000"/>
        </w:rPr>
        <w:t>increase</w:t>
      </w:r>
      <w:r>
        <w:rPr>
          <w:rFonts w:ascii="Times New Roman" w:cs="Times New Roman" w:eastAsia="Times New Roman" w:hAnsi="Times New Roman"/>
          <w:sz w:val="14"/>
          <w:szCs w:val="14"/>
          <w:color w:val="231F20"/>
        </w:rPr>
        <w:t xml:space="preserve"> in investment yield from cash and marketable securities.</w:t>
      </w: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1540" w:type="dxa"/>
            <w:vAlign w:val="bottom"/>
            <w:tcBorders>
              <w:bottom w:val="single" w:sz="8" w:color="auto"/>
            </w:tcBorders>
          </w:tcPr>
          <w:p>
            <w:pPr>
              <w:spacing w:after="0"/>
              <w:rPr>
                <w:sz w:val="13"/>
                <w:szCs w:val="13"/>
                <w:color w:val="auto"/>
              </w:rPr>
            </w:pPr>
          </w:p>
        </w:tc>
      </w:tr>
      <w:tr>
        <w:trPr>
          <w:trHeight w:val="154"/>
        </w:trPr>
        <w:tc>
          <w:tcPr>
            <w:tcW w:w="6720" w:type="dxa"/>
            <w:vAlign w:val="bottom"/>
          </w:tcPr>
          <w:p>
            <w:pPr>
              <w:spacing w:after="0"/>
              <w:rPr>
                <w:sz w:val="13"/>
                <w:szCs w:val="13"/>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6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0"/>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0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75,656</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27,786</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172.3 %</w:t>
            </w: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Provision for income taxes for the three months ended April 30, 2024 increased by $47.9 million, or 172.3%, compared to the three months ended April 30, 2023. The year-over-year change was primarily due to the increase in income before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April 30, 2024, our principal sources of liquidity were cash, cash equivalents, and marketable securities of $7.4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have financed our operations primarily through income from operations and sales of equity securities. Cash from operations could also be affected by various risks and uncertainties, including, but not limited to, the recent macroeconomic</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shifts, such as high inflation, elevated interest rates, and the responses by central banking authorities, potential recessionary environments, and the fluctuations in foreign currency exchange rates, could impact the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6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to our material cash requirements from known contractual and other obligations from those disclosed in our Management’s Discussion and Analysis of Financial Condition and Results of Operations, included in our Annual Report on Form 10-K for the year ended January 31, 2024, filed with the SEC on March 4, 2024.</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940" w:type="dxa"/>
            <w:vAlign w:val="bottom"/>
            <w:tcBorders>
              <w:bottom w:val="single" w:sz="8" w:color="auto"/>
            </w:tcBorders>
          </w:tcPr>
          <w:p>
            <w:pPr>
              <w:spacing w:after="0"/>
              <w:rPr>
                <w:sz w:val="13"/>
                <w:szCs w:val="13"/>
                <w:color w:val="auto"/>
              </w:rPr>
            </w:pPr>
          </w:p>
        </w:tc>
      </w:tr>
      <w:tr>
        <w:trPr>
          <w:trHeight w:val="154"/>
        </w:trPr>
        <w:tc>
          <w:tcPr>
            <w:tcW w:w="78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77"/>
        </w:trPr>
        <w:tc>
          <w:tcPr>
            <w:tcW w:w="7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gridSpan w:val="3"/>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5"/>
                <w:szCs w:val="15"/>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4"/>
                <w:szCs w:val="14"/>
                <w:color w:val="auto"/>
              </w:rPr>
              <w:t>588,191</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418,487</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center"/>
              <w:ind w:left="576"/>
              <w:spacing w:after="0"/>
              <w:rPr>
                <w:sz w:val="20"/>
                <w:szCs w:val="20"/>
                <w:color w:val="auto"/>
              </w:rPr>
            </w:pPr>
            <w:r>
              <w:rPr>
                <w:rFonts w:ascii="Times New Roman" w:cs="Times New Roman" w:eastAsia="Times New Roman" w:hAnsi="Times New Roman"/>
                <w:sz w:val="14"/>
                <w:szCs w:val="14"/>
                <w:color w:val="auto"/>
              </w:rPr>
              <w:t>(107,824)</w:t>
            </w:r>
          </w:p>
        </w:tc>
        <w:tc>
          <w:tcPr>
            <w:tcW w:w="100" w:type="dxa"/>
            <w:vAlign w:val="bottom"/>
          </w:tcPr>
          <w:p>
            <w:pPr>
              <w:spacing w:after="0"/>
              <w:rPr>
                <w:sz w:val="15"/>
                <w:szCs w:val="15"/>
                <w:color w:val="auto"/>
              </w:rPr>
            </w:pPr>
          </w:p>
        </w:tc>
        <w:tc>
          <w:tcPr>
            <w:tcW w:w="70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(480,786)</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4"/>
                <w:szCs w:val="14"/>
                <w:color w:val="auto"/>
              </w:rPr>
              <w:t>(142,451)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r>
    </w:tbl>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provided by operating activities was $588.2 million for the three months ended April 30, 2024, compared to $418.5 million for the three months ended April 30, 2023. The increase in operating cash flow was primarily due to higher collections and higher interest received.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of $107.8 million for the three months ended April 30, 2024 was due to net purchases of marketable securities of $91.0 million, purchases of property and equipment of $18.5 million, and purchases of strategic investments of $3.0 million, partially offset by proceeds from strategic investments of $4.7 million.</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of $480.8 million for the three months ended April 30, 2023 was due to net purchases of marketable securities of $208.5 million, cash paid for acquisition, net of cash acquired, of $199.4 million, purchases of strategic investments of $51.0 million, and purchases of property and equipment of $21.8 million.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of $142.5 million for the three months ended April 30, 2024 was due to cash paid for repurchases of common stock of $150.0 million, partially offset by proceeds from employee equity transactions to be remitted to employees and tax authorities, net, of $6.6 million and proceeds from the exercise of stock options of $1.0 million.</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of $7.0 million for the three months ended April 30, 2023 was due to proceeds from the exercise of stock options of $4.3 million and proceeds from employee equity transactions to be remitted to employees and tax authorities, net, of $2.8 million.</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February 2024, our Board of Directors authorized a stock repurchase program of up to $1.5 billion of our Class A common stock, $1,350.0 million of which remain available as of April 30, 2024. Repurchases of our Class A common stock may be effected, from time to time, either on the open market (including pre-set trading plans), in privately negotiated transactions, and other transactions in accordance with applicable securities laws.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three months ended April 30, 2024, we repurchased on the open market 2,400,305 shares of our Class A common stock for an aggregate purchase of $150.0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to our critical accounting estimates as compared to the critical accounting estimates described in our Management’s Discussion and Analysis of Financial Condition and Results of Operations, included in our Annual Report on Form 10-K for the year ended January 31, 2024, filed with the SEC on March 4, 2024.</w:t>
      </w:r>
    </w:p>
    <w:p>
      <w:pPr>
        <w:spacing w:after="0" w:line="9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QUALITATIVE AND QUANTITATIVE DISCLOSURES ABOUT MARKET RISK</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and Exchange Risk</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 xml:space="preserve">The majority of our cash generated from revenue is denominated in U.S. dollars, with a portion of our revenue from amounts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For the three months ended </w:t>
      </w:r>
      <w:r>
        <w:rPr>
          <w:rFonts w:ascii="Times New Roman" w:cs="Times New Roman" w:eastAsia="Times New Roman" w:hAnsi="Times New Roman"/>
          <w:sz w:val="14"/>
          <w:szCs w:val="14"/>
          <w:color w:val="231F20"/>
        </w:rPr>
        <w:t>April 30, 2024</w:t>
      </w:r>
      <w:r>
        <w:rPr>
          <w:rFonts w:ascii="Times New Roman" w:cs="Times New Roman" w:eastAsia="Times New Roman" w:hAnsi="Times New Roman"/>
          <w:sz w:val="14"/>
          <w:szCs w:val="14"/>
          <w:color w:val="auto"/>
        </w:rPr>
        <w:t xml:space="preserve"> and 2023, 19.4% and 19.3% of our revenue, respectively and 15.6% and 13.2% of our expenses, respectively, were denominated in currencies other than the U.S. dollar. The effect of a hypothetical 10% change in foreign currency exchange rates applicable to our business would not have had a material impact on our historical condensed consolidated financial statements for the three months ended April 30, 2024 and 2023.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had cash and cash equivalents of $1,885.6 million and marketable securities of $5,488.7 million as of April 30, 2024.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being exposed to, material risks due to changes in interest rates. A hypothetical 10% change in interest rates during any of the periods presented would not have had a material impact on our historical condensed consolidated financial statements for the three months ended April 30, 2024 and 2023.</w:t>
      </w:r>
    </w:p>
    <w:p>
      <w:pPr>
        <w:spacing w:after="0" w:line="9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w:t>
      </w:r>
      <w:r>
        <w:rPr>
          <w:rFonts w:ascii="Times New Roman" w:cs="Times New Roman" w:eastAsia="Times New Roman" w:hAnsi="Times New Roman"/>
          <w:sz w:val="14"/>
          <w:szCs w:val="14"/>
          <w:color w:val="231F20"/>
        </w:rPr>
        <w:t>April 30, 2024</w:t>
      </w:r>
      <w:r>
        <w:rPr>
          <w:rFonts w:ascii="Times New Roman" w:cs="Times New Roman" w:eastAsia="Times New Roman" w:hAnsi="Times New Roman"/>
          <w:sz w:val="14"/>
          <w:szCs w:val="14"/>
          <w:color w:val="auto"/>
        </w:rPr>
        <w:t>, our disclosure controls and procedures were effective at a reasonable assurance level.</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 xml:space="preserve">There has been no change in our internal control over financial reporting (as defined in Rules 13a-15(d) and 15d-15(d) under the Exchange Act) that occurred during the quarter ended </w:t>
      </w:r>
      <w:r>
        <w:rPr>
          <w:rFonts w:ascii="Times New Roman" w:cs="Times New Roman" w:eastAsia="Times New Roman" w:hAnsi="Times New Roman"/>
          <w:sz w:val="14"/>
          <w:szCs w:val="14"/>
          <w:color w:val="231F20"/>
        </w:rPr>
        <w:t>April 30,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2024 </w:t>
      </w:r>
      <w:r>
        <w:rPr>
          <w:rFonts w:ascii="Times New Roman" w:cs="Times New Roman" w:eastAsia="Times New Roman" w:hAnsi="Times New Roman"/>
          <w:sz w:val="14"/>
          <w:szCs w:val="14"/>
          <w:color w:val="000000"/>
        </w:rPr>
        <w:t>that has materially affected, or is reasonably likely to materially affect, our internal control over financial reporting.</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Inherent Limitations on Effectiveness of Disclosure Controls and Procedures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6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Information with respect to this item may be found in Note 7 - “Commitments and Contingencies” in the accompanying notes to the condensed consolidated financial statements included in Part I, Item 1, “Financial Statements” of this Quarterly Report on Form 10-Q, under “Legal Proceedings,” which is incorporated herein by reference.</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9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Risks Related to Our Business and Our Industry</w:t>
      </w:r>
    </w:p>
    <w:p>
      <w:pPr>
        <w:spacing w:after="0" w:line="17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business depends upon our ability to attract new customers, and maintain and expand our relationships with our existing customers, including upselling additional products and new product categories to our existing customers and upgrading users from a free plan to one of our paid offerings.</w:t>
      </w:r>
    </w:p>
    <w:p>
      <w:pPr>
        <w:spacing w:after="0" w:line="39"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business is subscription based, and customers are not obligated to, and may choose not to, renew their subscriptions after their existing subscriptions expire. Customers may also terminate or reduce the size of their existing subscriptions. As a result, we cannot provide assurance that customers will renew their subscriptions utilizing the same tier of plan, upgrade to a higher-priced tier, or purchase additional products, if they renew at all. Renewals of subscriptions to our platform may decline or fluctuate because of several factors, such as dissatisfaction with our products and support, a customer no longer having a need for our products, or a belief that a competitor’s product is better, more secure, or less expensive than our products and platform. For example, during the COVID-19 pandemic, we saw a significant increase in usage and subscriptions. As a result, our customer base shifted largely from businesses and enterprises to a mix of businesses, enterprises, and consumers. Following the pandemic, some of our customers reduced or discontinued their use of our platform, and additional customers may do so in the future. Additionally, this shift in mix has resulted and may continue to result in higher non-renewal rates than we have experienced in the past. Renewals are also impacted by reductions in customer information technology spending budgets or a decision by the customer to consolidate their spending budgets on one of our competitor’s platforms, both of which are more likely to occur during periods of high inflation or recessionary or uncertain economic environments. We must continually add new customers and licenses to grow our business and to replace customers and licenses who choose not to continue to use our platform. Finally, any decrease in user satisfaction with our products or support would harm our brand, word-of-mouth referrals, and ability to grow.</w:t>
      </w:r>
    </w:p>
    <w:p>
      <w:pPr>
        <w:spacing w:after="0" w:line="65"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encourage customers to purchase additional products and encourage users of our free offering to upgrade to one of our paid offerings by recommending additional features and through in-product prompts and notifications. However, free users may never upgrade to one of our paid offerings. We also seek to expand within organizations by adding new licenses, having workplaces purchase additional products, or expanding the use of our platform into other teams and departments within an organization. If we fail to upsell our customers or upgrade free users to one of our paid offerings or expand the number of licenses within organizations, our business would be harmed.</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revenue growth rate has fluctuated in prior periods, and may continue to decline in future periods.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revenue growth has fluctuated in prior periods. You should not rely on the revenue growth of any prior quarterly or annual period as an indication of our future performance. There are no assurances we will be able to sustain or increase our revenue growth in future periods, and our revenue growth rate may continue to decline in future periods. Many factors may contribute to declines in our growth rate, including higher market penetration, increased competition, macroeconomic conditions, such as inflation, recessionary or uncertain economic environments, fluctuating foreign currency exchange rates, slowing demand for our platform, a lower than anticipated capitalization on growth opportunities, and the maturation of our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 among others. Our growth rate could adversely affect investors’ perceptions of our business and the trading price of our Class A common stock could be adversely affected.</w:t>
      </w:r>
    </w:p>
    <w:p>
      <w:pPr>
        <w:spacing w:after="0" w:line="177"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to terminate their subscriptions and adversely affect our ability to attract new customers. Our ability to attract and retain customers and licenses depends on our ability to provide customers and users with a highly reliable platform and even minor interruptions or delays in our services could harm our business.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Additionally, if our data centers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co-located data centers throughout the world to meet increased demand, but we may be unable to bring additional data centers online in a timely manner, including as a result of current shortages for certain parts, such as servers.</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and other public health related measures,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operate in competitive markets, and we must continue to compete effectively.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market for communication and collaboration technologies platforms is competitive and rapidly changing, and existing and new market entrants, particularly established companies with greater resources than we have, that provide technologies to improve communication and collaboration technologies platforms, such as AI and machine learning, could also increase the level of competition in the market. Certain features of our current platform compete in the communication and collaboration technologies market with products offered by:</w:t>
      </w:r>
    </w:p>
    <w:p>
      <w:pPr>
        <w:spacing w:after="0" w:line="327"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bundled productivity solutions providers with video functionality, including Microsoft Teams and Google G Suite and Meet products;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legacy web-based meeting providers, including Cisco Webex and GoTo;</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UCaaS and legacy PBX providers, including Avaya, RingCentral, and 8x8;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consumer-facing platforms that can support small- or medium-sized businesses, including Amazon, Apple, and Facebook.</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Other large established companies may also make investments in video communications tools. In addition, as we introduce new products and services into our platform, and with the introduction of new technologies and market entrants, including AI, we expect competition to intensify in the future.</w:t>
      </w:r>
    </w:p>
    <w:p>
      <w:pPr>
        <w:spacing w:after="0" w:line="39"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February 2022, we launched Zoom Contact Center, an omnichannel contact center solution that is optimized for video, which competes against companies that offer similar services, such as Five9, Inc., Genesys and NICE inContact, and new competitors that may enter that market in the future. As we continue to build out our platform, we may face increased competition against companies that offer similar services and new competitors that may enter that market in the future. During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spacing w:after="0" w:line="6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results have fluctuated and may in the future fluctuate significantly and may not fully reflect the underlying performance of our business.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Fluctuation in our results may negatively impact the value of our securities. Factors that may cause fluctuations in our results of operations include, without limitation, those listed below:</w:t>
      </w:r>
    </w:p>
    <w:p>
      <w:pPr>
        <w:spacing w:after="0" w:line="61"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upgrade customers to higher-priced plans;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customers and upgrade free users to one of our paid offerings;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employees, in particular those responsible for the selling or marketing of our platform;</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way we organize and compensate our sales teams;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expenses and recognition of revenue;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sales to large organizations;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our sales cycles and linearity of our bookings, especially with respect to sales to large enterprises and highly regulated industries, including financial services and U.S. federal and state and foreign governmental agencies;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and effectiveness of new sales and marketing initiatives;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pricing policies or those of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experienced research and development personnel to design new products, features, and functionality that meet our privacy and security standards;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products, features, and functionality by us or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or delays in our service, network outages, or actual, alleged, or perceived privacy violations or issues or security vulnerabilities, incidents, or breaches;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lawsuits, regulatory actions or investigations, legislator scrutiny, or negative publicity arising from actual, alleged, or perceived privacy violations or issues or security vulnerabilities, incidents, or breaches;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dynamics of our industry, including consolidation among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that impact our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large indemnification payments to our users or other third parties;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expenses related to any future acquisitions;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market conditions.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significantly affected by changes in the economy, including any resulting effect on consumer or business spending.</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business may be significantly affected by changes in the economy, such as high inflation and the responses by central banking authorities to control such inflation, recessionary or uncertain environments, fluctuations in the foreign currency exchange rates and global impacts, including the Russian invasion of Ukraine, the conflict in Israel and the surrounding area and the United States' ongoing trade disputes with China and other countries. While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have experienced and may continue to experience a loss of users and customers, as well as a reduction in demand for our platform,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Moreover, we have lost and may continue to lose customers as a result of such customers ceasing to do business, and we have experienced and may continue to experience a material increase in longer payment cycles and greater difficulty in collecting accounts receivable from certain customers. These issues may continue in the future if current economic conditions continue or worsen.</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As we increase sales to large organizations, our sales cycles have and could continue to lengthen, and we could experience greater deployment challenges.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invest significant resources into sales to large organizations. Large organizations typically undertake a significant evaluation and negotiation process due to their leverage, size, organizational structure, and approval requirements, all of which have and may continue to lengthen our sales cycle. We have also faced and may in the future face unexpected deployment challenges with large organizations or more complicated deployment of our some or all aspects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51"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awareness of the communications and collaboration technologies category;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products and services that compete with ours;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modes of communications and collaboration that may be developed in the future;</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customer information technology spending budgets, or a consolidation of spending budgets on our competitors' platforms, especially during periods of inflation or recessionary or uncertain economic environments;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of adoption and use;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features and platform experience;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reliability of our platform, including frequency of outages;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user support;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net losses in the past and there are no assurances we will be able to maintain or increase profitability in the future.</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have incurred net losses in the past and could incur net losses in the future. We intend to continue to expend significant funds on our sales and marketing efforts to attract new customers, expand the number of licenses and services used by our customers and develop and enhance our products. We also intend to continue investing in general corporate purposes, including operations, hiring additional personnel, including through acquisitions of other businesses, upgrading our infrastructure, addressing security and privacy issues, and expanding into new geographies and markets. To the extent we are successful in increasing our customer base, we may also incur increased losses because, other than sales commissions, the costs associated with acquiring customers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users have upgraded to a paid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customer adoption and renewal of our platform, the entry of competitive products and services, or the success of existing competitive products and services. As a result, we may not increase or maintain profitability in future periods. If we fail to grow our revenue sufficiently to keep pace with our investments and other expenses, our business would be harmed.</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and some of these third parties can make it more difficult for our platform to interoperate with their systems in favor of competitive platforms.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6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we provide, develop, and create applications for our platform partners that integrate our platform with our partners’ various offerings. For example, our Zoom Workplace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respond to rapid technological changes, extend our platform, or develop new features.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communications and collaboration technologies market is characterized by rapid technological change and frequent new product and service introductions. Our ability to grow our customer base and increase our revenue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AI and machine learning are changing the way people work,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demand for our platform. There is no assurance that new additions or other future enhancements to our platform or new product experiences, features, or capabilities will be compelling to our customers or gain market acceptance, or that they will perform as expected. If our research and development investments do not accurately anticipate demand or if we fail to develop our platform in a manner that satisfies customer preferences and requirements in a timely and cost-effective manner, we may fail to retain our existing customers or increase demand for our platform.</w:t>
      </w:r>
    </w:p>
    <w:p>
      <w:pPr>
        <w:spacing w:after="0" w:line="6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users do not widely adopt our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37"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use generative AI including in our products and services, which may result in operational challenges, legal liability, reputational concerns, competitive risks and regulatory concerns that could adversely affect our business and results of operations.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use generative AI processes and algorithms, including by deploying generative AI features in our products and services, which may result in adverse effects to our operations, legal liability, reputation and competitive risks. The use of generative AI at scale is relatively new, and may lead to challenges, concerns and risks that are significant or that we may not be able to predict. For example, AI algorithms use machine learning (“ML”) and predictive analytics which may be insufficient, biased, inaccurate or of poor quality, which could result in customer rejection or skepticism of our products, adversely impact the rights of individuals, affect our reputation or brand, and negatively affect our financial results. Additionally, we rely on third parties for certain AI features of our products and if such third parties do not provide us those features (or do not do so on acceptable terms), experience interruptions, or cease operating, we may need to work with another provider, which may take time or may not be possible, and could result in the disruption of certain of our products or services, affect our reputation or brand, and negatively affect our financial results. We could also face claims from third parties claiming infringement of their intellectual property or other proprietary rights with respect to materials used or created by generative AI tools or features that we believed to be available for use and not subject to such rights. The investment required to bring AI features to market and the costs associated with providing these features to our customers may be significant, and we may be unable to recover these costs if customers and users do not widely adopt these features. Further, use of generative AI tools by our employees or others could result in disclosure of confidential or sensitive company and customer data, reputational harm, and legal liability.</w:t>
      </w:r>
    </w:p>
    <w:p>
      <w:pPr>
        <w:spacing w:after="0" w:line="148"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ability to increase our customer base and achieve broader market acceptance of our products and services will depend to a significant extent on our ability to expand our marketing and sales operations. We plan to continue expanding our sales and marketing capabilities, including through strategic partners, both domestically and internationally. If we are unable to expand our sales and marketing operations, our future revenue growth and business could be adversely impacted.</w:t>
      </w:r>
    </w:p>
    <w:p>
      <w:pPr>
        <w:spacing w:after="0" w:line="51"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as the cost to acquire customers through these efforts is high. Our business will be harmed if our efforts do not generate a correspondingly significant increase in revenue.</w:t>
      </w:r>
    </w:p>
    <w:p>
      <w:pPr>
        <w:spacing w:after="0" w:line="30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Failures in internet infrastructure or interference with broadband access could cause current or potential users to believe that our systems are unreliable, possibly leading our customers to switch to our competitors, or to cancel their subscriptions to our platform.</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to support our user base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5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On January 4, 2018, the Federal Communications Commission (“FCC”) released an order reclassifying broadband internet access as an information service, a regulatory regime generally referred to as network neutrality,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On October 19, 2023, the FCC adopted a notice of proposed rulemaking proposing to reinstate the 2015 rules, and on April 24, 2024, adopted an order that substantially reinstated those rules. We cannot predict the impact of the new rules on our operations or business.</w:t>
      </w:r>
    </w:p>
    <w:p>
      <w:pPr>
        <w:spacing w:after="0" w:line="6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addition, a number of states have adopted or are adopting or considering legislation or executive actions that would regulate the conduct of broadband providers. After a federal court judge denied a request for a preliminary injunction against California’s state-specific network neutrality law, California began enforcing that law on March 25, 2021. A number of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The FCC’s April 24 order permits it to preempt any state-level network neutrality requirements that go beyond the requirements adopted in that order, but specifically held that the California law would not be preempted. We cannot predict whether the FCC order or other state initiatives will be enforced, modified, overturned, or vacated by legal action of the court, federal legislation, or the FCC. Under the FCC’s current rules, broadband internet access providers may be able to charge web-based services such as ours for priority access or favor services offered by our competitors or by the internet access providers themselves, which could result in increased costs and a loss of existing customers, impair our ability to attract new customers, and harm our business but the new rules, if they go into effect, are intended to limit the ability of broadband internet access providers to engage in such behavior.</w:t>
      </w:r>
    </w:p>
    <w:p>
      <w:pPr>
        <w:spacing w:after="0" w:line="61"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301"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security measures, and those of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our incurring significant liabilities, and our business being harmed.</w:t>
      </w:r>
    </w:p>
    <w:p>
      <w:pPr>
        <w:spacing w:after="0" w:line="55"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with whom we work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We routinely investigate security incidents, which have resulted and may result in unauthorized access to, loss or unauthorized disclosure of, or inadvertent disclosure of confidential, proprietary, and sensitive information.</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Cyberattacks, other malicious internet-based activity, online and offline fraud, and other similar activities threaten the confidentiality, integrity, and availability of our proprietary, confidential, and sensitive data and information technology systems, and those of the third parties with whom we work.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which could materially disrupt our systems and operations, supply chain, and ability to provide our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personnel misconduct or error, supply-chain attacks, software bugs, server malfunctions, software or hardware failures, loss of data or other information technology assets, adware, telecommunications failures, attacks enhanced or facilitated by AI,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or our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5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addition, our reliance on third parties could introduce new cybersecurity risks and vulnerabilities, including supply-chain attacks, and other threats to our business operations. We rely on third parties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 parties to provide other products, services and parts, or otherwise to operate our business.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supply chains have not been compromised.</w:t>
      </w:r>
    </w:p>
    <w:p>
      <w:pPr>
        <w:spacing w:after="0" w:line="6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If our security measures are compromised, our reputation could be damaged; our data, information or intellectual property, or that of our customers, may be destroyed, stolen, or otherwise compromised; our business may be harmed; and we could incur significant liability. We take steps designed to detect and remediate vulnerabilities in our information systems and those of third parties with whom we work, but we may not detect or remediate all such vulnerabilities or do so in a timely manner. The threats and techniques used to exploit vulnerabilities change frequently and are often sophisticated in nature, and may be difficult to detect by security tools. Vulnerabilities could be exploited and result in a security incident. We have limited budgetary and human resources for detecting and remediating vulnerabilities and have experienced difficulties in hiring and retaining qualified security personnel, especially after our recent restructuring actions. We may experience delays in developing and deploying remedial measures, including patches, designed to address identified vulnerabilities, and our remedial measures may require action by our customers such as installing patches or updates, which may increase the amount of time a vulnerability remains unremediated. We have not always been able in the past and may be unable in the future to anticipate or prevent threats or techniques used to detect or exploit vulnerabilities in our information systems or third-party software, or obtain unauthorized access to or compromise our systems.</w:t>
      </w:r>
    </w:p>
    <w:p>
      <w:pPr>
        <w:spacing w:after="0" w:line="6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high or critical vulnerabilities in our products, services and information systems in the past, and we expect that we will continue to identify such vulnerabilities in the future. We cannot be certain that we will be able to address any vulnerabilities in our products, services and information systems that we may become aware of in the future, or there may be delays in developing patches that can be effectively deployed to address vulnerabilities.</w:t>
      </w:r>
    </w:p>
    <w:p>
      <w:pPr>
        <w:spacing w:after="0" w:line="58"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will continue to make prioritization decisions based on, among other things, our available resources, the efficacy of our security tools, and the increasing workload to meet certain security obligations, to determine which vulnerabilities or security defects to fix and the timing of these fixes, which could result in an exploit that compromises security. In some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Security incidents and vulnerabilities, and concerns regarding privacy, data protection, and information security may also prevent some of our customers and users from using or cause some of our customers and users to stop using our solutions and fail to upgrade or renew their subscriptions. Failures to meet customers’ and users’ expectations with respect to security and confidentiality of their data and information could damage our reputation and affect our ability to retain customers and users, attract new customers and users,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63"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with whom we work A security incident or other interruption could disrupt our ability (and that of third parties with whom we work) to provide our services. We may expend significant resources or modify our business activities to try to protect against security incidents. Additionally, certain privacy, data protection, and information security obligations may require us to implement and maintain specific security measures or industry-standard or reasonable security measures to protect our information technology systems and sensitive data.</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Many governments have enacted laws requiring companies to provide notice of data security incidents, including those recently promulgated by the SEC. These laws may also require us to take certain measures, such as providing credit monitoring to individuals. Such laws are inconsistent, and compliance in the event of a widespread data breach is costly, and the disclosure or the failure to comply with such requirements could lead to adverse consequences. In addition, some of our customers require us to notify them of data security breaches.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Actual or perceived security gaps or security compromises experienced in our industry or by our competitors, our customers, a third party with whom we work, or us could cause us to experience adverse consequences, such as government enforcement actions (for example, investigations, fines, penalties, audits, and inspections); additional reporting requirements and/or oversight; restrictions on processing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while more than half of our employees are based in the United States, like many similarly situated technology companies, we have a sizable number of research and development personnel outside of the United States, including in China, which has exposed and could continue to expose us to governmental and regulatory as well as market and media scrutiny regarding the actual or perceived integrity of our platform or data security and privacy features.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Increased usage of our services, novel uses of our services, and additional awareness of Zoom and our brand has led and could in the future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2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believe that maintaining and enhancing the Zoom brand is critical to expanding our base of customers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customers.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manage our growth effectively, our business, financial condition and results of operations may be harmed.</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While our employee headcount both in the United States and internationally has generally increased over time, we have undertaken, and may undertake from time to time in the future, restructuring actions to better align our financial model and. For example, in February 2023, we commenced certain restructuring actions, designed to reduce operating costs and continue advancing our ongoing commitment to profitable growth.</w:t>
      </w:r>
    </w:p>
    <w:p>
      <w:pPr>
        <w:spacing w:after="0" w:line="5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These organizational changes may not achieve or sustain the targeted benefits, or the benefits, even if achieved, may not be adequate to meet our long-term profitability and operational expectations. Steps we take to manage our business operations, including workplace policies for employees, and to align our operations with our strategies for future growth, may adversely affect our reputation and brand, our ability to recruit, retain and motivate highly skilled personnel. Additionally, while we expect to continue to grow our business and operations over time, we have encountered in the past, and may encounter in the future, risks and uncertainties frequently experienced by growing companies in rapidly changing industries. Our ability to manage our growth and business operations effectively and to integrate new employees, technologies and acquisitions into our existing business will require us to continue to expend resources to continue to support our global user-base and to retain, attract, train, motivate and manage employees. This places a continuous, significant strain on our management, operational, and financial resources. If we fail to achieve the necessary level of efficiency in our organization as it grows, or if we are not able to accurately forecast future growth, our business would be harmed.</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sell subscriptions to our platform could be harmed by real or perceived material defects or errors in our platform.</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39"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a reduction in revenue or delay in market acceptance of our platform;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issue refunds to our customers or expose us to claims for damages;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us to lose existing customers and make it more difficult to attract new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 our development resources or require us to make extensive changes to our platform, which would increase our expenses;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technical support costs;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 our reputation and brand.</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If we were to lose the services of our Chief Executive Officer or other members of our senior management team, we may not be able to execute our business strategy.</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6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have significant and expanding operations outside the United States, which may subject us to increased business, regulatory and economic risks that could harm our business.</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Our platform addresses the communications and collaboration needs of users worldwide, and we see international expansion as a major opportunity. Our revenue from APAC and EMEA collectively represented 28.3% and 29.0% of our revenue for the three months ended April 30, 2024 and 2023, respectively. We plan to add local sales support in further select international markets over time.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including interference with our local operations or restrictions on our ability to continue our operations in certain jurisdictions, that would impair our ability to operate or expand further into certain markets.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services, would be adversely impacted as a significant portion of our research and development organization resides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Operating internationally subjects us to new risks and increases risks that we currently face, including risks associated with:</w:t>
      </w:r>
    </w:p>
    <w:p>
      <w:pPr>
        <w:spacing w:after="0" w:line="94" w:lineRule="exact"/>
        <w:rPr>
          <w:sz w:val="20"/>
          <w:szCs w:val="20"/>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applicable international laws and regulations, including laws and regulations with respect to privacy, information security, telecommunications requirements, data protection, consumer protection, automatic renewals, and unsolicited email, and the risk of penalties to us and individual members of management or employees if our practices are deemed to be out of compliance;</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 foreign jurisdictions where the government may impede or interrupt our ability to provide our services or develop new products, features, and functionality;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of an employee base in jurisdictions that may not give us the same employment and retention flexibility as the United States;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 jurisdictions that do not protect intellectual property rights to the same extent as the United States and the practical enforcement of such intellectual property rights outside of the United States;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government interference with our intellectual property that resides outside of the United States, such as the risk of changes in foreign laws that could restrict our ability to use our intellectual property outside of the foreign jurisdiction in which we developed it;</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with partners outside of the United States;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controls that might require significant lead time in setting up operations in certain geographic territories and might prevent us from repatriating cash earned outside the United States;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instability and other political tensions between countries in which we do business;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diplomatic and trade relationships, including the continuing deterioration in diplomatic relations between the United States and China, the conflict in Israel and the surrounding area, and the continuing war between Russia and Ukraine;</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costs of doing business internationally, including increased accounting, travel, infrastructure, and legal compliance costs.</w:t>
      </w:r>
    </w:p>
    <w:p>
      <w:pPr>
        <w:spacing w:after="0" w:line="9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various U.S. and international anti-corruption laws, and any failure to comply with such laws could harm our business, financial condition, and results of operations.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are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Geopolitical tension between the United States and China, or between other countries, such as Taiwan, and China, may intensify and lead to increased scrutiny of our business operations in China.</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are and could in the future lead to increased scrutiny of our business operations in China and a negative perception among current and potential customers regarding our collection, use, storage, disclosure, and processing of personal information, and our privacy policies, any of which may harm our reputation and business. Additionally, we may face certain adverse consequences, as a result of geopolitical and national security tensions between the United States and China, including interference with, or restrictions on, our local operations that would impair our ability to operate in China.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 would be adversely impacted as a significant portion of our research and development organization resides in China.</w:t>
      </w:r>
    </w:p>
    <w:p>
      <w:pPr>
        <w:spacing w:after="0" w:line="6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responding to law enforcement requests from the Chinese government.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33"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48"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users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plan must be recognized over the applicable subscription term.</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Any failure to offer high-quality support for our customers and users may harm our relationships with our customers and users and, consequently, our business.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Increased user demand for support may result in increased costs that may harm our results of operations. For example, during the COVID-19 pandemic we saw surging demand requiring us to allocate additional resources to support our expanded customer and user base, including many who were using our platform for the first time, placing additional pressure on our support organization. In addition, as we continue to support our global user base, we need to be able to continue to provide efficient support that meets our customers and users’ needs globally at scale. If we are unable to provide efficient user support globally at scale or if we need to hire additional support personnel, our business may be harmed. Our new customer signups are highly dependent on our business reputation and on recommendations from our existing customers and users. Any failure to maintain high-quality support, or a market perception that we do not maintain high-quality support for our customers and users, would harm our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resellers or potential resellers to favor their products and services or prevent or reduce sales of our products and services. Recruiting and retaining qualified resellers in our network and training them in our technology, product offerings and processes requires significant time and resources. For resellers in certain emerging markets, we may be unable to effectively oversee and quality check certain processes, such as customer due diligence, which has and may continue to impact such resellers’ ability to implement robust customer verification protocols and mitigate fraud risk.If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develop relationships with new resellers in new markets, expand the number of resellers in existing markets, or manage, train, or provide appropriate incentives to our existing resellers, our ability to increase the number of new customers and increase sales to existing customers could be adversely impacted, which would harm our business.</w:t>
      </w:r>
    </w:p>
    <w:p>
      <w:pPr>
        <w:spacing w:after="0" w:line="3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which are reported in U.S. dollars, could be adversely affected if currency exchange rates fluctuate substantially in the future.</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three months ended April 30, 2024 and 2023, 19.4% and 19.3% of our revenue, respectively, and 15.6% and 13.2%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fiscal quarter ended April 30, 2024, our total revenue was lower than anticipated in part due to the strengthening of the U.S. dollar. We do not currently maintain a program to hedge exposures to non-U.S. dollar currencies.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sales to government entities and other government contractors are subject to a number of additional challenges and risks.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spacing w:after="0" w:line="51" w:lineRule="exact"/>
        <w:rPr>
          <w:sz w:val="20"/>
          <w:szCs w:val="20"/>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with governmental entities and other government contractors, including resellers in the government market, contain terms that are less favorable than what we generally agree to in our standard agreements, including, terms and conditions required by regulation that are not negotiable with the customer;</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demand and payment for our products may be influenced, among other things, by public sector budgetary cycles and funding authorizations, with funding reductions or delays having an adverse impact on public sector demand for our products.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3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current platform, as well as products, features, and functionality that we may introduce in the future, may not be widely accepted by our customers and users or may receive negative attention or may require us to compensate or reimburse third parties, any of which may lower our margins and harm our business.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ability to engage, retain, and increase our base of customers and users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users or may create lag in adoption of such new products. New products may initially suffer from performance and quality issues that may negatively impact our ability to market and sell such products to new and existing customers. The short- and long-term impact of any major change to our products, or the introduction of new products, is particularly difficult to predict. If new or enhanced products fail to engage, retain, and increase our base of customers,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user base to decline significantly.</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may have exposure to greater than anticipated tax liabilities, which could harm our business.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tax benefits of stock-based compensation expense; changes in the valuation of, or our ability to use, deferred tax assets; the applicability of withholding taxes; and effects from acquisitions.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provision for taxes on our condensed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Tax Cuts and Jobs Act of 2017 requires the capitalization and amortization of research and development expenses effective for years beginning after December 31, 2021. The mandatory capitalization requirement increased our cash tax liabilities but also decreased our effective tax rate due to increasing the foreign-derived intangible income deduction. Although Congress is considering legislation that would defer the amortization requirement to later years, we have no assurance that the provision will be repealed or otherwise modified. Absent a change in legislation, we expect the mandatory capitalization requirement will continue to have a material impact on our cash flows.</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6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OECD has also been working on a Base Erosion and Profits Shifting project that, upon implementation, would change various aspects of the existing framework under which our tax obligations are determined in many of the countries in which we operate. In this regard, the OECD has proposed policies aiming to modernize global tax systems, including a country-by-country 15% minimum effective tax rate (“Pillar Two”) for multinational companies. Numerous countries have enacted, or are in the process of enacting, legislation to implement the Pillar Two model rules with a subset of the rules becoming effective during our fiscal year ending January 31, 2025, and the remaining rules becoming effective for our fiscal year ending January 31, 2026, or in later periods. At this point in time, we do not expect material tax impacts associated with Pillar Two rules in the countries where we operate for the fiscal year ending January 31, 2025. As these rules continue to evolve with new legislation and guidance, we will continue to monitor and account for the enactment of Pillar Two rules in the countries where we operate, and the potential impacts such rules may have on our effective tax rate and cash flows in future years.</w:t>
      </w:r>
    </w:p>
    <w:p>
      <w:pPr>
        <w:spacing w:after="0" w:line="14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due to, among other things, possible delays and challenges in obtaining regulatory approvals.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The process of acquiring a business, including any integration efforts, requires significant time and resources, requires significant attention from management, and can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at the current scale of our business, which makes it difficult to evaluate our prospects and future results of operations.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During fiscal year 2021, we experienced rapid growth in usage of our unified communications and collaboration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The changes the COVID-19 pandemic fostered on the way companies operate, including the shifts to remote and hybrid work have limited our ability to forecast revenue, costs, and 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are continually seeking to improve our ability to measure our key business metrics, and regularly review our processes to assess potential improvements.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Risks Related to Laws and Regulations</w:t>
      </w:r>
    </w:p>
    <w:p>
      <w:pPr>
        <w:spacing w:after="0" w:line="17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actual or perceived failure by us, our customers, partners or vendors to comply with stringent and evolving laws and regulations, industry standards, policies, and contractual obligations relating to privacy, data protection, information security, and other matters could harm our reputation and business and subject us to significant fines and liability.</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Laws in the United States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 the United States, federal, state, and local governments have enacted numerous privacy, data protection, and information security laws, including data breach notification laws, personal information privacy laws, consumer protection laws (e.g., Section 5 of the Federal Trade Commission Act), and other similar laws (e.g., wiretapping laws).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fines of up to $7,500 per intentional violation and allows private litigants affected by certain data breaches to recover significant statutory damages.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Under various laws and other obligations related to privacy, data protection, and information security, we may be required to obtain certain consents to process personal information. For example, some of our data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Laws Outside of the United States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Outside the United States, an increasing number of laws, regulations, and industry standards related to privacy, data protection, and information security may govern.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 authorized at law to represent their interests. China’s PIPL imposes a set of specific obligations on covered businesses in connection with their processing and transfer of personal information and imposes fines of up to RMB 50 million or 5% of the prior year’s total annual revenue of the violator. The Swiss Federal Act on Data Protection (“FADP”), also applies to the collection and processing of personal information, including health-related information, by companies located in Switzerland, or in certain circumstances, by companies located outside of Switzerland.</w:t>
      </w:r>
    </w:p>
    <w:p>
      <w:pPr>
        <w:spacing w:after="0" w:line="223"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We also target customers in Asia and have operations in Japan, Singapore and India, and may be subject to new and emerging privacy, data protection, and information security regimes in the region, including Japan’s Act on the Protection of Personal Information, Singapore’s Personal Data Protection Act, and India's new privacy legislation, the Digital Personal Data Protection Act.</w:t>
      </w:r>
    </w:p>
    <w:p>
      <w:pPr>
        <w:spacing w:after="0" w:line="50"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such as the EEA’s standard contractual clause, and the EU-U.S. Data Privacy Framework and the UK extension thereto (which allow for transfers to relevant U.S.-based organizations who self-certify compliance and participate in the Framework), these mechanisms can be subject to legal challenges, and there is no assurance that we can satisfy or rely on these measures to lawfully transfer personal information to the United States.</w:t>
      </w:r>
    </w:p>
    <w:p>
      <w:pPr>
        <w:spacing w:after="0" w:line="62"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information out of Europe for allegedly violating the EU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 The United States is also increasingly scrutinizing certain data transfers and may also impose certain data localization requirements, particularly in relation to our transfer of personal information to, or processing of personal information of residents of, high risk or sanctioned jurisdictions.</w:t>
      </w:r>
    </w:p>
    <w:p>
      <w:pPr>
        <w:spacing w:after="0" w:line="17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may also become subject to new laws that regulate non-personal information.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information outside the EEA. Depending on how this Act and any similar laws are implemented and interpreted, we may have to adapt our business practices, contractual arrangements, and products and services to comply with such obligations.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Artificial Intelligence</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development and use of AI and machine learning (“ML”) technologies is subject to privacy, data protection, IP, and information security laws, industry standards, external and internal privacy and security policies, and contractual requirements, as well as increasing regulation and scrutiny. Several jurisdictions around the globe, including the EU, the UK and certain U.S. states, have proposed, enacted, or are considering laws governing the development and use of AI/ML. For example, when the EU's AI Act comes into force, it will have a direct effect across all EU jurisdictions and could impose onerous obligations related to the use of AI-related systems. Obligations on AI/ML may make it harder for us to conduct our business using, or build products incorporating, AI/ML, require us to change our business practices, require us to retrain our algorithms, or prevent or limit our use of AI/ML. For example, the FTC has required other companies to turn over (or disgorge) valuable insights or trainings generated through the use of AI/ML where they allege the company has violated privacy and consumer protection laws. Additionally, certain privacy laws extend rights to consumers (such as the right to delete certain personal information) and regulate automated decision making, which may be incompatible with our use of AI/ML. If we do not develop or incorporate AI/ML in a manner consistent with these factors, and consistent with customer expectations, it may result in an adverse impact to our reputation, our business may be less efficient, or we may be at a competitive disadvantage. Similarly, if customers and users do not widely adopt our new product AI/ML experiences, features, and capabilities, or they do not perform as expected, we may not be able to realize a return on our investment.</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Laws Relating to Minors</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Additionally, regulators are increasingly scrutinizing companies that process minors' data and/or provide online services or other interactive platforms used by minors. Numerous laws, regulations, and legally-binding codes, such as the Children’s Online Privacy Protection Act (“COPPA”), California’s Age Appropriate Design Code, the CCPA, other U.S. state comprehensive privacy laws, the EU and UK GDPR, the EU's Digital Services Act ("DSA"), the UK's Online Safety Act ("OSA") and the UK Age Appropriate Design Code, impose various obligations on companies that process minors' data and/or provide online services, or other interactive platforms used by children, including prohibiting showing minors advertising, requiring age verification, limiting the use of minors’ personal information, requiring certain consents to process such data and extending certain rights to children and their parents with respect to that data. These laws may, or in some cases already have been subject to legal challenges and changing interpretations which may further complicate our efforts to comply with laws applicable to us.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these laws, regulations, and legally-binding codes,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2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Consumer Preferences and Protection</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information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EU, it is anticipated that the ePrivacy Regulation and national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implementing laws will replace the current national laws implementing the ePrivacy Directive, which may require us to make significant operational changes. In the United States, the CCPA, for example, grants California residents the right to opt-out of a company’s sharing of personal information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6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Industry Standards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addition to privacy, data protection and information security laws, we are contractually subject to industry standards adopted by industry groups and may become subject to such obligations in the future. We may also have privacy, data protection, information security obligations arising from the practices in our industry or of companies similar to us. We are also bound by other contractual obligations related to privacy, data protection, and information security, and our efforts to comply with such obligations may not be successful. If we fall below such industry standard or cannot comply with such contractual obligations, our reputation and business may be harmed. We also publish privacy policies, marketing materials, and other statements, such as compliance with certain certifications or self-regulatory principles, regarding privacy, data protection, and information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Government Inquiries and Investigations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w:t>
      </w:r>
    </w:p>
    <w:p>
      <w:pPr>
        <w:spacing w:after="0" w:line="5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6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Consents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Public Perception</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Increased usage of our services and additional awareness of Zoom and our brand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Failure to Comply with our Obligations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Obligations related to privacy, data protection, information security, the use of AI, the provision of online services and other interactive platforms (and consumers' expectations regarding them)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information on our behalf.</w:t>
      </w:r>
    </w:p>
    <w:p>
      <w:pPr>
        <w:spacing w:after="0" w:line="5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may at times fail (or be perceived to have failed) in our efforts to comply with our obligations relating to privacy, data protection, information security, the use of AI and the provision of online services and other interactive platforms.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148"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U.S. or foreign governments may take administrative, legislative, or regulatory action that could materially interfere with our ability to sell products in certain countries. For example, the Trump administration had threatened tougher trade terms with China and other countries, leading to the imposition, or announcement of future imposition, of substantially higher U.S.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Biden administration or future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6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additional liabilities on past sales for taxes, surcharges, and fees.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that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47"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customers’ ability to implement our platform in those countries.</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 the past inadvertently made and may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inadvertently make our software products available to some customers in potential violation of the EAR. Therefore, as 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41"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5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may be subject to, or respond to requests from law enforcement that are legally valid, appropriately scoped, and sufficiently detailed in connection with enforcement of, various civil and criminal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protect user safety and prevent conduct that is illegal, violent, or harmful to others, we enforce our terms of service through use of a mix of tools that suggest when such activity may be occurring on our platform. Our trust and safety team may take further action as appropriate, including suspension or termination of the participant's account or referral to law enforcement.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4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law or policy could compel us or limit our ability to engage in content moderation, or otherwise limit the ability of users to engage in inappropriate or harmful behavior, and could expose us to liability.</w:t>
      </w:r>
    </w:p>
    <w:p>
      <w:pPr>
        <w:spacing w:after="0" w:line="3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There have been various Congressional and executive efforts to eliminate or modify Section 230 of the Communications Act of 1934, enacted as part of the Communications Decency Act of 1996. Section 230 provides protection for providers of online service from liability for content produced by third parties and protects the right to engage in moderation of user content. President Biden and many Members of Congress from both parties support the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The U.S. Supreme Court recently declined to limit the applicability of Section 230 in certain circumstances, but future cases may not yield the same results.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penalties, redesign business methods, or otherwise expend resources to remedy any damages caused by such actions and to avoid future liability.</w:t>
      </w:r>
    </w:p>
    <w:p>
      <w:pPr>
        <w:spacing w:after="0" w:line="9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Implementation of the Florida and Texas statutes has been stayed by various federal courts, including the U.S. Supreme Court. On August 18, 2022, the parties in the Florida case requested, and were granted, a stay of the appeals court mandate pending Supreme Court review. On September 16, 2022,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On September 29, 2023, the Supreme Court announced that would review both the Florida and Texas decisions. A Supreme Court decision is expected during the first half of 2024. Florida amended its statute in an effort to address issues that led the court to issue the stay.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spacing w:after="0" w:line="64" w:lineRule="exact"/>
        <w:rPr>
          <w:sz w:val="20"/>
          <w:szCs w:val="20"/>
          <w:color w:val="auto"/>
        </w:rPr>
      </w:pPr>
    </w:p>
    <w:p>
      <w:pPr>
        <w:jc w:val="both"/>
        <w:ind w:firstLine="509"/>
        <w:spacing w:after="0" w:line="173" w:lineRule="exact"/>
        <w:rPr>
          <w:sz w:val="20"/>
          <w:szCs w:val="20"/>
          <w:color w:val="auto"/>
        </w:rPr>
      </w:pPr>
      <w:r>
        <w:rPr>
          <w:rFonts w:ascii="Times New Roman" w:cs="Times New Roman" w:eastAsia="Times New Roman" w:hAnsi="Times New Roman"/>
          <w:sz w:val="14"/>
          <w:szCs w:val="14"/>
          <w:color w:val="auto"/>
        </w:rPr>
        <w:t>Furthermore, new laws and regulations have been enacted or are being considered that impose extensive obligations regarding online safety and the operation of online services or platforms, such as the OSA and DSA, which may increase our compliance costs, require changes to our processes, operations, and business practices. For example, these new laws and regulations may seek to regulate the sharing of user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generated content and require us to identify, mitigate, and manage the risks of harm to users from illegal or harmful content. Violating these obligations could carry significant consequences. For example, violating the DSA can result in fines of up to 6% of total annual worldwide revenue and violating the OSA can result in audits, inspections, and fines of up to £18 million or 10% of worldwide revenue, whichever is higher.</w:t>
      </w:r>
    </w:p>
    <w:p>
      <w:pPr>
        <w:spacing w:after="0" w:line="15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Federal Regulation</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6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As described above, the FCC has reinstated its prior network neutrality regulations. See Part 1A. Failures in internet infrastructure or interference with broadband access could cause current or potential users to believe that our systems are unreliable, possibly leading our customers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 December 13, 2023, the FCC adopted revised rules on reporting of breaches of private customer information, known as CPNI. The revised rules could broaden the types of CPNI breaches that must be reported, but also could limit the number of reports that must be filed by adopting a minimum threshold for the number of customers affected and not requiring reporting in certain circumstances when customers are not harmed. The rules also require that breach reports be provided directly to the FCC, which could increase the risk of enforcement action, including fines and behavioral remedies. These rules are not yet in effect.</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equipment or could prohibit use of their equipment in the U.S. Zoom does not currently have any equipment from the companies subject to the ban in its network, but if other companies are added to the Covered List and the FCC adopts rules that ban sales or use of equipment from such companies, we could be required to find new sources for similar equipment or replace existing equipment entirely.</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State Regulation</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and we may have to restructure our product offerings, exit certain markets, or raise the price of our products, any of which could harm our business.</w:t>
      </w:r>
    </w:p>
    <w:p>
      <w:pPr>
        <w:spacing w:after="0" w:line="157"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The FCC’s April 24 order permits it to preempt any state-level network neutrality requirements that go beyond the requirements adopted in that order, but specifically held that the California law would not be preempted. We cannot predict whether other state initiatives will be enforced, modified, overturned, or vacated.</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International Regulation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are currently, and may be in the future, party to intellectual property rights claims and other litigation matters, which, if resolved adversely, could harm our business.</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failure to protect our intellectual property rights and proprietary information could diminish our brand and other intangible assets.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use of third-party open source software could negatively affect our ability to offer and sell subscriptions to our platform and subject us to possible litigation.</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w:t>
      </w:r>
    </w:p>
    <w:p>
      <w:pPr>
        <w:spacing w:after="0" w:line="6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foregoing could harm our business and could help our competitors develop products and services that are similar to or better than ours.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Class A common stock may be volatile, and you could lose all or part of your investment.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spacing w:after="0" w:line="51"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trading prices and trading volumes of technology stocks;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other technology companies generally, or those in our industry in particular;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shares of our Class A common stock by us or our stockholders;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maintain coverage of us, changes in financial estimates by securities analysts who follow our company, or our failure to meet these estimates or the expectations of investors;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may provide to the public, any changes in those projections, or our failure to meet those projections;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new products, features, or services;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our results of operations or fluctuations in our results of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our competitors’ businesses, or the competitive landscape generally;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 or investigations by regulators into our operations or those of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or other proprietary rights;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or completed acquisitions of businesses, products, services, or technologies by us or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guidelines, interpretations, or principles;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change in our management;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political, social, economic and market conditions, in both domestic and our foreign markets, including effects of increased interest rates and inflationary pressures.</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spacing w:after="0" w:line="141"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Class B common stock has 10 votes per share and our Class A common stock has one vote per share. As of April 30, 2024, the holders of our outstanding Class B common stock held 63.4% of the voting power of our outstanding capital stock, with our directors, executive officers and 5% stockholders and their respective affiliates holding 57.4% of such voting power in the aggregate. As of January 31, 2024, our founder, President and Chief Executive Officer, Eric S. Yuan, together with his affiliates, held approximately 7.3% of our outstanding capital stock but controlled approximately 31.3%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6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41"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Substantial future sales of shares of our Class A common stock and Class B common stock could cause the market price of our Class A common stock to decline.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2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charter documents also contain other provisions that could have an anti-takeover effect, such as: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1020" w:hanging="379"/>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 classified board of directors so that not all members of our board of directors are elected at one time;</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permitting the board of directors to establish the number of directors and fill any vacancies and newly created directorships;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that directors may only be removed for cause;</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cumulative voting for directors;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super-majority voting to amend some provisions in our certificate of incorporation and bylaws;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authorizing the issuance of “blank check” preferred stock that our board of directors could use to implement a stockholder rights plan;</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eliminating the ability of stockholders to call special meetings of stockholders;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stockholder action by written consent, which requires all stockholder actions to be taken at a meeting of our stockholders; and</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dual-class common stock structure as described above.</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41"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5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7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user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disrupted by catastrophic events.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also face risks related to health epidemics.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w:t>
      </w:r>
    </w:p>
    <w:p>
      <w:pPr>
        <w:spacing w:after="0" w:line="13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37"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currently depressed and the likelihood of successful liquidity events for the companies we have invested in could significantly worsen. In addition, valuations of privately held companies are inherently complex due to the lack of readily available market data.</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record all fair value adjustments of our publicly traded and privately held non-marketable securities through the condensed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reported results of operations may be adversely affected by changes in accounting principles generally accepted in the United States.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may need additional capital, and we cannot be certain that additional financing will be available on favorable terms, or at all.</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4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 our accounting, legal and IT organizations.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23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Recently, the SEC has alleged violations of internal controls at other public companies, even in the absence of an underlying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accounting or disclosure violation, which significantly increases the enforcement risk faced by us and other public companies for any weaknesses in disclosure controls and internal control over financial reporting.</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3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incur costs and demands upon management as a result of complying with the laws and regulations affecting public companies in the United States, which may harm our business.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3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Regulators', investors’ and other stakeholders’ expectations of our performance relating to environmental, social and governance factors may impose additional costs and expose us to new risks.</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There is an increasing focus from regulators, investors, customers and other stakeholders concerning environmental, social and governance matters (“ESG”). Regulators are driving legislation to bring consistency and transparency to ESG disclosures. Some investors may use these ESG performance factors to guide their investment strategies and, in some cases, may choose not to invest in us if they believe our policies and actions relating to ESG are inadequate. We may face reputational damage in the event that we do not meet the ESG standards set by various constituencies.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voluntary ESG and climate disclosures, as well as our reporting under related disclosure regulations, or a failure to meet evolving stakeholder expectations for ESG reporting and practices, may potentially harm our reputation and customer relationships or expose us to liability. Due to new regulatory standards and market standards, certain new or existing customers may impose stricter ESG guidelines or contractual language for, and may scrutinize relationships more closely with, their counterparties, including us, which may lengthen sales cycles or increase our costs.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Furthermore, if our competitors’ ESG performance is perceived to be better than ours, potential or current investors may elect to invest with our competitors instead. In addition, in the event that we communicate certain initiatives or goals regarding ESG matters, we could fail, or be perceived to fail, in our achievement of such initiatives or goals, or we could be criticized for the scope of such initiatives or goals.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Climate change may have an impact on our business.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Equity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information with respect to our repurchases of Class A common stock during the three months ended April 30,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Period</w:t>
            </w:r>
          </w:p>
        </w:tc>
        <w:tc>
          <w:tcPr>
            <w:tcW w:w="22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Total Number of Shares Purchased</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6"/>
                <w:szCs w:val="16"/>
                <w:color w:val="auto"/>
              </w:rPr>
            </w:pPr>
          </w:p>
        </w:tc>
        <w:tc>
          <w:tcPr>
            <w:tcW w:w="200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Average Price Paid per Share</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Total Number of Shares Purchased as Part</w:t>
            </w: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8"/>
              </w:rPr>
              <w:t>Approximate Dollar Value of Shares that</w:t>
            </w:r>
          </w:p>
        </w:tc>
      </w:tr>
      <w:tr>
        <w:trPr>
          <w:trHeight w:val="127"/>
        </w:trPr>
        <w:tc>
          <w:tcPr>
            <w:tcW w:w="23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40" w:type="dxa"/>
            <w:vAlign w:val="bottom"/>
          </w:tcPr>
          <w:p>
            <w:pPr>
              <w:jc w:val="right"/>
              <w:ind w:right="178"/>
              <w:spacing w:after="0" w:line="127" w:lineRule="exact"/>
              <w:rPr>
                <w:sz w:val="20"/>
                <w:szCs w:val="20"/>
                <w:color w:val="auto"/>
              </w:rPr>
            </w:pPr>
            <w:r>
              <w:rPr>
                <w:rFonts w:ascii="Times New Roman" w:cs="Times New Roman" w:eastAsia="Times New Roman" w:hAnsi="Times New Roman"/>
                <w:sz w:val="11"/>
                <w:szCs w:val="11"/>
                <w:color w:val="auto"/>
              </w:rPr>
              <w:t>of Publicly Announced Program</w:t>
            </w:r>
            <w:r>
              <w:rPr>
                <w:rFonts w:ascii="Times New Roman" w:cs="Times New Roman" w:eastAsia="Times New Roman" w:hAnsi="Times New Roman"/>
                <w:sz w:val="14"/>
                <w:szCs w:val="14"/>
                <w:color w:val="auto"/>
                <w:vertAlign w:val="superscript"/>
              </w:rPr>
              <w:t>(1)</w:t>
            </w:r>
          </w:p>
        </w:tc>
        <w:tc>
          <w:tcPr>
            <w:tcW w:w="100" w:type="dxa"/>
            <w:vAlign w:val="bottom"/>
          </w:tcPr>
          <w:p>
            <w:pPr>
              <w:spacing w:after="0"/>
              <w:rPr>
                <w:sz w:val="11"/>
                <w:szCs w:val="11"/>
                <w:color w:val="auto"/>
              </w:rPr>
            </w:pPr>
          </w:p>
        </w:tc>
        <w:tc>
          <w:tcPr>
            <w:tcW w:w="2120" w:type="dxa"/>
            <w:vAlign w:val="bottom"/>
          </w:tcPr>
          <w:p>
            <w:pPr>
              <w:jc w:val="center"/>
              <w:ind w:right="36"/>
              <w:spacing w:after="0" w:line="128" w:lineRule="exact"/>
              <w:rPr>
                <w:sz w:val="20"/>
                <w:szCs w:val="20"/>
                <w:color w:val="auto"/>
              </w:rPr>
            </w:pPr>
            <w:r>
              <w:rPr>
                <w:rFonts w:ascii="Times New Roman" w:cs="Times New Roman" w:eastAsia="Times New Roman" w:hAnsi="Times New Roman"/>
                <w:sz w:val="13"/>
                <w:szCs w:val="13"/>
                <w:color w:val="auto"/>
                <w:w w:val="97"/>
              </w:rPr>
              <w:t>May Yet Be Purchased Under Publicly</w:t>
            </w:r>
          </w:p>
        </w:tc>
      </w:tr>
      <w:tr>
        <w:trPr>
          <w:trHeight w:val="180"/>
        </w:trPr>
        <w:tc>
          <w:tcPr>
            <w:tcW w:w="23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center"/>
              <w:ind w:right="36"/>
              <w:spacing w:after="0" w:line="181" w:lineRule="exact"/>
              <w:rPr>
                <w:sz w:val="20"/>
                <w:szCs w:val="20"/>
                <w:color w:val="auto"/>
              </w:rPr>
            </w:pPr>
            <w:r>
              <w:rPr>
                <w:rFonts w:ascii="Times New Roman" w:cs="Times New Roman" w:eastAsia="Times New Roman" w:hAnsi="Times New Roman"/>
                <w:sz w:val="13"/>
                <w:szCs w:val="13"/>
                <w:color w:val="auto"/>
                <w:w w:val="96"/>
              </w:rPr>
              <w:t>Announced Program (in thousands)</w:t>
            </w:r>
            <w:r>
              <w:rPr>
                <w:rFonts w:ascii="Times New Roman" w:cs="Times New Roman" w:eastAsia="Times New Roman" w:hAnsi="Times New Roman"/>
                <w:sz w:val="16"/>
                <w:szCs w:val="16"/>
                <w:color w:val="auto"/>
                <w:w w:val="96"/>
                <w:vertAlign w:val="superscript"/>
              </w:rPr>
              <w:t>(1)</w:t>
            </w:r>
          </w:p>
        </w:tc>
      </w:tr>
      <w:tr>
        <w:trPr>
          <w:trHeight w:val="18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February 1 – 29, 2024</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1,500,000</w:t>
            </w:r>
          </w:p>
        </w:tc>
      </w:tr>
      <w:tr>
        <w:trPr>
          <w:trHeight w:val="178"/>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March 1 – 31, 2024</w:t>
            </w:r>
          </w:p>
        </w:tc>
        <w:tc>
          <w:tcPr>
            <w:tcW w:w="2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361,400</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66.37</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361,400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1,476,015</w:t>
            </w:r>
          </w:p>
        </w:tc>
      </w:tr>
      <w:tr>
        <w:trPr>
          <w:trHeight w:val="18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April 1 – 30, 2024</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2,038,905</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2,038,905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1,349,952</w:t>
            </w:r>
          </w:p>
        </w:tc>
      </w:tr>
      <w:tr>
        <w:trPr>
          <w:trHeight w:val="160"/>
        </w:trPr>
        <w:tc>
          <w:tcPr>
            <w:tcW w:w="23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2,400,305</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62.51</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2,400,305</w:t>
            </w: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20"/>
        </w:trPr>
        <w:tc>
          <w:tcPr>
            <w:tcW w:w="23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5"/>
        <w:spacing w:after="0" w:line="219" w:lineRule="auto"/>
        <w:tabs>
          <w:tab w:leader="none" w:pos="149"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February 2024, our Board of Directors authorized a stock repurchase program of up to $1.5 billion of our Class A common stock. Repurchases of our Class A common stock may be effected, from time to time, either on the open market (including pre-set trading plans), in privately negotiated transactions, and other transactions in accordance with applicable securities laws. The repurchase program does not obligate us to acquire any particular amount of Class A common stock, and the repurchase program may be suspended or discontinued at any time at our discretion. See Note 8 "Stockholders’ Equity and Equity Incentive Plans" of this Quarterly Report on Form 10-Q for additional information related to share repurchases.</w:t>
      </w:r>
    </w:p>
    <w:p>
      <w:pPr>
        <w:spacing w:after="0" w:line="22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DEFAULTS UPON SENIOR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Trading Arrangements</w:t>
      </w:r>
    </w:p>
    <w:p>
      <w:pPr>
        <w:spacing w:after="0" w:line="74" w:lineRule="exact"/>
        <w:rPr>
          <w:sz w:val="20"/>
          <w:szCs w:val="20"/>
          <w:color w:val="auto"/>
        </w:rPr>
      </w:pPr>
    </w:p>
    <w:p>
      <w:pPr>
        <w:ind w:firstLine="382"/>
        <w:spacing w:after="0" w:line="271" w:lineRule="auto"/>
        <w:rPr>
          <w:sz w:val="20"/>
          <w:szCs w:val="20"/>
          <w:color w:val="auto"/>
        </w:rPr>
      </w:pPr>
      <w:r>
        <w:rPr>
          <w:rFonts w:ascii="Times New Roman" w:cs="Times New Roman" w:eastAsia="Times New Roman" w:hAnsi="Times New Roman"/>
          <w:sz w:val="14"/>
          <w:szCs w:val="14"/>
          <w:color w:val="auto"/>
        </w:rPr>
        <w:t>During the Company's fiscal quarter ended April 30, 2024, none of the Company’s directors or officers (as defined in Rule 16a-1(f) under the Exchange Act) adopted, modified, or terminated any contracts, instructions, or written plans for the purchase or sale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00" w:type="dxa"/>
            <w:vAlign w:val="bottom"/>
            <w:gridSpan w:val="10"/>
            <w:vMerge w:val="restart"/>
          </w:tcPr>
          <w:p>
            <w:pPr>
              <w:ind w:left="66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0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4740" w:type="dxa"/>
            <w:vAlign w:val="bottom"/>
            <w:gridSpan w:val="13"/>
          </w:tcPr>
          <w:p>
            <w:pPr>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Amended and Restated Certificate of Incorporation of Zoom Video</w:t>
              </w:r>
            </w:hyperlink>
          </w:p>
        </w:tc>
        <w:tc>
          <w:tcPr>
            <w:tcW w:w="0" w:type="dxa"/>
            <w:vAlign w:val="bottom"/>
          </w:tcPr>
          <w:p>
            <w:pPr>
              <w:spacing w:after="0"/>
              <w:rPr>
                <w:sz w:val="1"/>
                <w:szCs w:val="1"/>
                <w:color w:val="auto"/>
              </w:rPr>
            </w:pPr>
          </w:p>
        </w:tc>
      </w:tr>
      <w:tr>
        <w:trPr>
          <w:trHeight w:val="139"/>
        </w:trPr>
        <w:tc>
          <w:tcPr>
            <w:tcW w:w="1160" w:type="dxa"/>
            <w:vAlign w:val="bottom"/>
          </w:tcPr>
          <w:p>
            <w:pPr>
              <w:spacing w:after="0"/>
              <w:rPr>
                <w:sz w:val="12"/>
                <w:szCs w:val="12"/>
                <w:color w:val="auto"/>
              </w:rPr>
            </w:pPr>
          </w:p>
        </w:tc>
        <w:tc>
          <w:tcPr>
            <w:tcW w:w="3800" w:type="dxa"/>
            <w:vAlign w:val="bottom"/>
            <w:tcBorders>
              <w:top w:val="single" w:sz="8" w:color="0000FF"/>
            </w:tcBorders>
            <w:gridSpan w:val="5"/>
          </w:tcPr>
          <w:p>
            <w:pPr>
              <w:spacing w:after="0" w:line="139" w:lineRule="exact"/>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Communications, Inc.</w:t>
              </w:r>
            </w:hyperlink>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w:t>
            </w: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60" w:type="dxa"/>
            <w:vAlign w:val="bottom"/>
            <w:vMerge w:val="continue"/>
          </w:tcPr>
          <w:p>
            <w:pPr>
              <w:spacing w:after="0"/>
              <w:rPr>
                <w:sz w:val="16"/>
                <w:szCs w:val="16"/>
                <w:color w:val="auto"/>
              </w:rPr>
            </w:pPr>
          </w:p>
        </w:tc>
        <w:tc>
          <w:tcPr>
            <w:tcW w:w="39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Amended and Restated Bylaws of Zoom Video Communications, Inc.</w:t>
              </w:r>
            </w:hyperlink>
          </w:p>
        </w:tc>
        <w:tc>
          <w:tcPr>
            <w:tcW w:w="78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Zoom Video Communications, Inc. 2019 Equity Incentive Plan Global RSU Award</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720" w:type="dxa"/>
            <w:vAlign w:val="bottom"/>
            <w:tcBorders>
              <w:top w:val="single" w:sz="8" w:color="0000FF"/>
            </w:tcBorders>
            <w:gridSpan w:val="12"/>
          </w:tcPr>
          <w:p>
            <w:pPr>
              <w:spacing w:after="0" w:line="118" w:lineRule="exact"/>
              <w:rPr>
                <w:sz w:val="20"/>
                <w:szCs w:val="20"/>
                <w:color w:val="auto"/>
              </w:rPr>
            </w:pPr>
            <w:r>
              <w:rPr>
                <w:rFonts w:ascii="Times New Roman" w:cs="Times New Roman" w:eastAsia="Times New Roman" w:hAnsi="Times New Roman"/>
                <w:sz w:val="13"/>
                <w:szCs w:val="13"/>
                <w:color w:val="0000FF"/>
              </w:rPr>
              <w:t>Grant Notice (Performance Vesting)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Exchange Act Rules 13a-14(a)</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700" w:type="dxa"/>
            <w:vAlign w:val="bottom"/>
            <w:tcBorders>
              <w:top w:val="single" w:sz="8" w:color="0000FF"/>
            </w:tcBorders>
            <w:gridSpan w:val="11"/>
          </w:tcPr>
          <w:p>
            <w:pPr>
              <w:spacing w:after="0" w:line="118" w:lineRule="exact"/>
              <w:rPr>
                <w:sz w:val="20"/>
                <w:szCs w:val="20"/>
                <w:color w:val="auto"/>
              </w:rPr>
            </w:pPr>
            <w:r>
              <w:rPr>
                <w:rFonts w:ascii="Times New Roman" w:cs="Times New Roman" w:eastAsia="Times New Roman" w:hAnsi="Times New Roman"/>
                <w:sz w:val="13"/>
                <w:szCs w:val="13"/>
                <w:color w:val="0000FF"/>
              </w:rPr>
              <w:t>and 15d-14(a), as adopted pursuant to Section 302 of the Sarbanes-Oxley Act of</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38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Exchange Act Rules 13a-14(a)</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660" w:type="dxa"/>
            <w:vAlign w:val="bottom"/>
            <w:tcBorders>
              <w:top w:val="single" w:sz="8" w:color="0000FF"/>
            </w:tcBorders>
            <w:gridSpan w:val="9"/>
          </w:tcPr>
          <w:p>
            <w:pPr>
              <w:spacing w:after="0" w:line="118" w:lineRule="exact"/>
              <w:rPr>
                <w:sz w:val="20"/>
                <w:szCs w:val="20"/>
                <w:color w:val="auto"/>
              </w:rPr>
            </w:pPr>
            <w:r>
              <w:rPr>
                <w:rFonts w:ascii="Times New Roman" w:cs="Times New Roman" w:eastAsia="Times New Roman" w:hAnsi="Times New Roman"/>
                <w:sz w:val="13"/>
                <w:szCs w:val="13"/>
                <w:color w:val="0000FF"/>
              </w:rPr>
              <w:t>and 15d-14(a), as adopted pursuant to Section 302 of the Sarbanes-Oxley Act of</w:t>
            </w: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38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Certifications of Chief Executive Officer and Chief Financial Officer pursuant to</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86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160" w:type="dxa"/>
            <w:vAlign w:val="bottom"/>
          </w:tcPr>
          <w:p>
            <w:pPr>
              <w:spacing w:after="0"/>
              <w:rPr>
                <w:sz w:val="10"/>
                <w:szCs w:val="10"/>
                <w:color w:val="auto"/>
              </w:rPr>
            </w:pPr>
          </w:p>
        </w:tc>
        <w:tc>
          <w:tcPr>
            <w:tcW w:w="4740" w:type="dxa"/>
            <w:vAlign w:val="bottom"/>
            <w:gridSpan w:val="13"/>
          </w:tcPr>
          <w:p>
            <w:pPr>
              <w:spacing w:after="0" w:line="118" w:lineRule="exact"/>
              <w:rPr>
                <w:sz w:val="20"/>
                <w:szCs w:val="20"/>
                <w:color w:val="auto"/>
              </w:rPr>
            </w:pPr>
            <w:r>
              <w:rPr>
                <w:rFonts w:ascii="Times New Roman" w:cs="Times New Roman" w:eastAsia="Times New Roman" w:hAnsi="Times New Roman"/>
                <w:sz w:val="13"/>
                <w:szCs w:val="13"/>
                <w:color w:val="0000FF"/>
              </w:rPr>
              <w:t>18 U.S.C. Section 1350, as adopted pursuant to Section 906 of the Sarbanes-Oxley</w:t>
            </w:r>
          </w:p>
        </w:tc>
        <w:tc>
          <w:tcPr>
            <w:tcW w:w="0" w:type="dxa"/>
            <w:vAlign w:val="bottom"/>
          </w:tcPr>
          <w:p>
            <w:pPr>
              <w:spacing w:after="0"/>
              <w:rPr>
                <w:sz w:val="1"/>
                <w:szCs w:val="1"/>
                <w:color w:val="auto"/>
              </w:rPr>
            </w:pPr>
          </w:p>
        </w:tc>
      </w:tr>
      <w:tr>
        <w:trPr>
          <w:trHeight w:val="12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101.INS*</w:t>
            </w:r>
          </w:p>
        </w:tc>
        <w:tc>
          <w:tcPr>
            <w:tcW w:w="4680" w:type="dxa"/>
            <w:vAlign w:val="bottom"/>
            <w:tcBorders>
              <w:top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Act of 2002.</w:t>
            </w: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60" w:type="dxa"/>
            <w:vAlign w:val="bottom"/>
            <w:vMerge w:val="continue"/>
          </w:tcPr>
          <w:p>
            <w:pPr>
              <w:spacing w:after="0"/>
              <w:rPr>
                <w:sz w:val="15"/>
                <w:szCs w:val="15"/>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Instance Document (the instance document does not appear in the</w:t>
            </w: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6"/>
                <w:szCs w:val="16"/>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EXBRL document)</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bl>
    <w:p>
      <w:pPr>
        <w:jc w:val="both"/>
        <w:ind w:left="1180" w:right="120" w:hanging="1161"/>
        <w:spacing w:after="0" w:line="231" w:lineRule="auto"/>
        <w:tabs>
          <w:tab w:leader="none" w:pos="118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(the cover page from the Registrant’s Quarterly Report on Form 10-Q for the quarter ended October 31, 2023, has been formatted in Inline XBRL)</w:t>
      </w:r>
    </w:p>
    <w:p>
      <w:pPr>
        <w:spacing w:after="0" w:line="14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4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1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8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1"/>
                <w:szCs w:val="11"/>
                <w:b w:val="1"/>
                <w:bCs w:val="1"/>
                <w:color w:val="auto"/>
              </w:rPr>
              <w:t>Filing Date</w:t>
            </w:r>
          </w:p>
        </w:tc>
      </w:tr>
      <w:tr>
        <w:trPr>
          <w:trHeight w:val="201"/>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40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001-38865</w:t>
            </w:r>
          </w:p>
        </w:tc>
        <w:tc>
          <w:tcPr>
            <w:tcW w:w="1160" w:type="dxa"/>
            <w:vAlign w:val="bottom"/>
          </w:tcPr>
          <w:p>
            <w:pPr>
              <w:jc w:val="right"/>
              <w:ind w:right="614"/>
              <w:spacing w:after="0"/>
              <w:rPr>
                <w:sz w:val="20"/>
                <w:szCs w:val="20"/>
                <w:color w:val="auto"/>
              </w:rPr>
            </w:pPr>
            <w:r>
              <w:rPr>
                <w:rFonts w:ascii="Times New Roman" w:cs="Times New Roman" w:eastAsia="Times New Roman" w:hAnsi="Times New Roman"/>
                <w:sz w:val="14"/>
                <w:szCs w:val="14"/>
                <w:color w:val="auto"/>
              </w:rPr>
              <w:t>3.1</w:t>
            </w:r>
          </w:p>
        </w:tc>
        <w:tc>
          <w:tcPr>
            <w:tcW w:w="1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April 23, 2019</w:t>
            </w:r>
          </w:p>
        </w:tc>
      </w:tr>
      <w:tr>
        <w:trPr>
          <w:trHeight w:val="371"/>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40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001-38865</w:t>
            </w:r>
          </w:p>
        </w:tc>
        <w:tc>
          <w:tcPr>
            <w:tcW w:w="1160" w:type="dxa"/>
            <w:vAlign w:val="bottom"/>
          </w:tcPr>
          <w:p>
            <w:pPr>
              <w:jc w:val="right"/>
              <w:ind w:right="614"/>
              <w:spacing w:after="0"/>
              <w:rPr>
                <w:sz w:val="20"/>
                <w:szCs w:val="20"/>
                <w:color w:val="auto"/>
              </w:rPr>
            </w:pPr>
            <w:r>
              <w:rPr>
                <w:rFonts w:ascii="Times New Roman" w:cs="Times New Roman" w:eastAsia="Times New Roman" w:hAnsi="Times New Roman"/>
                <w:sz w:val="14"/>
                <w:szCs w:val="14"/>
                <w:color w:val="auto"/>
              </w:rPr>
              <w:t>3.2</w:t>
            </w:r>
          </w:p>
        </w:tc>
        <w:tc>
          <w:tcPr>
            <w:tcW w:w="1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March 3, 2023</w:t>
            </w:r>
          </w:p>
        </w:tc>
      </w:tr>
    </w:tbl>
    <w:p>
      <w:pPr>
        <w:spacing w:after="0" w:line="4145" w:lineRule="exact"/>
        <w:rPr>
          <w:sz w:val="20"/>
          <w:szCs w:val="20"/>
          <w:color w:val="auto"/>
        </w:rPr>
      </w:pPr>
    </w:p>
    <w:p>
      <w:pPr>
        <w:sectPr>
          <w:pgSz w:w="11900" w:h="16838" w:orient="portrait"/>
          <w:cols w:equalWidth="0" w:num="2">
            <w:col w:w="5900" w:space="120"/>
            <w:col w:w="5260"/>
          </w:cols>
          <w:pgMar w:left="300" w:top="125" w:right="319" w:bottom="1440" w:gutter="0" w:footer="0" w:header="0"/>
        </w:sectPr>
      </w:pPr>
    </w:p>
    <w:p>
      <w:pPr>
        <w:spacing w:after="0" w:line="85" w:lineRule="exact"/>
        <w:rPr>
          <w:sz w:val="20"/>
          <w:szCs w:val="20"/>
          <w:color w:val="auto"/>
        </w:rPr>
      </w:pPr>
    </w:p>
    <w:p>
      <w:pPr>
        <w:jc w:val="right"/>
        <w:ind w:left="520" w:hanging="515"/>
        <w:spacing w:after="0" w:line="287" w:lineRule="auto"/>
        <w:tabs>
          <w:tab w:leader="none" w:pos="22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7300" w:type="dxa"/>
            <w:vAlign w:val="bottom"/>
            <w:gridSpan w:val="2"/>
          </w:tcPr>
          <w:p>
            <w:pPr>
              <w:ind w:left="282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tc>
      </w:tr>
      <w:tr>
        <w:trPr>
          <w:trHeight w:val="382"/>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Date: May 22, 2024</w:t>
            </w:r>
          </w:p>
        </w:tc>
        <w:tc>
          <w:tcPr>
            <w:tcW w:w="33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Eric S. Yuan</w:t>
            </w:r>
          </w:p>
        </w:tc>
      </w:tr>
      <w:tr>
        <w:trPr>
          <w:trHeight w:val="167"/>
        </w:trPr>
        <w:tc>
          <w:tcPr>
            <w:tcW w:w="39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Eric S. Yuan</w:t>
            </w:r>
          </w:p>
        </w:tc>
      </w:tr>
      <w:tr>
        <w:trPr>
          <w:trHeight w:val="178"/>
        </w:trPr>
        <w:tc>
          <w:tcPr>
            <w:tcW w:w="39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9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382"/>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Date: May 22, 2024</w:t>
            </w:r>
          </w:p>
        </w:tc>
        <w:tc>
          <w:tcPr>
            <w:tcW w:w="33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Kelly Steckelberg</w:t>
            </w:r>
          </w:p>
        </w:tc>
      </w:tr>
      <w:tr>
        <w:trPr>
          <w:trHeight w:val="175"/>
        </w:trPr>
        <w:tc>
          <w:tcPr>
            <w:tcW w:w="39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Kelly Steckelberg</w:t>
            </w:r>
          </w:p>
        </w:tc>
      </w:tr>
    </w:tbl>
    <w:p>
      <w:pPr>
        <w:ind w:left="73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1260"/>
          </w:cols>
          <w:pgMar w:left="300" w:top="125" w:right="339" w:bottom="1440"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S. Yuan, certify that:</w:t>
      </w:r>
    </w:p>
    <w:p>
      <w:pPr>
        <w:spacing w:after="0" w:line="147" w:lineRule="exact"/>
        <w:rPr>
          <w:sz w:val="20"/>
          <w:szCs w:val="20"/>
          <w:color w:val="auto"/>
        </w:rPr>
      </w:pPr>
    </w:p>
    <w:p>
      <w:pPr>
        <w:ind w:left="1020" w:hanging="506"/>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Zoom Video Communications, Inc.;</w:t>
      </w:r>
    </w:p>
    <w:p>
      <w:pPr>
        <w:spacing w:after="0" w:line="146" w:lineRule="exact"/>
        <w:rPr>
          <w:rFonts w:ascii="Times New Roman" w:cs="Times New Roman" w:eastAsia="Times New Roman" w:hAnsi="Times New Roman"/>
          <w:sz w:val="14"/>
          <w:szCs w:val="14"/>
          <w:color w:val="auto"/>
        </w:rPr>
      </w:pPr>
    </w:p>
    <w:p>
      <w:pPr>
        <w:ind w:left="1020" w:right="220" w:hanging="506"/>
        <w:spacing w:after="0" w:line="287"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Times New Roman" w:cs="Times New Roman" w:eastAsia="Times New Roman" w:hAnsi="Times New Roman"/>
          <w:sz w:val="14"/>
          <w:szCs w:val="14"/>
          <w:color w:val="auto"/>
        </w:rPr>
      </w:pPr>
    </w:p>
    <w:p>
      <w:pPr>
        <w:ind w:left="1020" w:right="300" w:hanging="506"/>
        <w:spacing w:after="0" w:line="287"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4"/>
          <w:szCs w:val="14"/>
          <w:color w:val="auto"/>
        </w:rPr>
      </w:pPr>
    </w:p>
    <w:p>
      <w:pPr>
        <w:ind w:left="1540" w:hanging="517"/>
        <w:spacing w:after="0" w:line="270" w:lineRule="auto"/>
        <w:tabs>
          <w:tab w:leader="none" w:pos="1532"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4"/>
          <w:szCs w:val="14"/>
          <w:color w:val="auto"/>
        </w:rPr>
      </w:pPr>
    </w:p>
    <w:p>
      <w:pPr>
        <w:jc w:val="both"/>
        <w:ind w:left="1540" w:right="60" w:hanging="517"/>
        <w:spacing w:after="0" w:line="270" w:lineRule="auto"/>
        <w:tabs>
          <w:tab w:leader="none" w:pos="154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1540" w:right="400" w:hanging="517"/>
        <w:spacing w:after="0" w:line="287" w:lineRule="auto"/>
        <w:tabs>
          <w:tab w:leader="none" w:pos="1532"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1540" w:right="20" w:hanging="517"/>
        <w:spacing w:after="0" w:line="270" w:lineRule="auto"/>
        <w:tabs>
          <w:tab w:leader="none" w:pos="154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540" w:right="20" w:hanging="517"/>
        <w:spacing w:after="0" w:line="287" w:lineRule="auto"/>
        <w:tabs>
          <w:tab w:leader="none" w:pos="1532"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1540" w:hanging="517"/>
        <w:spacing w:after="0"/>
        <w:tabs>
          <w:tab w:leader="none" w:pos="154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14605</wp:posOffset>
            </wp:positionV>
            <wp:extent cx="229044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290445" cy="6985"/>
                    </a:xfrm>
                    <a:prstGeom prst="rect">
                      <a:avLst/>
                    </a:prstGeom>
                    <a:noFill/>
                  </pic:spPr>
                </pic:pic>
              </a:graphicData>
            </a:graphic>
          </wp:anchor>
        </w:drawing>
      </w:r>
    </w:p>
    <w:p>
      <w:pPr>
        <w:spacing w:after="0" w:line="10" w:lineRule="exact"/>
        <w:rPr>
          <w:sz w:val="20"/>
          <w:szCs w:val="20"/>
          <w:color w:val="auto"/>
        </w:rPr>
      </w:pPr>
    </w:p>
    <w:p>
      <w:pPr>
        <w:ind w:left="780"/>
        <w:spacing w:after="0"/>
        <w:tabs>
          <w:tab w:leader="none" w:pos="6740" w:val="left"/>
        </w:tabs>
        <w:rPr>
          <w:sz w:val="20"/>
          <w:szCs w:val="20"/>
          <w:color w:val="auto"/>
        </w:rPr>
      </w:pPr>
      <w:r>
        <w:rPr>
          <w:rFonts w:ascii="Times New Roman" w:cs="Times New Roman" w:eastAsia="Times New Roman" w:hAnsi="Times New Roman"/>
          <w:sz w:val="14"/>
          <w:szCs w:val="14"/>
          <w:color w:val="auto"/>
        </w:rPr>
        <w:t>Date: May 22, 2024</w:t>
      </w:r>
      <w:r>
        <w:rPr>
          <w:sz w:val="20"/>
          <w:szCs w:val="20"/>
          <w:color w:val="auto"/>
        </w:rPr>
        <w:tab/>
      </w:r>
      <w:r>
        <w:rPr>
          <w:rFonts w:ascii="Times New Roman" w:cs="Times New Roman" w:eastAsia="Times New Roman" w:hAnsi="Times New Roman"/>
          <w:sz w:val="14"/>
          <w:szCs w:val="14"/>
          <w:color w:val="auto"/>
        </w:rPr>
        <w:t>Eric S. Yuan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728" w:right="3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Kelly Steckelberg, certify that:</w:t>
      </w:r>
    </w:p>
    <w:p>
      <w:pPr>
        <w:spacing w:after="0" w:line="147" w:lineRule="exact"/>
        <w:rPr>
          <w:sz w:val="20"/>
          <w:szCs w:val="20"/>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Zoom Video Communications, Inc.;</w:t>
      </w:r>
    </w:p>
    <w:p>
      <w:pPr>
        <w:spacing w:after="0" w:line="157" w:lineRule="exact"/>
        <w:rPr>
          <w:rFonts w:ascii="Times New Roman" w:cs="Times New Roman" w:eastAsia="Times New Roman" w:hAnsi="Times New Roman"/>
          <w:sz w:val="14"/>
          <w:szCs w:val="14"/>
          <w:color w:val="auto"/>
        </w:rPr>
      </w:pPr>
    </w:p>
    <w:p>
      <w:pPr>
        <w:ind w:left="1020" w:right="220" w:hanging="506"/>
        <w:spacing w:after="0" w:line="287"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1020" w:right="300" w:hanging="506"/>
        <w:spacing w:after="0" w:line="287"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4"/>
          <w:szCs w:val="14"/>
          <w:color w:val="auto"/>
        </w:rPr>
      </w:pPr>
    </w:p>
    <w:p>
      <w:pPr>
        <w:ind w:left="1540" w:hanging="517"/>
        <w:spacing w:after="0" w:line="270" w:lineRule="auto"/>
        <w:tabs>
          <w:tab w:leader="none" w:pos="1532"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jc w:val="both"/>
        <w:ind w:left="1540" w:right="60" w:hanging="517"/>
        <w:spacing w:after="0" w:line="270" w:lineRule="auto"/>
        <w:tabs>
          <w:tab w:leader="none" w:pos="154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1540" w:right="400" w:hanging="517"/>
        <w:spacing w:after="0" w:line="287" w:lineRule="auto"/>
        <w:tabs>
          <w:tab w:leader="none" w:pos="1532"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4"/>
          <w:szCs w:val="14"/>
          <w:color w:val="auto"/>
        </w:rPr>
      </w:pPr>
    </w:p>
    <w:p>
      <w:pPr>
        <w:ind w:left="1540" w:right="20" w:hanging="517"/>
        <w:spacing w:after="0" w:line="270" w:lineRule="auto"/>
        <w:tabs>
          <w:tab w:leader="none" w:pos="154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540" w:right="20" w:hanging="517"/>
        <w:spacing w:after="0" w:line="287" w:lineRule="auto"/>
        <w:tabs>
          <w:tab w:leader="none" w:pos="1532"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4"/>
          <w:szCs w:val="14"/>
          <w:color w:val="auto"/>
        </w:rPr>
      </w:pPr>
    </w:p>
    <w:p>
      <w:pPr>
        <w:ind w:left="1540" w:hanging="517"/>
        <w:spacing w:after="0"/>
        <w:tabs>
          <w:tab w:leader="none" w:pos="154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14605</wp:posOffset>
            </wp:positionV>
            <wp:extent cx="229044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290445" cy="6985"/>
                    </a:xfrm>
                    <a:prstGeom prst="rect">
                      <a:avLst/>
                    </a:prstGeom>
                    <a:noFill/>
                  </pic:spPr>
                </pic:pic>
              </a:graphicData>
            </a:graphic>
          </wp:anchor>
        </w:drawing>
      </w:r>
    </w:p>
    <w:p>
      <w:pPr>
        <w:spacing w:after="0" w:line="10" w:lineRule="exact"/>
        <w:rPr>
          <w:sz w:val="20"/>
          <w:szCs w:val="20"/>
          <w:color w:val="auto"/>
        </w:rPr>
      </w:pPr>
    </w:p>
    <w:p>
      <w:pPr>
        <w:ind w:left="780"/>
        <w:spacing w:after="0"/>
        <w:tabs>
          <w:tab w:leader="none" w:pos="6880" w:val="left"/>
        </w:tabs>
        <w:rPr>
          <w:sz w:val="20"/>
          <w:szCs w:val="20"/>
          <w:color w:val="auto"/>
        </w:rPr>
      </w:pPr>
      <w:r>
        <w:rPr>
          <w:rFonts w:ascii="Times New Roman" w:cs="Times New Roman" w:eastAsia="Times New Roman" w:hAnsi="Times New Roman"/>
          <w:sz w:val="14"/>
          <w:szCs w:val="14"/>
          <w:color w:val="auto"/>
        </w:rPr>
        <w:t>Date: May 22, 2024</w:t>
      </w:r>
      <w:r>
        <w:rPr>
          <w:sz w:val="20"/>
          <w:szCs w:val="20"/>
          <w:color w:val="auto"/>
        </w:rPr>
        <w:tab/>
      </w:r>
      <w:r>
        <w:rPr>
          <w:rFonts w:ascii="Times New Roman" w:cs="Times New Roman" w:eastAsia="Times New Roman" w:hAnsi="Times New Roman"/>
          <w:sz w:val="14"/>
          <w:szCs w:val="14"/>
          <w:color w:val="auto"/>
        </w:rPr>
        <w:t>Kelly Steckelberg</w:t>
      </w:r>
    </w:p>
    <w:p>
      <w:pPr>
        <w:spacing w:after="0" w:line="2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865" w:right="3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 OF THE SARBANES-OXLEY ACT OF 2002</w:t>
      </w:r>
    </w:p>
    <w:p>
      <w:pPr>
        <w:spacing w:after="0" w:line="323"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4"/>
          <w:szCs w:val="14"/>
          <w:color w:val="auto"/>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Video Communications, Inc. for the fiscal quarter ended April 30, 2024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197" w:lineRule="exact"/>
        <w:rPr>
          <w:sz w:val="20"/>
          <w:szCs w:val="20"/>
          <w:color w:val="auto"/>
        </w:rPr>
      </w:pPr>
    </w:p>
    <w:p>
      <w:pPr>
        <w:ind w:left="20"/>
        <w:spacing w:after="0"/>
        <w:tabs>
          <w:tab w:leader="none" w:pos="6740" w:val="left"/>
          <w:tab w:leader="none" w:pos="7180" w:val="left"/>
        </w:tabs>
        <w:rPr>
          <w:sz w:val="20"/>
          <w:szCs w:val="20"/>
          <w:color w:val="auto"/>
        </w:rPr>
      </w:pPr>
      <w:r>
        <w:rPr>
          <w:rFonts w:ascii="Times New Roman" w:cs="Times New Roman" w:eastAsia="Times New Roman" w:hAnsi="Times New Roman"/>
          <w:sz w:val="14"/>
          <w:szCs w:val="14"/>
          <w:color w:val="auto"/>
        </w:rPr>
        <w:t>Date: May 22,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14605</wp:posOffset>
            </wp:positionV>
            <wp:extent cx="251269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512695" cy="6985"/>
                    </a:xfrm>
                    <a:prstGeom prst="rect">
                      <a:avLst/>
                    </a:prstGeom>
                    <a:noFill/>
                  </pic:spPr>
                </pic:pic>
              </a:graphicData>
            </a:graphic>
          </wp:anchor>
        </w:drawing>
      </w:r>
    </w:p>
    <w:p>
      <w:pPr>
        <w:spacing w:after="0" w:line="1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color w:val="auto"/>
        </w:rPr>
        <w:t>Eric S. Yuan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I, Kelly Steckelberg, certify, pursuant to the requirement set forth in Rule 13a-14(b) of the Exchange Act and 18 U.S.C. Section 1350, as adopted pursuant to Section 906 of the Sarbanes-Oxley Act of 2002, that to the best of my knowledge, the Quarterly Report on Form 10-Q of Zoom Video Communications, Inc. for the fiscal quarter ended April 30, 2024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197" w:lineRule="exact"/>
        <w:rPr>
          <w:sz w:val="20"/>
          <w:szCs w:val="20"/>
          <w:color w:val="auto"/>
        </w:rPr>
      </w:pPr>
    </w:p>
    <w:p>
      <w:pPr>
        <w:ind w:left="20"/>
        <w:spacing w:after="0"/>
        <w:tabs>
          <w:tab w:leader="none" w:pos="6740" w:val="left"/>
          <w:tab w:leader="none" w:pos="7180" w:val="left"/>
        </w:tabs>
        <w:rPr>
          <w:sz w:val="20"/>
          <w:szCs w:val="20"/>
          <w:color w:val="auto"/>
        </w:rPr>
      </w:pPr>
      <w:r>
        <w:rPr>
          <w:rFonts w:ascii="Times New Roman" w:cs="Times New Roman" w:eastAsia="Times New Roman" w:hAnsi="Times New Roman"/>
          <w:sz w:val="14"/>
          <w:szCs w:val="14"/>
          <w:color w:val="auto"/>
        </w:rPr>
        <w:t>Date: May 22,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14605</wp:posOffset>
            </wp:positionV>
            <wp:extent cx="251269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512695" cy="6985"/>
                    </a:xfrm>
                    <a:prstGeom prst="rect">
                      <a:avLst/>
                    </a:prstGeom>
                    <a:noFill/>
                  </pic:spPr>
                </pic:pic>
              </a:graphicData>
            </a:graphic>
          </wp:anchor>
        </w:drawing>
      </w:r>
    </w:p>
    <w:p>
      <w:pPr>
        <w:spacing w:after="0" w:line="1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color w:val="auto"/>
        </w:rPr>
        <w:t>Kelly Steckelberg</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6"/>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lvl w:ilvl="1">
      <w:lvlJc w:val="left"/>
      <w:lvlText w:val="%2"/>
      <w:numFmt w:val="decimal"/>
      <w:start w:val="104"/>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87" Type="http://schemas.openxmlformats.org/officeDocument/2006/relationships/hyperlink" Target="https://www.sec.gov/Archives/edgar/data/1585521/000119312519115111/d736915dex31.htm" TargetMode="External"/><Relationship Id="rId88" Type="http://schemas.openxmlformats.org/officeDocument/2006/relationships/hyperlink" Target="https://www.sec.gov/Archives/edgar/data/1585521/000158552123000035/zoom-amendedandrestated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2024-05-22T15:16:33Z</dcterms:created>
  <dcterms:modified xsi:type="dcterms:W3CDTF">2024-05-22T15:16:33Z</dcterms:modified>
</cp:coreProperties>
</file>