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25,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Zoom Communications, Inc.</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tbl>
      <w:tblPr>
        <w:tblW w:w="5668" w:type="dxa"/>
        <w:jc w:val="center"/>
        <w:tblInd w:w="0" w:type="dxa"/>
        <w:tblLayout w:type="fixed"/>
        <w:tblCellMar>
          <w:top w:w="28" w:type="dxa"/>
          <w:left w:w="28" w:type="dxa"/>
          <w:bottom w:w="28" w:type="dxa"/>
          <w:right w:w="28" w:type="dxa"/>
        </w:tblCellMar>
      </w:tblPr>
      <w:tblGrid>
        <w:gridCol w:w="776"/>
        <w:gridCol w:w="680"/>
        <w:gridCol w:w="688"/>
        <w:gridCol w:w="679"/>
        <w:gridCol w:w="679"/>
        <w:gridCol w:w="682"/>
        <w:gridCol w:w="434"/>
        <w:gridCol w:w="434"/>
        <w:gridCol w:w="616"/>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001-38865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61-1648780</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50" w:after="283"/>
        <w:jc w:val="center"/>
        <w:rPr>
          <w:rFonts w:ascii="Times New Roman;serif" w:hAnsi="Times New Roman;serif"/>
          <w:b/>
          <w:color w:val="000000"/>
          <w:sz w:val="22"/>
        </w:rPr>
      </w:pPr>
      <w:r>
        <w:rPr>
          <w:rFonts w:ascii="Times New Roman;serif" w:hAnsi="Times New Roman;serif"/>
          <w:b/>
          <w:color w:val="000000"/>
          <w:sz w:val="22"/>
        </w:rPr>
        <w:t>55 Almaden Boulevard, 6th Floor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San Jose, California 95113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(888) 799-9666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Zoom Video Communications,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534" w:type="dxa"/>
        <w:jc w:val="left"/>
        <w:tblInd w:w="0" w:type="dxa"/>
        <w:tblLayout w:type="fixed"/>
        <w:tblCellMar>
          <w:top w:w="28" w:type="dxa"/>
          <w:left w:w="28" w:type="dxa"/>
          <w:bottom w:w="28" w:type="dxa"/>
          <w:right w:w="28" w:type="dxa"/>
        </w:tblCellMar>
      </w:tblPr>
      <w:tblGrid>
        <w:gridCol w:w="1373"/>
        <w:gridCol w:w="1210"/>
        <w:gridCol w:w="1228"/>
        <w:gridCol w:w="484"/>
        <w:gridCol w:w="484"/>
        <w:gridCol w:w="486"/>
        <w:gridCol w:w="956"/>
        <w:gridCol w:w="956"/>
        <w:gridCol w:w="1357"/>
      </w:tblGrid>
      <w:tr>
        <w:trPr/>
        <w:tc>
          <w:tcPr>
            <w:tcW w:w="137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81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81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$0.001 par value per share</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ZM</w:t>
            </w:r>
          </w:p>
        </w:tc>
        <w:tc>
          <w:tcPr>
            <w:tcW w:w="32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25, 2026, Zoom Communications, Inc. (the “Company”) issued a press release announcing its financial results for the three months ended July 31, 2026. A copy of the press release is furnished as Exhibit 99.1 to this report and is incorporated by reference.</w:t>
      </w:r>
    </w:p>
    <w:p>
      <w:pPr>
        <w:pStyle w:val="TextBody"/>
        <w:bidi w:val="0"/>
        <w:spacing w:lineRule="auto" w:line="268" w:before="240" w:after="283"/>
        <w:ind w:left="0" w:right="0" w:firstLine="720"/>
        <w:jc w:val="both"/>
        <w:rPr/>
      </w:pPr>
      <w:r>
        <w:rPr>
          <w:rFonts w:ascii="Times New Roman;serif" w:hAnsi="Times New Roman;serif"/>
          <w:b w:val="false"/>
          <w:color w:val="000000"/>
          <w:sz w:val="20"/>
        </w:rPr>
        <w:t>The information contained in this report, including Exhibit 99.1 attached hereto, is furnished and shall not be deemed “filed” for purposes of Section 18 of the Securities Exchange Act of 1934, as amended, or subject to the liabilities of that section.</w:t>
      </w:r>
      <w:r>
        <w:rPr>
          <w:color w:val="000000"/>
        </w:rPr>
        <w:t xml:space="preserve"> </w:t>
      </w:r>
      <w:r>
        <w:rPr>
          <w:rFonts w:ascii="Times New Roman;serif" w:hAnsi="Times New Roman;serif"/>
          <w:b w:val="false"/>
          <w:color w:val="000000"/>
          <w:sz w:val="20"/>
        </w:rPr>
        <w:t>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9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28"/>
        <w:gridCol w:w="1928"/>
        <w:gridCol w:w="274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zm-20260731ex991.htm">
              <w:r>
                <w:rPr>
                  <w:rStyle w:val="InternetLink"/>
                  <w:rFonts w:ascii="Times New Roman;serif" w:hAnsi="Times New Roman;serif"/>
                  <w:b w:val="false"/>
                  <w:color w:val="000080"/>
                  <w:sz w:val="20"/>
                  <w:u w:val="single"/>
                </w:rPr>
                <w:t xml:space="preserve">Press release dated </w:t>
              </w:r>
            </w:hyperlink>
            <w:hyperlink w:anchor="zm-20260731ex991.htm">
              <w:r>
                <w:rPr>
                  <w:rStyle w:val="InternetLink"/>
                  <w:rFonts w:ascii="Times New Roman;serif" w:hAnsi="Times New Roman;serif"/>
                  <w:b w:val="false"/>
                  <w:color w:val="000080"/>
                  <w:sz w:val="20"/>
                  <w:u w:val="single"/>
                </w:rPr>
                <w:t>A</w:t>
              </w:r>
            </w:hyperlink>
            <w:hyperlink w:anchor="zm-20260731ex991.htm">
              <w:r>
                <w:rPr>
                  <w:rStyle w:val="InternetLink"/>
                  <w:rFonts w:ascii="Times New Roman;serif" w:hAnsi="Times New Roman;serif"/>
                  <w:b w:val="false"/>
                  <w:color w:val="000080"/>
                  <w:sz w:val="20"/>
                  <w:u w:val="single"/>
                </w:rPr>
                <w:t>ugust</w:t>
              </w:r>
            </w:hyperlink>
            <w:hyperlink w:anchor="zm-20260731ex991.htm">
              <w:r>
                <w:rPr>
                  <w:rStyle w:val="InternetLink"/>
                  <w:rFonts w:ascii="Times New Roman;serif" w:hAnsi="Times New Roman;serif"/>
                  <w:b w:val="false"/>
                  <w:color w:val="000080"/>
                  <w:sz w:val="20"/>
                  <w:u w:val="single"/>
                </w:rPr>
                <w:t xml:space="preserve"> 2</w:t>
              </w:r>
            </w:hyperlink>
            <w:hyperlink w:anchor="zm-20260731ex991.htm">
              <w:r>
                <w:rPr>
                  <w:rStyle w:val="InternetLink"/>
                  <w:rFonts w:ascii="Times New Roman;serif" w:hAnsi="Times New Roman;serif"/>
                  <w:b w:val="false"/>
                  <w:color w:val="000080"/>
                  <w:sz w:val="20"/>
                  <w:u w:val="single"/>
                </w:rPr>
                <w:t>5</w:t>
              </w:r>
            </w:hyperlink>
            <w:hyperlink w:anchor="zm-20260731ex991.htm">
              <w:r>
                <w:rPr>
                  <w:rStyle w:val="InternetLink"/>
                  <w:rFonts w:ascii="Times New Roman;serif" w:hAnsi="Times New Roman;serif"/>
                  <w:b w:val="false"/>
                  <w:color w:val="000080"/>
                  <w:sz w:val="20"/>
                  <w:u w:val="single"/>
                </w:rPr>
                <w:t>, 2026 of Zoom Communications, Inc.</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315" w:type="dxa"/>
        <w:jc w:val="left"/>
        <w:tblInd w:w="0" w:type="dxa"/>
        <w:tblLayout w:type="fixed"/>
        <w:tblCellMar>
          <w:top w:w="28" w:type="dxa"/>
          <w:left w:w="28" w:type="dxa"/>
          <w:bottom w:w="28" w:type="dxa"/>
          <w:right w:w="28" w:type="dxa"/>
        </w:tblCellMar>
      </w:tblPr>
      <w:tblGrid>
        <w:gridCol w:w="743"/>
        <w:gridCol w:w="653"/>
        <w:gridCol w:w="659"/>
        <w:gridCol w:w="397"/>
        <w:gridCol w:w="397"/>
        <w:gridCol w:w="397"/>
        <w:gridCol w:w="605"/>
        <w:gridCol w:w="605"/>
        <w:gridCol w:w="859"/>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Zoom Communications,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25, 2026</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Chang</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Chang</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lineRule="auto" w:line="288" w:before="240" w:after="283"/>
        <w:ind w:left="0" w:right="0" w:firstLine="720"/>
        <w:jc w:val="left"/>
        <w:rPr>
          <w:rFonts w:ascii="Times New Roman;serif" w:hAnsi="Times New Roman;serif"/>
          <w:b/>
          <w:color w:val="000000"/>
          <w:sz w:val="20"/>
          <w:u w:val="single"/>
        </w:rPr>
      </w:pPr>
      <w:r>
        <w:rPr>
          <w:rFonts w:ascii="Times New Roman;serif" w:hAnsi="Times New Roman;serif"/>
          <w:b/>
          <w:color w:val="000000"/>
          <w:sz w:val="20"/>
          <w:u w:val="single"/>
        </w:rPr>
        <w:t>Zoom Communications Reports Financial Results for the Second Quarter of Fiscal Year 2027</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Second quarter total revenue of $1,277.2 million, up 4.9% year over year as reported and 4.7% in constant currency</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Second quarter Enterprise revenue of $787.5 million, up 7.8% year over year</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Second quarter GAAP operating margin of 24.6% and non-GAAP operating margin of 40.0%</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Trailing 12-month net dollar expansion rate for Enterprise customers increased to 99% from 98% as of the same quarter last fiscal year</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Repurchased approximately 3.7 million shares of common stock in second quarter, bringing the total shares repurchased under the current plan to 44.2 million</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Number of customers contributing more than $100,000 in trailing 12 months revenue up 8.2% year over year</w:t>
      </w:r>
    </w:p>
    <w:p>
      <w:pPr>
        <w:pStyle w:val="TextBody"/>
        <w:bidi w:val="0"/>
        <w:spacing w:lineRule="auto" w:line="288" w:before="240" w:after="283"/>
        <w:jc w:val="left"/>
        <w:rPr/>
      </w:pPr>
      <w:r>
        <w:rPr>
          <w:rFonts w:ascii="Times New Roman;serif" w:hAnsi="Times New Roman;serif"/>
          <w:b/>
          <w:color w:val="000000"/>
          <w:sz w:val="20"/>
        </w:rPr>
        <w:t>San Jose, California – </w:t>
      </w:r>
      <w:r>
        <w:rPr>
          <w:rFonts w:ascii="Times New Roman;serif" w:hAnsi="Times New Roman;serif"/>
          <w:b w:val="false"/>
          <w:color w:val="000000"/>
          <w:sz w:val="20"/>
        </w:rPr>
        <w:t xml:space="preserve">August 25, 2026 – Zoom Communications, Inc. (NASDAQ: ZM), today announced financial results for the second fiscal quarter ended July 31, 2026. </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0"/>
        </w:rPr>
        <w:t>FY27 continues to progress well, reflecting focused execution against our three priorities and clear Enterprise business momentum. Total revenue grew 4.9% year over year, anchored by 7.8% growth in Enterprise revenue, its strongest growth rate in three years,” said Eric S. Yuan, Zoom’s founder and CEO. “Our AI-first Customer Experience portfolio continues to scale, delivering high-double-digit ARR expansion, driven in part by strong adoption of Zoom Virtual Agent, whose customer count increased 256% year over year. With innovations including ZoomMate, My Notes, AI Productivity Suite, ZVA Receptionist, and Workvivo HQ Agent, and acquisitions like Common Room and BrightHire, we are embedding AI into the flow of work across collaboration, customer experience, revenue orchestration, recruiting, and employee experience. The breadth of that AI adoption reflects how Zoom is differentiating as a system of action for modern work, moving enterprise operations from conversation to completion.”</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Second Quarter Fiscal Year 2027 Financial Highlights:</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Revenue:</w:t>
      </w:r>
      <w:r>
        <w:rPr>
          <w:color w:val="000000"/>
        </w:rPr>
        <w:t xml:space="preserve"> </w:t>
      </w:r>
      <w:r>
        <w:rPr>
          <w:rFonts w:ascii="Times New Roman;serif" w:hAnsi="Times New Roman;serif"/>
          <w:b w:val="false"/>
          <w:color w:val="000000"/>
          <w:sz w:val="20"/>
        </w:rPr>
        <w:t>Total revenue for the second quarter was $1,277.2 million, up 4.9% year over year. Adjusting for foreign currency impact, revenue in constant currency was $1,274.5 million, up 4.7% year over year. Enterprise revenue was $787.5 million, up 7.8% year over year, and Online revenue was $489.7 million, up 0.6% year over year.</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Income from Operations and Operating Margin:</w:t>
      </w:r>
      <w:r>
        <w:rPr>
          <w:color w:val="000000"/>
        </w:rPr>
        <w:t xml:space="preserve"> </w:t>
      </w:r>
      <w:r>
        <w:rPr>
          <w:rFonts w:ascii="Times New Roman;serif" w:hAnsi="Times New Roman;serif"/>
          <w:b w:val="false"/>
          <w:color w:val="000000"/>
          <w:sz w:val="20"/>
        </w:rPr>
        <w:t>GAAP income from operations for the second quarter was $314.3 million, compared to GAAP income from operations of $321.7 million in the second quarter of fiscal year 2026. Non-GAAP income from operations, which adjusts for stock-based compensation expense and related payroll taxes, acquisition-related expenses, and litigation settlements, net, was $510.3 million for the second quarter, compared to non-GAAP income from operations of $503.2 million in the second quarter of fiscal year 2026. For the second quarter, GAAP operating margin was 24.6% and non-GAAP operating margin was 40.0%.</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Net Income and Diluted Net Income Per Share:</w:t>
      </w:r>
      <w:r>
        <w:rPr>
          <w:color w:val="000000"/>
        </w:rPr>
        <w:t xml:space="preserve"> </w:t>
      </w:r>
      <w:r>
        <w:rPr>
          <w:rFonts w:ascii="Times New Roman;serif" w:hAnsi="Times New Roman;serif"/>
          <w:b w:val="false"/>
          <w:color w:val="000000"/>
          <w:sz w:val="20"/>
        </w:rPr>
        <w:t>GAAP net income for the second quarter was $1,542.4 million, or $5.15 per share, compared to GAAP net income of $358.6 million, or $1.16 per share, in the second quarter of fiscal year 2026. Non-GAAP net income for the second quarter, which adjusts for stock-based compensation expense and related payroll taxes, gains on strategic investments, net, acquisition-related expenses, litigation settlements, net, and the tax effects on non-GAAP adjustments, was $464.0 million, or $1.55 per share. In the second quarter of fiscal year 2026, non-GAAP net income was $471.3 million, or $1.53 per share.</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0"/>
        </w:rPr>
        <w:t xml:space="preserve">Cash and Marketable Securities: </w:t>
      </w:r>
      <w:r>
        <w:rPr>
          <w:rFonts w:ascii="Times New Roman;serif" w:hAnsi="Times New Roman;serif"/>
          <w:b w:val="false"/>
          <w:color w:val="000000"/>
          <w:sz w:val="20"/>
        </w:rPr>
        <w:t>Total cash, cash equivalents, and marketable securities, excluding restricted cash, as of July 31, 2026 was $7.2 billion.</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Cash Flow:</w:t>
      </w:r>
      <w:r>
        <w:rPr>
          <w:color w:val="000000"/>
        </w:rPr>
        <w:t xml:space="preserve"> </w:t>
      </w:r>
      <w:r>
        <w:rPr>
          <w:rFonts w:ascii="Times New Roman;serif" w:hAnsi="Times New Roman;serif"/>
          <w:b w:val="false"/>
          <w:color w:val="000000"/>
          <w:sz w:val="20"/>
        </w:rPr>
        <w:t>Net cash provided by operating activities was $494.8 million for the second quarter, compared to $515.9 million in the second quarter of fiscal year 2026. Free cash flow, which is net cash provided by operating activities less purchases of property and equipment, was $472.4 million, compared to $508.0 million in the second quarter of fiscal year 2026.</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color w:val="000000"/>
          <w:sz w:val="20"/>
        </w:rPr>
        <w:t>Customer Metrics:</w:t>
      </w:r>
      <w:r>
        <w:rPr>
          <w:color w:val="000000"/>
        </w:rPr>
        <w:t> </w:t>
      </w:r>
      <w:r>
        <w:rPr>
          <w:rFonts w:ascii="Times New Roman;serif" w:hAnsi="Times New Roman;serif"/>
          <w:b w:val="false"/>
          <w:color w:val="000000"/>
          <w:sz w:val="20"/>
        </w:rPr>
        <w:t>Drivers of total revenue included acquiring new customers. At the end of the second quarter of fiscal year 2027:</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number of customers contributing more than $100,000 in trailing 12 months revenue was 4,625, up 8.2% from the same quarter last fiscal year.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trailing 12-month net dollar expansion rate for Enterprise customers was 99%, up from 98% as of the same quarter last fiscal year.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Online average monthly churn was 2.9%, consistent with the same quarter last fiscal year.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Online customers with at least 16 months of continual service represented 75.6% of total Online MRR, up 70 bps year over year.</w:t>
      </w:r>
    </w:p>
    <w:p>
      <w:pPr>
        <w:pStyle w:val="TextBody"/>
        <w:bidi w:val="0"/>
        <w:spacing w:lineRule="auto" w:line="288" w:before="240" w:after="283"/>
        <w:jc w:val="left"/>
        <w:rPr/>
      </w:pPr>
      <w:r>
        <w:rPr>
          <w:rFonts w:ascii="Times New Roman;serif" w:hAnsi="Times New Roman;serif"/>
          <w:b/>
          <w:color w:val="000000"/>
          <w:sz w:val="20"/>
        </w:rPr>
        <w:t>Financial Outlook:</w:t>
      </w:r>
      <w:r>
        <w:rPr>
          <w:color w:val="000000"/>
        </w:rPr>
        <w:t> </w:t>
      </w:r>
      <w:r>
        <w:rPr>
          <w:rFonts w:ascii="Times New Roman;serif" w:hAnsi="Times New Roman;serif"/>
          <w:b w:val="false"/>
          <w:color w:val="000000"/>
          <w:sz w:val="20"/>
        </w:rPr>
        <w:t>Zoom is providing the following guidance for its third quarter of fiscal year 2027 and updating its guidance for full fiscal year 2027.</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Third Quarter Fiscal Year 2027: Total revenue is expected to be between $1.275 billion and $1.280 billion and revenue in constant currency is expected to be between $1.275 billion and $1.280 billion. Non-GAAP income from operations is expected to be between $510.0 million and $515.0 million. Non-GAAP diluted EPS is expected to be between $1.46 and $1.48 with approximately 301 million weighted average shares outstanding.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Full Fiscal Year 2027: Total revenue is expected to be between $5.085 billion and $5.095 billion and revenue in constant currency is expected to be between $5.071 billion and $5.081 billion. Non-GAAP income from operations is expected to be between $2.065 billion and $2.075 billion. Non-GAAP diluted EPS is expected to be between $6.08 and $6.12 with approximately 301 million weighted average shares outstanding. Full fiscal year free cash flow is expected to be between $1.780 billion and $1.820 billion.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EPS and share count figures do not include the impact from approximately $1.3 billion of authorized share repurchase remaining as of July 31,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supplemental financial presentation and other information can be accessed through Zoom’s investor relations website at investors.zoom.com.</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Zoom Video Earnings Call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Zoom will host a Zoom Video Webinar for investors on August 25, 2026 at 2:00 p.m. Pacific Time / 5:00 p.m. Eastern Time to discuss the company’s financial results, business highlights and financial outlook. Investors are invited to join the Zoom Video Webinar by visiting: https://investors.zoom.com/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About Zoom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Zoom (NASDAQ:ZM) is a system of action for modern work, turning live collaboration into completed results. From entrepreneurs to global enterprises, customers choose Zoom to seamlessly collaborate, communicate, and drive outcomes across meetings, phone, contact center, and more — all with the built-in assistance of Zoom AI. Founded in 2011, Zoom is headquartered in San Jose, CA. For more information, visit zoom.com.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express and implied “forward-looking statements” within the meaning of the Private Securities Litigation Reform Act of 1995, including statements regarding Zoom's financial outlook for the third quarter of fiscal year 2027 and full fiscal year 2027, Zoom’s market position, opportunities, and growth strategy, product initiatives, including future product and feature releases, and go-to-market motions and the expected benefits resulting from the same, market trends, and Zoom's stock repurchase program.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factors beyond our control, that could cause actual results, performance or achievement to differ materially and adversely from those anticipated or implied in the statements, including: declines in new customers, renewals or upgrades, or decline in demand for our platform, difficulties in evaluating our prospects and future results of operations given our continuing growth in scale, complexity and scope, the pace of development, adoption, or performance of our AI capabilities, competition from other providers of communications platforms, the effect of macroeconomic conditions on our business, including geopolitical tensions, tariffs and escalating trade tensions, interest rate fluctuations, inflationary pressures and market and foreign currency exchange rate volatility, lengthened sales cycles with large organizations, delays or outages in services from our co-located data centers, failures in internet infrastructure or interference with broadband access, compromised security measures, including ours and those of the third parties upon which we rely,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April 30, 2026.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 and Non-GAAP Operating Margin. Zoom defines non-GAAP income from operations as income from operations excluding stock-based compensation expense and related payroll taxes, acquisition-related expenses, and litigation settlements, net.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Zoom excludes significant litigation settlements, net of amounts covered by insurance, that we deem not to be in the ordinary course of our business. In fact, Zoom believes the consideration of measures that exclude such expenses can assist in the comparison of operational performance in different periods that may or may not include such expenses and assist in the comparison with the results of other companies in the industry. Zoom defines non-GAAP operating margin as non-GAAP income from operations divided by GAAP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and Non-GAAP Net Income Per Share, Basic and Diluted. Zoom defines non-GAAP net income as GAAP net income adjusted to exclude stock-based compensation expense and related payroll taxes, acquisition-related expenses, gains/losses on strategic investments, net, litigation settlements, net, and the tax effects of all non-GAAP adjustments. Zoom excludes these items because they are considered by management to be outside of Zoom’s core operating results. These adjustments are intended to provide investors and management with greater visibility to the underlying performance of Zoom’s business operations, facilitate comparison of its results with other periods, and may also facilitate comparison with the results of other companies in the industry. Zoom defines non-GAAP net income per share, basic and diluted, as non-GAAP net income divided by the number of shares outstanding, basic and diluted, calculated in accordance with GAAP.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Free Cash Flow and Free Cash Flow Margin.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 Zoom defines free cash flow margin as free cash flow divided by GAAP revenue.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 revenue in constant currency information as a framework for assessing how Zoom's underlying businesses performed period to period, excluding the effects of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Customer Metrics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Zoom defines a customer as a separate and distinct buying entity, which can be a single paid user or an organization of any size (including a distinct unit of an organization) that has multiple users. Zoom defines Enterprise customers as distinct business units that have been engaged by either our direct sales team, resellers, or strategic partners. All other customers that subscribe to our services directly through our website are referred to as Online 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Zoom calculates online average monthly churn by starting with the Online customer MRR as of the beginning of the applicable quarter (“Entry MRR”). Zoom defines Entry MRR as the recurring revenue run-rate of subscription agreements from all Online customers except for subscriptions that Zoom recorded as churn in a previous quarter based on the customers' earlier indication to us of their intention to cancel that subscription. Zoom then determines the MRR related to customers who canceled or downgraded their subscription or notified us of that intention during the applicable quarter (“Applicable Quarter MRR Churn”) and divides the Applicable Quarter MRR Churn by the applicable quarter Entry MRR to arrive at the MRR churn rate for Online Customers for the applicable quarter. Zoom then divides that amount by three to calculate the online average monthly churn.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Public Relations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Karen Modlin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Head of Corporate Communications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press@zoom.us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Relations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Charles Eveslage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Head of 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investors@zoom.us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7401" w:type="dxa"/>
        <w:jc w:val="center"/>
        <w:tblInd w:w="0" w:type="dxa"/>
        <w:tblLayout w:type="fixed"/>
        <w:tblCellMar>
          <w:top w:w="28" w:type="dxa"/>
          <w:left w:w="28" w:type="dxa"/>
          <w:bottom w:w="28" w:type="dxa"/>
          <w:right w:w="28" w:type="dxa"/>
        </w:tblCellMar>
      </w:tblPr>
      <w:tblGrid>
        <w:gridCol w:w="1405"/>
        <w:gridCol w:w="1239"/>
        <w:gridCol w:w="1256"/>
        <w:gridCol w:w="109"/>
        <w:gridCol w:w="109"/>
        <w:gridCol w:w="109"/>
        <w:gridCol w:w="211"/>
        <w:gridCol w:w="1081"/>
        <w:gridCol w:w="109"/>
        <w:gridCol w:w="109"/>
        <w:gridCol w:w="109"/>
        <w:gridCol w:w="109"/>
        <w:gridCol w:w="211"/>
        <w:gridCol w:w="1081"/>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8,115,401 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8,657,959 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13,585,396 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11,960,416 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2,121,353 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1,999,190 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2,281,785 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2,152,158 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7,667,788 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11,303,611 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9,808,258 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13,585,396 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11,960,416 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Note: The amount of unbilled accounts receivable included within accounts receivable, net on the condensed consolidated balance sheets was $88.4 million and $84.9 million as of July 31, 2026 and January 31,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550"/>
        <w:gridCol w:w="1059"/>
        <w:gridCol w:w="1057"/>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55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2,391,942 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1,840,375 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1,325,425 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1,277,048 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563,327 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strategic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1,994,967 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2,526,587 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763,927 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613,195 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292,879,238 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301,779,114 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303,354,835 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299,746,342 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308,224,372 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300,021,287 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310,515,069 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1583"/>
        <w:gridCol w:w="1277"/>
        <w:gridCol w:w="1286"/>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6"/>
      </w:tblGrid>
      <w:tr>
        <w:trPr/>
        <w:tc>
          <w:tcPr>
            <w:tcW w:w="158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strategic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accounts receivable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discount/premium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494,751 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515,940 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1,016,361 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1,005,201 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(4,488,122)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(2,227,043)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2,088,081 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strategic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(554,237)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(185,803)</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for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equity transactions (remitted) to be remitted to employees and tax authorities,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repurchases of common stock, including excise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(883,284)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(795,221)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(985,392)</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(152,718)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1,361,417 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948,548 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1,208,699 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948,548 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1,208,699 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390"/>
        <w:gridCol w:w="707"/>
        <w:gridCol w:w="709"/>
        <w:gridCol w:w="109"/>
        <w:gridCol w:w="109"/>
        <w:gridCol w:w="109"/>
        <w:gridCol w:w="211"/>
        <w:gridCol w:w="976"/>
        <w:gridCol w:w="271"/>
        <w:gridCol w:w="109"/>
        <w:gridCol w:w="109"/>
        <w:gridCol w:w="109"/>
        <w:gridCol w:w="254"/>
        <w:gridCol w:w="1018"/>
        <w:gridCol w:w="290"/>
        <w:gridCol w:w="109"/>
        <w:gridCol w:w="109"/>
        <w:gridCol w:w="109"/>
        <w:gridCol w:w="211"/>
        <w:gridCol w:w="976"/>
        <w:gridCol w:w="271"/>
        <w:gridCol w:w="109"/>
        <w:gridCol w:w="109"/>
        <w:gridCol w:w="109"/>
        <w:gridCol w:w="225"/>
        <w:gridCol w:w="1045"/>
        <w:gridCol w:w="343"/>
      </w:tblGrid>
      <w:tr>
        <w:trPr/>
        <w:tc>
          <w:tcPr>
            <w:tcW w:w="139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321,735 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563,327 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related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412,512 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510,277 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503,226 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1,018,996 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970,552 </w:t>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358,592 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613,195 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related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412,512 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strategic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(1,614,203)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(45,056)</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(31,437)</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effects on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(69,371)</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464,014 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471,319 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929,054 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919,612 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9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34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9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9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34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and non-GAAP weighted-average shares used to compute net income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292,879,238 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301,779,114 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293,688,378 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303,354,835 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and non-GAAP weighted-average shares used to compute 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299,746,342 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308,224,372 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300,021,287 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310,515,069 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515,940 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1,016,361 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1,005,201 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(33,876)</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472,398 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507,974 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972,895 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971,325 </w:t>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(60,673)</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(554,237)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(185,803)</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(401,111)</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(494,862)</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(795,221)</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(985,392)</w:t>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 margin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3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margin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YoY Revenue Growth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YoY Revenue Growth (%)</w:t>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Constant currency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constant currency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1,274,466 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2,503,287 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4446</Words>
  <Characters>25879</Characters>
  <CharactersWithSpaces>29863</CharactersWithSpaces>
  <Paragraphs>788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