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378460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403225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2" w:lineRule="exact"/>
        <w:rPr>
          <w:sz w:val="24"/>
          <w:szCs w:val="24"/>
          <w:color w:val="auto"/>
        </w:rPr>
      </w:pPr>
    </w:p>
    <w:p>
      <w:pPr>
        <w:ind w:left="560" w:right="840" w:hanging="538"/>
        <w:spacing w:after="0" w:line="245" w:lineRule="auto"/>
        <w:tabs>
          <w:tab w:leader="none" w:pos="5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July 31, 2024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2" w:lineRule="exact"/>
        <w:rPr>
          <w:sz w:val="24"/>
          <w:szCs w:val="24"/>
          <w:color w:val="auto"/>
        </w:rPr>
      </w:pPr>
    </w:p>
    <w:p>
      <w:pPr>
        <w:ind w:left="580" w:right="800" w:hanging="538"/>
        <w:spacing w:after="0" w:line="245" w:lineRule="auto"/>
        <w:tabs>
          <w:tab w:leader="none" w:pos="5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7420" w:type="dxa"/>
            <w:vAlign w:val="bottom"/>
            <w:gridSpan w:val="6"/>
          </w:tcPr>
          <w:p>
            <w:pPr>
              <w:ind w:left="34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3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25"/>
        </w:trPr>
        <w:tc>
          <w:tcPr>
            <w:tcW w:w="3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0" w:type="dxa"/>
            <w:vAlign w:val="bottom"/>
            <w:gridSpan w:val="4"/>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Commission File Number 001-38865</w:t>
            </w:r>
          </w:p>
        </w:tc>
        <w:tc>
          <w:tcPr>
            <w:tcW w:w="3780" w:type="dxa"/>
            <w:vAlign w:val="bottom"/>
          </w:tcPr>
          <w:p>
            <w:pPr>
              <w:spacing w:after="0"/>
              <w:rPr>
                <w:sz w:val="19"/>
                <w:szCs w:val="19"/>
                <w:color w:val="auto"/>
              </w:rPr>
            </w:pPr>
          </w:p>
        </w:tc>
      </w:tr>
      <w:tr>
        <w:trPr>
          <w:trHeight w:val="184"/>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___________________________________________________________________</w:t>
            </w:r>
          </w:p>
        </w:tc>
      </w:tr>
      <w:tr>
        <w:trPr>
          <w:trHeight w:val="471"/>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37"/>
                <w:szCs w:val="37"/>
                <w:b w:val="1"/>
                <w:bCs w:val="1"/>
                <w:color w:val="auto"/>
                <w:w w:val="98"/>
              </w:rPr>
              <w:t>Zoom Video Communications, Inc.</w:t>
            </w:r>
          </w:p>
        </w:tc>
      </w:tr>
      <w:tr>
        <w:trPr>
          <w:trHeight w:val="170"/>
        </w:trPr>
        <w:tc>
          <w:tcPr>
            <w:tcW w:w="3780" w:type="dxa"/>
            <w:vAlign w:val="bottom"/>
          </w:tcPr>
          <w:p>
            <w:pPr>
              <w:spacing w:after="0"/>
              <w:rPr>
                <w:sz w:val="14"/>
                <w:szCs w:val="14"/>
                <w:color w:val="auto"/>
              </w:rPr>
            </w:pPr>
          </w:p>
        </w:tc>
        <w:tc>
          <w:tcPr>
            <w:tcW w:w="36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c>
          <w:tcPr>
            <w:tcW w:w="3780" w:type="dxa"/>
            <w:vAlign w:val="bottom"/>
          </w:tcPr>
          <w:p>
            <w:pPr>
              <w:spacing w:after="0"/>
              <w:rPr>
                <w:sz w:val="14"/>
                <w:szCs w:val="14"/>
                <w:color w:val="auto"/>
              </w:rPr>
            </w:pPr>
          </w:p>
        </w:tc>
      </w:tr>
      <w:tr>
        <w:trPr>
          <w:trHeight w:val="184"/>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___________________________________________________________________</w:t>
            </w:r>
          </w:p>
        </w:tc>
      </w:tr>
      <w:tr>
        <w:trPr>
          <w:trHeight w:val="248"/>
        </w:trPr>
        <w:tc>
          <w:tcPr>
            <w:tcW w:w="378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80" w:type="dxa"/>
            <w:vAlign w:val="bottom"/>
          </w:tcPr>
          <w:p>
            <w:pPr>
              <w:jc w:val="center"/>
              <w:ind w:right="1781"/>
              <w:spacing w:after="0"/>
              <w:rPr>
                <w:sz w:val="20"/>
                <w:szCs w:val="20"/>
                <w:color w:val="auto"/>
              </w:rPr>
            </w:pPr>
            <w:r>
              <w:rPr>
                <w:rFonts w:ascii="Times New Roman" w:cs="Times New Roman" w:eastAsia="Times New Roman" w:hAnsi="Times New Roman"/>
                <w:sz w:val="17"/>
                <w:szCs w:val="17"/>
                <w:b w:val="1"/>
                <w:bCs w:val="1"/>
                <w:color w:val="auto"/>
              </w:rPr>
              <w:t>61-1648780</w:t>
            </w:r>
          </w:p>
        </w:tc>
      </w:tr>
      <w:tr>
        <w:trPr>
          <w:trHeight w:val="142"/>
        </w:trPr>
        <w:tc>
          <w:tcPr>
            <w:tcW w:w="3780" w:type="dxa"/>
            <w:vAlign w:val="bottom"/>
          </w:tcPr>
          <w:p>
            <w:pPr>
              <w:jc w:val="center"/>
              <w:ind w:left="1694"/>
              <w:spacing w:after="0" w:line="143"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780" w:type="dxa"/>
            <w:vAlign w:val="bottom"/>
          </w:tcPr>
          <w:p>
            <w:pPr>
              <w:jc w:val="center"/>
              <w:ind w:right="1781"/>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3780" w:type="dxa"/>
            <w:vAlign w:val="bottom"/>
          </w:tcPr>
          <w:p>
            <w:pPr>
              <w:jc w:val="center"/>
              <w:ind w:left="1694"/>
              <w:spacing w:after="0"/>
              <w:rPr>
                <w:sz w:val="20"/>
                <w:szCs w:val="20"/>
                <w:color w:val="auto"/>
              </w:rPr>
            </w:pPr>
            <w:r>
              <w:rPr>
                <w:rFonts w:ascii="Times New Roman" w:cs="Times New Roman" w:eastAsia="Times New Roman" w:hAnsi="Times New Roman"/>
                <w:sz w:val="14"/>
                <w:szCs w:val="14"/>
                <w:b w:val="1"/>
                <w:bCs w:val="1"/>
                <w:color w:val="auto"/>
                <w:w w:val="98"/>
              </w:rPr>
              <w:t>of incorporation or organization)</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780" w:type="dxa"/>
            <w:vAlign w:val="bottom"/>
          </w:tcPr>
          <w:p>
            <w:pPr>
              <w:jc w:val="center"/>
              <w:ind w:right="178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32"/>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55 Almaden Boulevard, 6</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7"/>
                <w:szCs w:val="17"/>
                <w:b w:val="1"/>
                <w:bCs w:val="1"/>
                <w:color w:val="auto"/>
              </w:rPr>
              <w:t xml:space="preserve"> Floor</w:t>
            </w:r>
          </w:p>
        </w:tc>
        <w:tc>
          <w:tcPr>
            <w:tcW w:w="3780" w:type="dxa"/>
            <w:vAlign w:val="bottom"/>
          </w:tcPr>
          <w:p>
            <w:pPr>
              <w:spacing w:after="0"/>
              <w:rPr>
                <w:sz w:val="24"/>
                <w:szCs w:val="24"/>
                <w:color w:val="auto"/>
              </w:rPr>
            </w:pPr>
          </w:p>
        </w:tc>
      </w:tr>
      <w:tr>
        <w:trPr>
          <w:trHeight w:val="205"/>
        </w:trPr>
        <w:tc>
          <w:tcPr>
            <w:tcW w:w="3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San Jose, California 95113</w:t>
            </w:r>
          </w:p>
        </w:tc>
        <w:tc>
          <w:tcPr>
            <w:tcW w:w="3780" w:type="dxa"/>
            <w:vAlign w:val="bottom"/>
          </w:tcPr>
          <w:p>
            <w:pPr>
              <w:spacing w:after="0"/>
              <w:rPr>
                <w:sz w:val="17"/>
                <w:szCs w:val="17"/>
                <w:color w:val="auto"/>
              </w:rPr>
            </w:pPr>
          </w:p>
        </w:tc>
      </w:tr>
      <w:tr>
        <w:trPr>
          <w:trHeight w:val="184"/>
        </w:trPr>
        <w:tc>
          <w:tcPr>
            <w:tcW w:w="3780" w:type="dxa"/>
            <w:vAlign w:val="bottom"/>
          </w:tcPr>
          <w:p>
            <w:pPr>
              <w:spacing w:after="0"/>
              <w:rPr>
                <w:sz w:val="16"/>
                <w:szCs w:val="16"/>
                <w:color w:val="auto"/>
              </w:rPr>
            </w:pPr>
          </w:p>
        </w:tc>
        <w:tc>
          <w:tcPr>
            <w:tcW w:w="36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w w:val="99"/>
              </w:rPr>
              <w:t>(Address of principal executive offices and Zip Code)</w:t>
            </w:r>
          </w:p>
        </w:tc>
        <w:tc>
          <w:tcPr>
            <w:tcW w:w="3780" w:type="dxa"/>
            <w:vAlign w:val="bottom"/>
          </w:tcPr>
          <w:p>
            <w:pPr>
              <w:spacing w:after="0"/>
              <w:rPr>
                <w:sz w:val="16"/>
                <w:szCs w:val="16"/>
                <w:color w:val="auto"/>
              </w:rPr>
            </w:pPr>
          </w:p>
        </w:tc>
      </w:tr>
      <w:tr>
        <w:trPr>
          <w:trHeight w:val="274"/>
        </w:trPr>
        <w:tc>
          <w:tcPr>
            <w:tcW w:w="3780" w:type="dxa"/>
            <w:vAlign w:val="bottom"/>
          </w:tcPr>
          <w:p>
            <w:pPr>
              <w:spacing w:after="0"/>
              <w:rPr>
                <w:sz w:val="23"/>
                <w:szCs w:val="23"/>
                <w:color w:val="auto"/>
              </w:rPr>
            </w:pPr>
          </w:p>
        </w:tc>
        <w:tc>
          <w:tcPr>
            <w:tcW w:w="3060" w:type="dxa"/>
            <w:vAlign w:val="bottom"/>
            <w:gridSpan w:val="3"/>
          </w:tcPr>
          <w:p>
            <w:pPr>
              <w:jc w:val="center"/>
              <w:ind w:left="465"/>
              <w:spacing w:after="0"/>
              <w:rPr>
                <w:sz w:val="20"/>
                <w:szCs w:val="20"/>
                <w:color w:val="auto"/>
              </w:rPr>
            </w:pPr>
            <w:r>
              <w:rPr>
                <w:rFonts w:ascii="Times New Roman" w:cs="Times New Roman" w:eastAsia="Times New Roman" w:hAnsi="Times New Roman"/>
                <w:sz w:val="17"/>
                <w:szCs w:val="17"/>
                <w:b w:val="1"/>
                <w:bCs w:val="1"/>
                <w:color w:val="auto"/>
              </w:rPr>
              <w:t>(888) 799-9666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170"/>
        </w:trPr>
        <w:tc>
          <w:tcPr>
            <w:tcW w:w="3780" w:type="dxa"/>
            <w:vAlign w:val="bottom"/>
          </w:tcPr>
          <w:p>
            <w:pPr>
              <w:spacing w:after="0"/>
              <w:rPr>
                <w:sz w:val="14"/>
                <w:szCs w:val="14"/>
                <w:color w:val="auto"/>
              </w:rPr>
            </w:pPr>
          </w:p>
        </w:tc>
        <w:tc>
          <w:tcPr>
            <w:tcW w:w="36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w w:val="99"/>
              </w:rPr>
              <w:t>(Registrant’s telephone number, including area code)</w:t>
            </w:r>
          </w:p>
        </w:tc>
        <w:tc>
          <w:tcPr>
            <w:tcW w:w="3780" w:type="dxa"/>
            <w:vAlign w:val="bottom"/>
          </w:tcPr>
          <w:p>
            <w:pPr>
              <w:spacing w:after="0"/>
              <w:rPr>
                <w:sz w:val="14"/>
                <w:szCs w:val="14"/>
                <w:color w:val="auto"/>
              </w:rPr>
            </w:pPr>
          </w:p>
        </w:tc>
      </w:tr>
      <w:tr>
        <w:trPr>
          <w:trHeight w:val="184"/>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___________________________________________________________________</w:t>
            </w:r>
          </w:p>
        </w:tc>
      </w:tr>
      <w:tr>
        <w:trPr>
          <w:trHeight w:val="255"/>
        </w:trPr>
        <w:tc>
          <w:tcPr>
            <w:tcW w:w="3780" w:type="dxa"/>
            <w:vAlign w:val="bottom"/>
          </w:tcPr>
          <w:p>
            <w:pPr>
              <w:spacing w:after="0"/>
              <w:rPr>
                <w:sz w:val="22"/>
                <w:szCs w:val="22"/>
                <w:color w:val="auto"/>
              </w:rPr>
            </w:pPr>
          </w:p>
        </w:tc>
        <w:tc>
          <w:tcPr>
            <w:tcW w:w="36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color w:val="auto"/>
                <w:w w:val="98"/>
              </w:rPr>
              <w:t>Securities registered pursuant to Section 12(b) of the Act:</w:t>
            </w:r>
          </w:p>
        </w:tc>
        <w:tc>
          <w:tcPr>
            <w:tcW w:w="3780" w:type="dxa"/>
            <w:vAlign w:val="bottom"/>
          </w:tcPr>
          <w:p>
            <w:pPr>
              <w:spacing w:after="0"/>
              <w:rPr>
                <w:sz w:val="22"/>
                <w:szCs w:val="22"/>
                <w:color w:val="auto"/>
              </w:rPr>
            </w:pPr>
          </w:p>
        </w:tc>
      </w:tr>
      <w:tr>
        <w:trPr>
          <w:trHeight w:val="225"/>
        </w:trPr>
        <w:tc>
          <w:tcPr>
            <w:tcW w:w="3780" w:type="dxa"/>
            <w:vAlign w:val="bottom"/>
          </w:tcPr>
          <w:p>
            <w:pPr>
              <w:jc w:val="center"/>
              <w:ind w:left="334"/>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3780" w:type="dxa"/>
            <w:vAlign w:val="bottom"/>
          </w:tcPr>
          <w:p>
            <w:pPr>
              <w:jc w:val="center"/>
              <w:ind w:right="421"/>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1"/>
        </w:trPr>
        <w:tc>
          <w:tcPr>
            <w:tcW w:w="3780" w:type="dxa"/>
            <w:vAlign w:val="bottom"/>
            <w:tcBorders>
              <w:top w:val="single" w:sz="8" w:color="auto"/>
            </w:tcBorders>
          </w:tcPr>
          <w:p>
            <w:pPr>
              <w:jc w:val="center"/>
              <w:ind w:left="334"/>
              <w:spacing w:after="0"/>
              <w:rPr>
                <w:sz w:val="20"/>
                <w:szCs w:val="20"/>
                <w:color w:val="auto"/>
              </w:rPr>
            </w:pPr>
            <w:r>
              <w:rPr>
                <w:rFonts w:ascii="Times New Roman" w:cs="Times New Roman" w:eastAsia="Times New Roman" w:hAnsi="Times New Roman"/>
                <w:sz w:val="16"/>
                <w:szCs w:val="16"/>
                <w:color w:val="auto"/>
                <w:w w:val="97"/>
              </w:rPr>
              <w:t>Class A Common Stock, $0.001 par value per share</w:t>
            </w: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ZM</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tcPr>
          <w:p>
            <w:pPr>
              <w:jc w:val="center"/>
              <w:ind w:right="401"/>
              <w:spacing w:after="0"/>
              <w:rPr>
                <w:sz w:val="20"/>
                <w:szCs w:val="20"/>
                <w:color w:val="auto"/>
              </w:rPr>
            </w:pPr>
            <w:r>
              <w:rPr>
                <w:rFonts w:ascii="Times New Roman" w:cs="Times New Roman" w:eastAsia="Times New Roman" w:hAnsi="Times New Roman"/>
                <w:sz w:val="16"/>
                <w:szCs w:val="16"/>
                <w:color w:val="auto"/>
                <w:w w:val="98"/>
              </w:rPr>
              <w:t>The Nasdaq Global Select Market</w:t>
            </w:r>
          </w:p>
        </w:tc>
      </w:tr>
    </w:tbl>
    <w:p>
      <w:pPr>
        <w:spacing w:after="0" w:line="134" w:lineRule="exact"/>
        <w:rPr>
          <w:sz w:val="24"/>
          <w:szCs w:val="24"/>
          <w:color w:val="auto"/>
        </w:rPr>
      </w:pPr>
    </w:p>
    <w:p>
      <w:pPr>
        <w:jc w:val="both"/>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30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1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280" w:val="left"/>
          <w:tab w:leader="none" w:pos="78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3"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As of August 9, 2024, the number of shares of the registrant’s Class A common stock outstanding was 262,128,624 and the number of shares of the registrant’s Class B common stock outstanding was 45,660,591.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786765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17780</wp:posOffset>
            </wp:positionV>
            <wp:extent cx="7119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42545</wp:posOffset>
            </wp:positionV>
            <wp:extent cx="7119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78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6"/>
        </w:trPr>
        <w:tc>
          <w:tcPr>
            <w:tcW w:w="9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00" w:type="dxa"/>
            <w:vAlign w:val="bottom"/>
            <w:gridSpan w:val="11"/>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00" w:type="dxa"/>
            <w:vAlign w:val="bottom"/>
            <w:gridSpan w:val="11"/>
          </w:tcPr>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00" w:type="dxa"/>
            <w:vAlign w:val="bottom"/>
            <w:gridSpan w:val="11"/>
          </w:tcPr>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For the Quarterly Period Ended July 31, 2024</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00" w:type="dxa"/>
            <w:vAlign w:val="bottom"/>
            <w:gridSpan w:val="11"/>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3760" w:type="dxa"/>
            <w:vAlign w:val="bottom"/>
            <w:gridSpan w:val="13"/>
            <w:vMerge w:val="restart"/>
          </w:tcPr>
          <w:p>
            <w:pPr>
              <w:spacing w:after="0"/>
              <w:rPr>
                <w:sz w:val="20"/>
                <w:szCs w:val="20"/>
                <w:color w:val="auto"/>
              </w:rPr>
            </w:pPr>
            <w:r>
              <w:rPr>
                <w:rFonts w:ascii="Times New Roman" w:cs="Times New Roman" w:eastAsia="Times New Roman" w:hAnsi="Times New Roman"/>
                <w:sz w:val="17"/>
                <w:szCs w:val="17"/>
                <w:color w:val="0000FF"/>
              </w:rPr>
              <w:t>Special Note Regarding Forward-Looking Statements</w:t>
            </w:r>
          </w:p>
        </w:tc>
        <w:tc>
          <w:tcPr>
            <w:tcW w:w="5080" w:type="dxa"/>
            <w:vAlign w:val="bottom"/>
            <w:gridSpan w:val="10"/>
            <w:vMerge w:val="restart"/>
          </w:tcPr>
          <w:p>
            <w:pPr>
              <w:spacing w:after="0"/>
              <w:rPr>
                <w:sz w:val="21"/>
                <w:szCs w:val="21"/>
                <w:color w:val="auto"/>
              </w:rPr>
            </w:pPr>
          </w:p>
        </w:tc>
        <w:tc>
          <w:tcPr>
            <w:tcW w:w="14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60" w:type="dxa"/>
            <w:vAlign w:val="bottom"/>
            <w:tcBorders>
              <w:bottom w:val="single" w:sz="8" w:color="0000FF"/>
            </w:tcBorders>
            <w:gridSpan w:val="13"/>
            <w:vMerge w:val="continue"/>
          </w:tcPr>
          <w:p>
            <w:pPr>
              <w:spacing w:after="0"/>
              <w:rPr>
                <w:sz w:val="14"/>
                <w:szCs w:val="14"/>
                <w:color w:val="auto"/>
              </w:rPr>
            </w:pPr>
          </w:p>
        </w:tc>
        <w:tc>
          <w:tcPr>
            <w:tcW w:w="5080" w:type="dxa"/>
            <w:vAlign w:val="bottom"/>
            <w:gridSpan w:val="10"/>
            <w:vMerge w:val="continue"/>
          </w:tcPr>
          <w:p>
            <w:pPr>
              <w:spacing w:after="0"/>
              <w:rPr>
                <w:sz w:val="14"/>
                <w:szCs w:val="14"/>
                <w:color w:val="auto"/>
              </w:rPr>
            </w:pPr>
          </w:p>
        </w:tc>
        <w:tc>
          <w:tcPr>
            <w:tcW w:w="142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w w:val="93"/>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Summary Risk Factors</w:t>
            </w:r>
          </w:p>
        </w:tc>
        <w:tc>
          <w:tcPr>
            <w:tcW w:w="7240" w:type="dxa"/>
            <w:vAlign w:val="bottom"/>
            <w:gridSpan w:val="16"/>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40" w:type="dxa"/>
            <w:vAlign w:val="bottom"/>
          </w:tcPr>
          <w:p>
            <w:pPr>
              <w:spacing w:after="0"/>
              <w:rPr>
                <w:sz w:val="22"/>
                <w:szCs w:val="22"/>
                <w:color w:val="auto"/>
              </w:rPr>
            </w:pPr>
          </w:p>
        </w:tc>
        <w:tc>
          <w:tcPr>
            <w:tcW w:w="22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PART I – Financial Information</w:t>
            </w:r>
          </w:p>
        </w:tc>
        <w:tc>
          <w:tcPr>
            <w:tcW w:w="6620" w:type="dxa"/>
            <w:vAlign w:val="bottom"/>
            <w:gridSpan w:val="13"/>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1.</w:t>
            </w:r>
          </w:p>
        </w:tc>
        <w:tc>
          <w:tcPr>
            <w:tcW w:w="2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6500" w:type="dxa"/>
            <w:vAlign w:val="bottom"/>
            <w:gridSpan w:val="11"/>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88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July 31, 2024 and January 31, 2024</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spacing w:after="0"/>
              <w:rPr>
                <w:sz w:val="24"/>
                <w:szCs w:val="24"/>
                <w:color w:val="auto"/>
              </w:rPr>
            </w:pPr>
          </w:p>
        </w:tc>
        <w:tc>
          <w:tcPr>
            <w:tcW w:w="78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and Six Months Ended July 31, 2024 and 2023</w:t>
            </w:r>
          </w:p>
        </w:tc>
        <w:tc>
          <w:tcPr>
            <w:tcW w:w="1020" w:type="dxa"/>
            <w:vAlign w:val="bottom"/>
            <w:gridSpan w:val="3"/>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spacing w:after="0"/>
              <w:rPr>
                <w:sz w:val="24"/>
                <w:szCs w:val="24"/>
                <w:color w:val="auto"/>
              </w:rPr>
            </w:pPr>
          </w:p>
        </w:tc>
        <w:tc>
          <w:tcPr>
            <w:tcW w:w="88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Six Months Ended July 31, 2024 and 2023</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spacing w:after="0"/>
              <w:rPr>
                <w:sz w:val="24"/>
                <w:szCs w:val="24"/>
                <w:color w:val="auto"/>
              </w:rPr>
            </w:pPr>
          </w:p>
        </w:tc>
        <w:tc>
          <w:tcPr>
            <w:tcW w:w="87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Six Months Ended July 31, 2024 and 2023</w:t>
            </w:r>
          </w:p>
        </w:tc>
        <w:tc>
          <w:tcPr>
            <w:tcW w:w="1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85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July 31, 2024 and 2023</w:t>
            </w:r>
          </w:p>
        </w:tc>
        <w:tc>
          <w:tcPr>
            <w:tcW w:w="320" w:type="dxa"/>
            <w:vAlign w:val="bottom"/>
            <w:gridSpan w:val="2"/>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71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720" w:type="dxa"/>
            <w:vAlign w:val="bottom"/>
            <w:gridSpan w:val="4"/>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2.</w:t>
            </w:r>
          </w:p>
        </w:tc>
        <w:tc>
          <w:tcPr>
            <w:tcW w:w="6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580" w:type="dxa"/>
            <w:vAlign w:val="bottom"/>
            <w:gridSpan w:val="5"/>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3.</w:t>
            </w:r>
          </w:p>
        </w:tc>
        <w:tc>
          <w:tcPr>
            <w:tcW w:w="4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600" w:type="dxa"/>
            <w:vAlign w:val="bottom"/>
            <w:gridSpan w:val="7"/>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4.</w:t>
            </w:r>
          </w:p>
        </w:tc>
        <w:tc>
          <w:tcPr>
            <w:tcW w:w="88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940" w:type="dxa"/>
            <w:vAlign w:val="bottom"/>
          </w:tcPr>
          <w:p>
            <w:pPr>
              <w:spacing w:after="0"/>
              <w:rPr>
                <w:sz w:val="22"/>
                <w:szCs w:val="22"/>
                <w:color w:val="auto"/>
              </w:rPr>
            </w:pPr>
          </w:p>
        </w:tc>
        <w:tc>
          <w:tcPr>
            <w:tcW w:w="88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PART II – Other Information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1.</w:t>
            </w: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820" w:type="dxa"/>
            <w:vAlign w:val="bottom"/>
            <w:gridSpan w:val="14"/>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400" w:type="dxa"/>
            <w:vAlign w:val="bottom"/>
            <w:tcBorders>
              <w:top w:val="single" w:sz="8" w:color="0000FF"/>
            </w:tcBorders>
            <w:gridSpan w:val="2"/>
          </w:tcPr>
          <w:p>
            <w:pPr>
              <w:spacing w:after="0"/>
              <w:rPr>
                <w:sz w:val="17"/>
                <w:szCs w:val="17"/>
                <w:color w:val="auto"/>
              </w:rPr>
            </w:pPr>
          </w:p>
        </w:tc>
        <w:tc>
          <w:tcPr>
            <w:tcW w:w="7560" w:type="dxa"/>
            <w:vAlign w:val="bottom"/>
            <w:gridSpan w:val="17"/>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2.</w:t>
            </w:r>
          </w:p>
        </w:tc>
        <w:tc>
          <w:tcPr>
            <w:tcW w:w="42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620" w:type="dxa"/>
            <w:vAlign w:val="bottom"/>
            <w:gridSpan w:val="8"/>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3.</w:t>
            </w:r>
          </w:p>
        </w:tc>
        <w:tc>
          <w:tcPr>
            <w:tcW w:w="88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4.</w:t>
            </w:r>
          </w:p>
        </w:tc>
        <w:tc>
          <w:tcPr>
            <w:tcW w:w="22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600" w:type="dxa"/>
            <w:vAlign w:val="bottom"/>
            <w:gridSpan w:val="12"/>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5.</w:t>
            </w:r>
          </w:p>
        </w:tc>
        <w:tc>
          <w:tcPr>
            <w:tcW w:w="17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140" w:type="dxa"/>
            <w:vAlign w:val="bottom"/>
            <w:gridSpan w:val="15"/>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Item 6.</w:t>
            </w:r>
          </w:p>
        </w:tc>
        <w:tc>
          <w:tcPr>
            <w:tcW w:w="5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680" w:type="dxa"/>
            <w:vAlign w:val="bottom"/>
            <w:tcBorders>
              <w:top w:val="single" w:sz="8" w:color="0000FF"/>
            </w:tcBorders>
            <w:gridSpan w:val="3"/>
          </w:tcPr>
          <w:p>
            <w:pPr>
              <w:spacing w:after="0"/>
              <w:rPr>
                <w:sz w:val="17"/>
                <w:szCs w:val="17"/>
                <w:color w:val="auto"/>
              </w:rPr>
            </w:pPr>
          </w:p>
        </w:tc>
        <w:tc>
          <w:tcPr>
            <w:tcW w:w="7580" w:type="dxa"/>
            <w:vAlign w:val="bottom"/>
            <w:gridSpan w:val="18"/>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88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3"/>
        </w:trPr>
        <w:tc>
          <w:tcPr>
            <w:tcW w:w="94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020" w:type="dxa"/>
            <w:vAlign w:val="bottom"/>
            <w:gridSpan w:val="14"/>
          </w:tcPr>
          <w:p>
            <w:pPr>
              <w:jc w:val="center"/>
              <w:ind w:left="2813"/>
              <w:spacing w:after="0"/>
              <w:rPr>
                <w:sz w:val="20"/>
                <w:szCs w:val="20"/>
                <w:color w:val="auto"/>
              </w:rPr>
            </w:pPr>
            <w:r>
              <w:rPr>
                <w:rFonts w:ascii="Times New Roman" w:cs="Times New Roman" w:eastAsia="Times New Roman" w:hAnsi="Times New Roman"/>
                <w:sz w:val="17"/>
                <w:szCs w:val="17"/>
                <w:color w:val="auto"/>
                <w:w w:val="93"/>
              </w:rPr>
              <w:t>2</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21"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our ability to operate our business and effectively manage our scale under evolving macroeconomic conditions, such as high inflation, recessionary or uncertain environments and fluctuations in foreign currency exchange rates;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281"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8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6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2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59" w:lineRule="exact"/>
        <w:rPr>
          <w:sz w:val="20"/>
          <w:szCs w:val="20"/>
          <w:color w:val="auto"/>
        </w:rPr>
      </w:pPr>
    </w:p>
    <w:p>
      <w:pPr>
        <w:ind w:left="640" w:hanging="321"/>
        <w:spacing w:after="0" w:line="29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attract new customers, retain and upsell additional products and new product categories to existing customers, and upgrade free users to one of our paid offerings. Any decline in new customers, renewals, or upgrades would harm our business.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rate has fluctuated in prior periods, and may continue to decline in future periods.</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delays, or outages in service from our co-located data centers and a variety of other factors, would impair the delivery of our services, require us to issue credits or pay penalties, and harm our business.</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65"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67"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significantly affected by changes in the economy, including any resulting effect on consumer or business spending.</w:t>
      </w:r>
    </w:p>
    <w:p>
      <w:pPr>
        <w:spacing w:after="0" w:line="118" w:lineRule="exact"/>
        <w:rPr>
          <w:rFonts w:ascii="Times New Roman" w:cs="Times New Roman" w:eastAsia="Times New Roman" w:hAnsi="Times New Roman"/>
          <w:sz w:val="17"/>
          <w:szCs w:val="17"/>
          <w:color w:val="auto"/>
        </w:rPr>
      </w:pPr>
    </w:p>
    <w:p>
      <w:pPr>
        <w:ind w:left="640" w:hanging="321"/>
        <w:spacing w:after="0" w:line="26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we increase sales to large organizations, our sales cycles have and could continue to lengthen, and we could experience greater deployment challenges.</w:t>
      </w:r>
    </w:p>
    <w:p>
      <w:pPr>
        <w:spacing w:after="0" w:line="305"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 revenue from sales of subscriptions to our platform, and any decline in demand for our platform or for communications and collaboration technologies in general would harm our business.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in the past and there are no assurances we will be able to maintain or increase profitability in the future.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respond to rapid technological changes, extend our platform or develop new features.</w:t>
      </w:r>
    </w:p>
    <w:p>
      <w:pPr>
        <w:spacing w:after="0" w:line="118"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spacing w:after="0" w:line="279" w:lineRule="exact"/>
        <w:rPr>
          <w:rFonts w:ascii="Times New Roman" w:cs="Times New Roman" w:eastAsia="Times New Roman" w:hAnsi="Times New Roman"/>
          <w:sz w:val="17"/>
          <w:szCs w:val="17"/>
          <w:color w:val="auto"/>
        </w:rPr>
      </w:pPr>
    </w:p>
    <w:p>
      <w:pPr>
        <w:ind w:left="640" w:hanging="321"/>
        <w:spacing w:after="0" w:line="26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at the current scale of our business, which makes it difficult to evaluate our prospects and future results of operations.</w:t>
      </w:r>
    </w:p>
    <w:p>
      <w:pPr>
        <w:spacing w:after="0" w:line="305"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our reputation and business or subject us to significant fines and liability.</w:t>
      </w:r>
    </w:p>
    <w:p>
      <w:pPr>
        <w:spacing w:after="0" w:line="5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were to lose the services of our Chief Executive Officer or other members of our senior management team, we may not be able to execute our business strategy.</w:t>
      </w:r>
    </w:p>
    <w:p>
      <w:pPr>
        <w:spacing w:after="0" w:line="41"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significant and expanding operations outside the United States, which may subject us to increased business, regulatory, and economic risks that could harm our business.</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40" w:hanging="321"/>
        <w:spacing w:after="0" w:line="276"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5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may be harmed.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18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300" w:type="dxa"/>
            <w:vAlign w:val="bottom"/>
          </w:tcPr>
          <w:p>
            <w:pPr>
              <w:spacing w:after="0"/>
              <w:rPr>
                <w:sz w:val="10"/>
                <w:szCs w:val="10"/>
                <w:color w:val="auto"/>
              </w:rPr>
            </w:pPr>
          </w:p>
        </w:tc>
        <w:tc>
          <w:tcPr>
            <w:tcW w:w="1360" w:type="dxa"/>
            <w:vAlign w:val="bottom"/>
          </w:tcPr>
          <w:p>
            <w:pPr>
              <w:jc w:val="right"/>
              <w:ind w:right="402"/>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202"/>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1,539,457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1,558,252</w:t>
            </w:r>
          </w:p>
        </w:tc>
        <w:tc>
          <w:tcPr>
            <w:tcW w:w="0" w:type="dxa"/>
            <w:vAlign w:val="bottom"/>
          </w:tcPr>
          <w:p>
            <w:pPr>
              <w:spacing w:after="0"/>
              <w:rPr>
                <w:sz w:val="1"/>
                <w:szCs w:val="1"/>
                <w:color w:val="auto"/>
              </w:rPr>
            </w:pPr>
          </w:p>
        </w:tc>
      </w:tr>
      <w:tr>
        <w:trPr>
          <w:trHeight w:val="208"/>
        </w:trPr>
        <w:tc>
          <w:tcPr>
            <w:tcW w:w="7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5,980,575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5,404,233</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Accounts receivable, net of allowances of $22,799 and $32,371 as of July 31, 2024 and January 31, 2024, respectively</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536,078</w:t>
            </w:r>
          </w:p>
        </w:tc>
        <w:tc>
          <w:tcPr>
            <w:tcW w:w="0" w:type="dxa"/>
            <w:vAlign w:val="bottom"/>
          </w:tcPr>
          <w:p>
            <w:pPr>
              <w:spacing w:after="0"/>
              <w:rPr>
                <w:sz w:val="1"/>
                <w:szCs w:val="1"/>
                <w:color w:val="auto"/>
              </w:rPr>
            </w:pPr>
          </w:p>
        </w:tc>
      </w:tr>
      <w:tr>
        <w:trPr>
          <w:trHeight w:val="208"/>
        </w:trPr>
        <w:tc>
          <w:tcPr>
            <w:tcW w:w="7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208,474</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219,182</w:t>
            </w:r>
          </w:p>
        </w:tc>
        <w:tc>
          <w:tcPr>
            <w:tcW w:w="0" w:type="dxa"/>
            <w:vAlign w:val="bottom"/>
          </w:tcPr>
          <w:p>
            <w:pPr>
              <w:spacing w:after="0"/>
              <w:rPr>
                <w:sz w:val="1"/>
                <w:szCs w:val="1"/>
                <w:color w:val="auto"/>
              </w:rPr>
            </w:pPr>
          </w:p>
        </w:tc>
      </w:tr>
      <w:tr>
        <w:trPr>
          <w:trHeight w:val="201"/>
        </w:trPr>
        <w:tc>
          <w:tcPr>
            <w:tcW w:w="7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8,395,145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7,926,219</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138,724</w:t>
            </w:r>
          </w:p>
        </w:tc>
        <w:tc>
          <w:tcPr>
            <w:tcW w:w="0" w:type="dxa"/>
            <w:vAlign w:val="bottom"/>
          </w:tcPr>
          <w:p>
            <w:pPr>
              <w:spacing w:after="0"/>
              <w:rPr>
                <w:sz w:val="1"/>
                <w:szCs w:val="1"/>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293,704</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58,975</w:t>
            </w:r>
          </w:p>
        </w:tc>
        <w:tc>
          <w:tcPr>
            <w:tcW w:w="0" w:type="dxa"/>
            <w:vAlign w:val="bottom"/>
          </w:tcPr>
          <w:p>
            <w:pPr>
              <w:spacing w:after="0"/>
              <w:rPr>
                <w:sz w:val="1"/>
                <w:szCs w:val="1"/>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Strategic investments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409,222</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307,295</w:t>
            </w:r>
          </w:p>
        </w:tc>
        <w:tc>
          <w:tcPr>
            <w:tcW w:w="0" w:type="dxa"/>
            <w:vAlign w:val="bottom"/>
          </w:tcPr>
          <w:p>
            <w:pPr>
              <w:spacing w:after="0"/>
              <w:rPr>
                <w:sz w:val="1"/>
                <w:szCs w:val="1"/>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718,066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662,177</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 noncurrent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133,477</w:t>
            </w:r>
          </w:p>
        </w:tc>
        <w:tc>
          <w:tcPr>
            <w:tcW w:w="0" w:type="dxa"/>
            <w:vAlign w:val="bottom"/>
          </w:tcPr>
          <w:p>
            <w:pPr>
              <w:spacing w:after="0"/>
              <w:rPr>
                <w:sz w:val="1"/>
                <w:szCs w:val="1"/>
                <w:color w:val="auto"/>
              </w:rPr>
            </w:pPr>
          </w:p>
        </w:tc>
      </w:tr>
      <w:tr>
        <w:trPr>
          <w:trHeight w:val="201"/>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10,507,192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9,929,793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0" w:type="dxa"/>
            <w:vAlign w:val="bottom"/>
          </w:tcPr>
          <w:p>
            <w:pPr>
              <w:spacing w:after="0"/>
              <w:rPr>
                <w:sz w:val="1"/>
                <w:szCs w:val="1"/>
                <w:color w:val="auto"/>
              </w:rPr>
            </w:pPr>
          </w:p>
        </w:tc>
      </w:tr>
      <w:tr>
        <w:trPr>
          <w:trHeight w:val="208"/>
        </w:trPr>
        <w:tc>
          <w:tcPr>
            <w:tcW w:w="7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500,164</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1,391,278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1,251,848</w:t>
            </w:r>
          </w:p>
        </w:tc>
        <w:tc>
          <w:tcPr>
            <w:tcW w:w="0" w:type="dxa"/>
            <w:vAlign w:val="bottom"/>
          </w:tcPr>
          <w:p>
            <w:pPr>
              <w:spacing w:after="0"/>
              <w:rPr>
                <w:sz w:val="1"/>
                <w:szCs w:val="1"/>
                <w:color w:val="auto"/>
              </w:rPr>
            </w:pPr>
          </w:p>
        </w:tc>
      </w:tr>
      <w:tr>
        <w:trPr>
          <w:trHeight w:val="201"/>
        </w:trPr>
        <w:tc>
          <w:tcPr>
            <w:tcW w:w="7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1,841,348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1,762,187</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18,514</w:t>
            </w:r>
          </w:p>
        </w:tc>
        <w:tc>
          <w:tcPr>
            <w:tcW w:w="0" w:type="dxa"/>
            <w:vAlign w:val="bottom"/>
          </w:tcPr>
          <w:p>
            <w:pPr>
              <w:spacing w:after="0"/>
              <w:rPr>
                <w:sz w:val="1"/>
                <w:szCs w:val="1"/>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48,308</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81,378</w:t>
            </w:r>
          </w:p>
        </w:tc>
        <w:tc>
          <w:tcPr>
            <w:tcW w:w="0" w:type="dxa"/>
            <w:vAlign w:val="bottom"/>
          </w:tcPr>
          <w:p>
            <w:pPr>
              <w:spacing w:after="0"/>
              <w:rPr>
                <w:sz w:val="1"/>
                <w:szCs w:val="1"/>
                <w:color w:val="auto"/>
              </w:rPr>
            </w:pPr>
          </w:p>
        </w:tc>
      </w:tr>
      <w:tr>
        <w:trPr>
          <w:trHeight w:val="201"/>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1,981,945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1,910,387</w:t>
            </w:r>
          </w:p>
        </w:tc>
        <w:tc>
          <w:tcPr>
            <w:tcW w:w="0" w:type="dxa"/>
            <w:vAlign w:val="bottom"/>
          </w:tcPr>
          <w:p>
            <w:pPr>
              <w:spacing w:after="0"/>
              <w:rPr>
                <w:sz w:val="1"/>
                <w:szCs w:val="1"/>
                <w:color w:val="auto"/>
              </w:rPr>
            </w:pPr>
          </w:p>
        </w:tc>
      </w:tr>
      <w:tr>
        <w:trPr>
          <w:trHeight w:val="19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80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Common stock, $0.001 par value per share, 2,000,000,000 Class A shares authorized as of July 31, 2024 and</w:t>
            </w: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January 31, 2024; 262,335,183 and 260,896,822 shares issued and outstanding as of July 31, 2024 and January 31,</w:t>
            </w: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w w:val="99"/>
              </w:rPr>
              <w:t>2024, respectively; 300,000,000 Class B shares authorized as of July 31, 2024 and January 31, 2024; 45,660,441 and</w:t>
            </w:r>
          </w:p>
        </w:tc>
        <w:tc>
          <w:tcPr>
            <w:tcW w:w="2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46,661,531 shares issued and outstanding as of July 31, 2024 and January 31, 2024, respectively</w:t>
            </w:r>
          </w:p>
        </w:tc>
        <w:tc>
          <w:tcPr>
            <w:tcW w:w="2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5,298,145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5,228,756</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08"/>
        </w:trPr>
        <w:tc>
          <w:tcPr>
            <w:tcW w:w="7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3,224,603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2,789,280</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8,525,247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8,019,406</w:t>
            </w:r>
          </w:p>
        </w:tc>
        <w:tc>
          <w:tcPr>
            <w:tcW w:w="0" w:type="dxa"/>
            <w:vAlign w:val="bottom"/>
          </w:tcPr>
          <w:p>
            <w:pPr>
              <w:spacing w:after="0"/>
              <w:rPr>
                <w:sz w:val="1"/>
                <w:szCs w:val="1"/>
                <w:color w:val="auto"/>
              </w:rPr>
            </w:pPr>
          </w:p>
        </w:tc>
      </w:tr>
      <w:tr>
        <w:trPr>
          <w:trHeight w:val="201"/>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10,507,192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9,929,793</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80" w:type="dxa"/>
            <w:vAlign w:val="bottom"/>
          </w:tcPr>
          <w:p>
            <w:pPr>
              <w:spacing w:after="0"/>
              <w:rPr>
                <w:sz w:val="16"/>
                <w:szCs w:val="16"/>
                <w:color w:val="auto"/>
              </w:rPr>
            </w:pPr>
          </w:p>
        </w:tc>
        <w:tc>
          <w:tcPr>
            <w:tcW w:w="300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1,138,676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2,303,754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2,244,040</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266,559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558,391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530,506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872,117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1,745,363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1,713,534</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401,073</w:t>
            </w:r>
          </w:p>
        </w:tc>
        <w:tc>
          <w:tcPr>
            <w:tcW w:w="0" w:type="dxa"/>
            <w:vAlign w:val="bottom"/>
          </w:tcPr>
          <w:p>
            <w:pPr>
              <w:spacing w:after="0"/>
              <w:rPr>
                <w:sz w:val="1"/>
                <w:szCs w:val="1"/>
                <w:color w:val="auto"/>
              </w:rPr>
            </w:pPr>
          </w:p>
        </w:tc>
      </w:tr>
      <w:tr>
        <w:trPr>
          <w:trHeight w:val="223"/>
        </w:trPr>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358,770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373,373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795,877</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329,224</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675,061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694,499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1,339,971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1,526,174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187,360</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33,945</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72,298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292,889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584,853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293,603</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96,185</w:t>
            </w:r>
          </w:p>
        </w:tc>
        <w:tc>
          <w:tcPr>
            <w:tcW w:w="0" w:type="dxa"/>
            <w:vAlign w:val="bottom"/>
          </w:tcPr>
          <w:p>
            <w:pPr>
              <w:spacing w:after="0"/>
              <w:rPr>
                <w:sz w:val="1"/>
                <w:szCs w:val="1"/>
                <w:color w:val="auto"/>
              </w:rPr>
            </w:pPr>
          </w:p>
        </w:tc>
      </w:tr>
      <w:tr>
        <w:trPr>
          <w:trHeight w:val="190"/>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219,015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181,974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435,323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197,418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income per share:</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line="157" w:lineRule="exact"/>
              <w:rPr>
                <w:sz w:val="20"/>
                <w:szCs w:val="20"/>
                <w:color w:val="auto"/>
              </w:rPr>
            </w:pPr>
            <w:r>
              <w:rPr>
                <w:rFonts w:ascii="Times New Roman" w:cs="Times New Roman" w:eastAsia="Times New Roman" w:hAnsi="Times New Roman"/>
                <w:sz w:val="17"/>
                <w:szCs w:val="17"/>
                <w:color w:val="auto"/>
              </w:rPr>
              <w:t>Weighted-average shares used in computing net income per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3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share: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309,137,807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299,093,452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308,921,610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297,281,846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314,027,192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305,932,596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314,696,351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305,054,771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80" w:type="dxa"/>
            <w:vAlign w:val="bottom"/>
          </w:tcPr>
          <w:p>
            <w:pPr>
              <w:spacing w:after="0"/>
              <w:rPr>
                <w:sz w:val="16"/>
                <w:szCs w:val="16"/>
                <w:color w:val="auto"/>
              </w:rPr>
            </w:pPr>
          </w:p>
        </w:tc>
        <w:tc>
          <w:tcPr>
            <w:tcW w:w="3000" w:type="dxa"/>
            <w:vAlign w:val="bottom"/>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3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435,323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197,418</w:t>
            </w: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70"/>
        </w:trPr>
        <w:tc>
          <w:tcPr>
            <w:tcW w:w="4320" w:type="dxa"/>
            <w:vAlign w:val="bottom"/>
            <w:shd w:val="clear" w:color="auto" w:fill="CCEEFF"/>
          </w:tcPr>
          <w:p>
            <w:pPr>
              <w:ind w:left="200"/>
              <w:spacing w:after="0" w:line="171" w:lineRule="exact"/>
              <w:rPr>
                <w:sz w:val="20"/>
                <w:szCs w:val="20"/>
                <w:color w:val="auto"/>
              </w:rPr>
            </w:pPr>
            <w:r>
              <w:rPr>
                <w:rFonts w:ascii="Times New Roman" w:cs="Times New Roman" w:eastAsia="Times New Roman" w:hAnsi="Times New Roman"/>
                <w:sz w:val="17"/>
                <w:szCs w:val="17"/>
                <w:color w:val="auto"/>
              </w:rPr>
              <w:t>Unrealized gain (loss) on available-for-sale marketable</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78"/>
        </w:trPr>
        <w:tc>
          <w:tcPr>
            <w:tcW w:w="4320" w:type="dxa"/>
            <w:vAlign w:val="bottom"/>
            <w:shd w:val="clear" w:color="auto" w:fill="CCEEFF"/>
          </w:tcPr>
          <w:p>
            <w:pPr>
              <w:ind w:left="200"/>
              <w:spacing w:after="0" w:line="178" w:lineRule="exact"/>
              <w:rPr>
                <w:sz w:val="20"/>
                <w:szCs w:val="20"/>
                <w:color w:val="auto"/>
              </w:rPr>
            </w:pPr>
            <w:r>
              <w:rPr>
                <w:rFonts w:ascii="Times New Roman" w:cs="Times New Roman" w:eastAsia="Times New Roman" w:hAnsi="Times New Roman"/>
                <w:sz w:val="17"/>
                <w:szCs w:val="17"/>
                <w:color w:val="auto"/>
              </w:rPr>
              <w:t>securities, net of income tax (expense) benefit of $(6,038)</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43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7"/>
                <w:szCs w:val="17"/>
                <w:color w:val="auto"/>
              </w:rPr>
              <w:t>and $553 for the three months ended July 31, 2024 and</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0"/>
        </w:trPr>
        <w:tc>
          <w:tcPr>
            <w:tcW w:w="4320" w:type="dxa"/>
            <w:vAlign w:val="bottom"/>
            <w:shd w:val="clear" w:color="auto" w:fill="CCEEFF"/>
          </w:tcPr>
          <w:p>
            <w:pPr>
              <w:ind w:left="200"/>
              <w:spacing w:after="0" w:line="171" w:lineRule="exact"/>
              <w:rPr>
                <w:sz w:val="20"/>
                <w:szCs w:val="20"/>
                <w:color w:val="auto"/>
              </w:rPr>
            </w:pPr>
            <w:r>
              <w:rPr>
                <w:rFonts w:ascii="Times New Roman" w:cs="Times New Roman" w:eastAsia="Times New Roman" w:hAnsi="Times New Roman"/>
                <w:sz w:val="17"/>
                <w:szCs w:val="17"/>
                <w:color w:val="auto"/>
              </w:rPr>
              <w:t>2023, respectively, and $(346) and $(4,121) for the six</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6"/>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months ended July 31, 2024 and 2023, respectively</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13,678</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238,696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180,138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436,451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211,096</w:t>
            </w:r>
          </w:p>
        </w:tc>
      </w:tr>
      <w:tr>
        <w:trPr>
          <w:trHeight w:val="20"/>
        </w:trPr>
        <w:tc>
          <w:tcPr>
            <w:tcW w:w="4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July 31, 2024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16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 w:type="dxa"/>
            <w:vAlign w:val="bottom"/>
          </w:tcPr>
          <w:p>
            <w:pPr>
              <w:spacing w:after="0"/>
              <w:rPr>
                <w:sz w:val="9"/>
                <w:szCs w:val="9"/>
                <w:color w:val="auto"/>
              </w:rPr>
            </w:pPr>
          </w:p>
        </w:tc>
        <w:tc>
          <w:tcPr>
            <w:tcW w:w="1060" w:type="dxa"/>
            <w:vAlign w:val="bottom"/>
            <w:gridSpan w:val="2"/>
            <w:vMerge w:val="restart"/>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70"/>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8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April 30,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309,268,684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5,310,417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3,005,588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8,298,824</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2,777,616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34,263</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(4,829,090)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(287,645)</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240,270</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19,681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19,681</w:t>
            </w:r>
          </w:p>
        </w:tc>
        <w:tc>
          <w:tcPr>
            <w:tcW w:w="0" w:type="dxa"/>
            <w:vAlign w:val="bottom"/>
          </w:tcPr>
          <w:p>
            <w:pPr>
              <w:spacing w:after="0"/>
              <w:rPr>
                <w:sz w:val="1"/>
                <w:szCs w:val="1"/>
                <w:color w:val="auto"/>
              </w:rPr>
            </w:pPr>
          </w:p>
        </w:tc>
      </w:tr>
      <w:tr>
        <w:trPr>
          <w:trHeight w:val="19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219,015</w:t>
            </w:r>
          </w:p>
        </w:tc>
        <w:tc>
          <w:tcPr>
            <w:tcW w:w="0" w:type="dxa"/>
            <w:vAlign w:val="bottom"/>
          </w:tcPr>
          <w:p>
            <w:pPr>
              <w:spacing w:after="0"/>
              <w:rPr>
                <w:sz w:val="1"/>
                <w:szCs w:val="1"/>
                <w:color w:val="auto"/>
              </w:rPr>
            </w:pPr>
          </w:p>
        </w:tc>
      </w:tr>
      <w:tr>
        <w:trPr>
          <w:trHeight w:val="215"/>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307,995,624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5,298,145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3,224,603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8,525,247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July 31, 2023</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3"/>
                <w:szCs w:val="23"/>
                <w:color w:val="auto"/>
              </w:rPr>
            </w:pP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3"/>
                <w:szCs w:val="2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416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20" w:type="dxa"/>
            <w:vAlign w:val="bottom"/>
            <w:gridSpan w:val="3"/>
            <w:vMerge w:val="restart"/>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80" w:type="dxa"/>
            <w:vAlign w:val="bottom"/>
          </w:tcPr>
          <w:p>
            <w:pPr>
              <w:spacing w:after="0"/>
              <w:rPr>
                <w:sz w:val="9"/>
                <w:szCs w:val="9"/>
                <w:color w:val="auto"/>
              </w:rPr>
            </w:pPr>
          </w:p>
        </w:tc>
        <w:tc>
          <w:tcPr>
            <w:tcW w:w="1060" w:type="dxa"/>
            <w:vAlign w:val="bottom"/>
            <w:gridSpan w:val="2"/>
            <w:vMerge w:val="restart"/>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70"/>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8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April 30,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297,455,726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4,391,418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2,167,262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6,524,107</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542,954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2,404,443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32,513</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262,177</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181,974</w:t>
            </w: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July 31,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300,956,027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4,689,521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(36,707)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2,349,236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7,002,352</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July 31, 2024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16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 w:type="dxa"/>
            <w:vAlign w:val="bottom"/>
          </w:tcPr>
          <w:p>
            <w:pPr>
              <w:spacing w:after="0"/>
              <w:rPr>
                <w:sz w:val="9"/>
                <w:szCs w:val="9"/>
                <w:color w:val="auto"/>
              </w:rPr>
            </w:pPr>
          </w:p>
        </w:tc>
        <w:tc>
          <w:tcPr>
            <w:tcW w:w="1060" w:type="dxa"/>
            <w:vAlign w:val="bottom"/>
            <w:gridSpan w:val="2"/>
            <w:vMerge w:val="restart"/>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70"/>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8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31,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307,558,353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5,228,756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2,789,280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8,019,406</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6,778,788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34,263</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(7,229,395)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(437,693)</w:t>
            </w:r>
          </w:p>
        </w:tc>
        <w:tc>
          <w:tcPr>
            <w:tcW w:w="0" w:type="dxa"/>
            <w:vAlign w:val="bottom"/>
          </w:tcPr>
          <w:p>
            <w:pPr>
              <w:spacing w:after="0"/>
              <w:rPr>
                <w:sz w:val="1"/>
                <w:szCs w:val="1"/>
                <w:color w:val="auto"/>
              </w:rPr>
            </w:pPr>
          </w:p>
        </w:tc>
      </w:tr>
      <w:tr>
        <w:trPr>
          <w:trHeight w:val="189"/>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470,965</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435,323</w:t>
            </w:r>
          </w:p>
        </w:tc>
        <w:tc>
          <w:tcPr>
            <w:tcW w:w="0" w:type="dxa"/>
            <w:vAlign w:val="bottom"/>
          </w:tcPr>
          <w:p>
            <w:pPr>
              <w:spacing w:after="0"/>
              <w:rPr>
                <w:sz w:val="1"/>
                <w:szCs w:val="1"/>
                <w:color w:val="auto"/>
              </w:rPr>
            </w:pPr>
          </w:p>
        </w:tc>
      </w:tr>
      <w:tr>
        <w:trPr>
          <w:trHeight w:val="221"/>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307,995,624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3,224,603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8,525,247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July 31, 2023</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3"/>
                <w:szCs w:val="23"/>
                <w:color w:val="auto"/>
              </w:rPr>
            </w:pP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3"/>
                <w:szCs w:val="2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416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20" w:type="dxa"/>
            <w:vAlign w:val="bottom"/>
            <w:gridSpan w:val="3"/>
            <w:vMerge w:val="restart"/>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80" w:type="dxa"/>
            <w:vAlign w:val="bottom"/>
          </w:tcPr>
          <w:p>
            <w:pPr>
              <w:spacing w:after="0"/>
              <w:rPr>
                <w:sz w:val="9"/>
                <w:szCs w:val="9"/>
                <w:color w:val="auto"/>
              </w:rPr>
            </w:pPr>
          </w:p>
        </w:tc>
        <w:tc>
          <w:tcPr>
            <w:tcW w:w="1060" w:type="dxa"/>
            <w:vAlign w:val="bottom"/>
            <w:gridSpan w:val="2"/>
            <w:vMerge w:val="restart"/>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70"/>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8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January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293,822,850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4,104,880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2,151,818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6,206,607</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1,044,922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7,686</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5,535,351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32,513</w:t>
            </w: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544,450</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13,678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13,678</w:t>
            </w: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197,418</w:t>
            </w: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July 31,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300,956,027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4,689,521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(36,707)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2,349,236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7,002,352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8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9"/>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435,323</w:t>
            </w:r>
          </w:p>
        </w:tc>
        <w:tc>
          <w:tcPr>
            <w:tcW w:w="14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197,418</w:t>
            </w:r>
          </w:p>
        </w:tc>
      </w:tr>
      <w:tr>
        <w:trPr>
          <w:trHeight w:val="20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467,375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543,854</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138,744</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55,751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50,202</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13,975</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Gains on strategic investments,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(33,945)</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accounts receivable allowances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22,204</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foreign exchange losses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10,657</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discount/premium on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(18,014)</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4"/>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13,631</w:t>
            </w:r>
          </w:p>
        </w:tc>
      </w:tr>
      <w:tr>
        <w:trPr>
          <w:trHeight w:val="189"/>
        </w:trPr>
        <w:tc>
          <w:tcPr>
            <w:tcW w:w="8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(83,888)</w:t>
            </w:r>
          </w:p>
        </w:tc>
      </w:tr>
      <w:tr>
        <w:trPr>
          <w:trHeight w:val="204"/>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(92,927)</w:t>
            </w:r>
          </w:p>
        </w:tc>
      </w:tr>
      <w:tr>
        <w:trPr>
          <w:trHeight w:val="189"/>
        </w:trPr>
        <w:tc>
          <w:tcPr>
            <w:tcW w:w="8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w:t>
            </w:r>
          </w:p>
        </w:tc>
      </w:tr>
      <w:tr>
        <w:trPr>
          <w:trHeight w:val="204"/>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(58,951)</w:t>
            </w:r>
          </w:p>
        </w:tc>
      </w:tr>
      <w:tr>
        <w:trPr>
          <w:trHeight w:val="189"/>
        </w:trPr>
        <w:tc>
          <w:tcPr>
            <w:tcW w:w="8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133,629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56,332</w:t>
            </w:r>
          </w:p>
        </w:tc>
      </w:tr>
      <w:tr>
        <w:trPr>
          <w:trHeight w:val="204"/>
        </w:trPr>
        <w:tc>
          <w:tcPr>
            <w:tcW w:w="8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(14,931)</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(11,101)</w:t>
            </w:r>
          </w:p>
        </w:tc>
      </w:tr>
      <w:tr>
        <w:trPr>
          <w:trHeight w:val="183"/>
        </w:trPr>
        <w:tc>
          <w:tcPr>
            <w:tcW w:w="81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1,037,525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754,458</w:t>
            </w:r>
          </w:p>
        </w:tc>
      </w:tr>
      <w:tr>
        <w:trPr>
          <w:trHeight w:val="20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(2,181,315)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(1,826,166)</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1,644,169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1,543,120</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(102,742)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(68,426)</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(51,000)</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strategic investments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107,244</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acquisition, net of cash acquired</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(204,918)</w:t>
            </w:r>
          </w:p>
        </w:tc>
      </w:tr>
      <w:tr>
        <w:trPr>
          <w:trHeight w:val="183"/>
        </w:trPr>
        <w:tc>
          <w:tcPr>
            <w:tcW w:w="81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(648,734)</w:t>
            </w: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(500,146)</w:t>
            </w:r>
          </w:p>
        </w:tc>
      </w:tr>
      <w:tr>
        <w:trPr>
          <w:trHeight w:val="20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7,686</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for employee stock purchase plan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32,513</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employee equity transactions to be remitted to employees and tax authorities,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repurchases of common stock</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(437,693)</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81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(398,716)</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41,458</w:t>
            </w:r>
          </w:p>
        </w:tc>
      </w:tr>
      <w:tr>
        <w:trPr>
          <w:trHeight w:val="19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w:t>
            </w:r>
          </w:p>
        </w:tc>
      </w:tr>
      <w:tr>
        <w:trPr>
          <w:trHeight w:val="18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291,989</w:t>
            </w:r>
          </w:p>
        </w:tc>
      </w:tr>
      <w:tr>
        <w:trPr>
          <w:trHeight w:val="20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1,565,380</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1,100,243</w:t>
            </w:r>
          </w:p>
        </w:tc>
      </w:tr>
      <w:tr>
        <w:trPr>
          <w:trHeight w:val="18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1,549,309</w:t>
            </w:r>
          </w:p>
        </w:tc>
        <w:tc>
          <w:tcPr>
            <w:tcW w:w="14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1,392,232</w:t>
            </w:r>
          </w:p>
        </w:tc>
      </w:tr>
      <w:tr>
        <w:trPr>
          <w:trHeight w:val="26"/>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72"/>
        </w:trPr>
        <w:tc>
          <w:tcPr>
            <w:tcW w:w="8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133"/>
        </w:trPr>
        <w:tc>
          <w:tcPr>
            <w:tcW w:w="81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to the amounts shown in</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9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the condensed consolidated statements of cash flows above: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1,539,457</w:t>
            </w:r>
          </w:p>
        </w:tc>
        <w:tc>
          <w:tcPr>
            <w:tcW w:w="14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1,380,121</w:t>
            </w:r>
          </w:p>
        </w:tc>
      </w:tr>
      <w:tr>
        <w:trPr>
          <w:trHeight w:val="204"/>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current included in prepaid expenses and other current 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9,852</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11,856</w:t>
            </w:r>
          </w:p>
        </w:tc>
      </w:tr>
      <w:tr>
        <w:trPr>
          <w:trHeight w:val="190"/>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 noncurrent included in other assets, noncurrent</w:t>
            </w:r>
          </w:p>
        </w:tc>
        <w:tc>
          <w:tcPr>
            <w:tcW w:w="3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15"/>
        </w:trPr>
        <w:tc>
          <w:tcPr>
            <w:tcW w:w="8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1,392,232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b w:val="1"/>
          <w:bCs w:val="1"/>
          <w:color w:val="auto"/>
        </w:rPr>
        <w:t>ZOOM VIDEO COMMUNICATIONS, INC. NOTES TO CONDENSED CONSOLIDATED FINANCIAL STATEMENTS (unaudited)</w:t>
      </w:r>
    </w:p>
    <w:p>
      <w:pPr>
        <w:spacing w:after="0" w:line="366" w:lineRule="exact"/>
        <w:rPr>
          <w:sz w:val="20"/>
          <w:szCs w:val="20"/>
          <w:color w:val="auto"/>
        </w:rPr>
      </w:pPr>
    </w:p>
    <w:p>
      <w:pPr>
        <w:ind w:left="640" w:hanging="635"/>
        <w:spacing w:after="0"/>
        <w:tabs>
          <w:tab w:leader="none" w:pos="6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Business and Significant Accounting Policies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Zoom Video Communications, Inc. and its subsidiaries (collectively, “Zoom,” the “Company,” “we,” “us,” or “our”) provide a workplace collaboration platform that connects people through frictionless and secure meetings, phone, chat, content sharing and more. We were incorporated in the state of Delaware in April 2011, and are headquartered in San Jose, California.</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Fiscal Year</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fiscal year ends on January 31. References to fiscal year 2025, for example, refer to the fiscal year ending January 31, 2025.</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spacing w:after="0" w:line="6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condensed consolidated balance sheet as of January 31, 2024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65"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unaudited condensed consolidated financial statements should be read in conjunction with the audited consolidated financial statements and notes included in our Annual Report on Form 10-K for the year ended January 31, 2024, filed with the SEC on March 4, 2024.</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Summary of Significant Accounting Policies</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significant accounting policies are discussed in Note 1. “Summary of Business and Significant Accounting Policies” in the notes to consolidated financial statements included in our Annual Report on Form 10-K for the year ended January 31, 2024, filed with the SEC on March 4, 2024. Except for an update to our stock-based compensation policy covering our fiscal year 2025 grants of restricted stock units (“RSUs”) that contain both service and performance conditions as noted below, there have been no significant changes to these policies during the six months ended July 31, 2024.</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u w:val="single" w:color="auto"/>
          <w:color w:val="auto"/>
        </w:rPr>
        <w:t>Stock-Based Compensation</w:t>
      </w:r>
    </w:p>
    <w:p>
      <w:pPr>
        <w:spacing w:after="0" w:line="121"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Stock-based compensation expense related to stock awards with only service conditions, including stock options, RSUs, and shares issued pursuant to our employee stock purchase plan (“ESPP”), are measured based on the fair value of the awards granted and recognized as an expense on a straight-line basis over the requisite service period. For RSU’s with service and performance conditions, expense is recognized over the requisite service period if it is probable the performance condition will be achieved. The probability of achievement is assessed quarterly, and the effect of any change in the estimated number of performance-based awards expected to vest is recognized in the period those estimates are revised as a cumulative catch-up adjustment to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fair value of each option and ESPP award is estimated on the grant date using the Black-Scholes option pricing model. The Black-Scholes option pricing model requires the use of assumptions, including the fair value of the underlying common stock, the expected term of the award, the expected volatility of the price of our common stock, risk-free interest rates, and the expected dividend yield of our common stock.</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fair value of each RSU award is based on the fair value of the underlying common stock as of the grant date.</w:t>
      </w:r>
    </w:p>
    <w:p>
      <w:pPr>
        <w:spacing w:after="0" w:line="119"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3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21"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which aims to improve financial reporting by requiring disclosure of incremental segment information on an annual and interim basis to enable investors to develop more decision-useful financial analyses. ASU 2023-07 is effective for fiscal years beginning after December 15, 2023 and interim periods within fiscal years beginning after December 15, 2024. Early adoption is permitted. This ASU will likely result in us including the additional required disclosures when adopted. We are currently evaluating the impact from the adoption of this ASU on our consolidated financial statements and will adopt it for the year ending January 31, 2025.</w:t>
      </w:r>
    </w:p>
    <w:p>
      <w:pPr>
        <w:spacing w:after="0" w:line="279"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We are currently evaluating the impact from the adoption of this ASU on our consolidated financial statements.</w:t>
      </w:r>
    </w:p>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2.</w:t>
        <w:tab/>
        <w:t>Revenue Recognition</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revenue by region based on the billing address of customers: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6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94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2"/>
        </w:trPr>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26"/>
              <w:spacing w:after="0" w:line="132"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06"/>
              <w:spacing w:after="0" w:line="132"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1020" w:type="dxa"/>
            <w:vAlign w:val="bottom"/>
          </w:tcPr>
          <w:p>
            <w:pPr>
              <w:jc w:val="right"/>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04"/>
              <w:spacing w:after="0" w:line="132"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420"/>
        </w:trPr>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835,728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808,425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1,654,411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1,593,022</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71.0 %</w:t>
            </w:r>
          </w:p>
        </w:tc>
        <w:tc>
          <w:tcPr>
            <w:tcW w:w="0" w:type="dxa"/>
            <w:vAlign w:val="bottom"/>
          </w:tcPr>
          <w:p>
            <w:pPr>
              <w:spacing w:after="0"/>
              <w:rPr>
                <w:sz w:val="1"/>
                <w:szCs w:val="1"/>
                <w:color w:val="auto"/>
              </w:rPr>
            </w:pPr>
          </w:p>
        </w:tc>
      </w:tr>
      <w:tr>
        <w:trPr>
          <w:trHeight w:val="322"/>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(“APAC”)</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142,315</w:t>
            </w:r>
          </w:p>
        </w:tc>
        <w:tc>
          <w:tcPr>
            <w:tcW w:w="1340" w:type="dxa"/>
            <w:vAlign w:val="bottom"/>
            <w:gridSpan w:val="3"/>
          </w:tcPr>
          <w:p>
            <w:pPr>
              <w:jc w:val="right"/>
              <w:ind w:right="146"/>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144,915</w:t>
            </w:r>
          </w:p>
        </w:tc>
        <w:tc>
          <w:tcPr>
            <w:tcW w:w="1320" w:type="dxa"/>
            <w:vAlign w:val="bottom"/>
            <w:gridSpan w:val="3"/>
          </w:tcPr>
          <w:p>
            <w:pPr>
              <w:jc w:val="right"/>
              <w:ind w:right="126"/>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280,629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285,786</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322"/>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 Middle East,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Africa</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184,477</w:t>
            </w:r>
          </w:p>
        </w:tc>
        <w:tc>
          <w:tcPr>
            <w:tcW w:w="1340" w:type="dxa"/>
            <w:vAlign w:val="bottom"/>
            <w:gridSpan w:val="3"/>
            <w:shd w:val="clear" w:color="auto" w:fill="CCEEFF"/>
          </w:tcPr>
          <w:p>
            <w:pPr>
              <w:jc w:val="right"/>
              <w:ind w:right="146"/>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185,336</w:t>
            </w:r>
          </w:p>
        </w:tc>
        <w:tc>
          <w:tcPr>
            <w:tcW w:w="1320" w:type="dxa"/>
            <w:vAlign w:val="bottom"/>
            <w:gridSpan w:val="3"/>
            <w:shd w:val="clear" w:color="auto" w:fill="CCEEFF"/>
          </w:tcPr>
          <w:p>
            <w:pPr>
              <w:jc w:val="right"/>
              <w:ind w:right="126"/>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368,714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365,232</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16"/>
        </w:trPr>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1,162,520</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1,138,676</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2,303,754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2,244,040</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2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$119.9 million and $124.8 million as of July 31, 2024 and January 31, 2024, respectively, and the amount of unbilled accounts receivable included within other assets, noncurrent was immaterial as of July 31, 2024 and January 31, 2024.</w:t>
      </w:r>
    </w:p>
    <w:p>
      <w:pPr>
        <w:spacing w:after="0" w:line="6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July 31, 2024 and 2023 that was included in deferred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at the beginning of each period was $609.4 million and $593.9 million, respectively, and $955.4 million and $939.2 million during the six months ended July 31, 2024 and 2023, respectively.</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2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terms of our subscription agreements are monthly, annual, and multiyear, and we may bill for the full term in advance or on an annual, quarterly, or monthly basis, depending on the billing terms with customers. As of July 31, 2024, the aggregate amount of the transaction price allocated to our remaining performance obligations was $3,778.3 million, which consists of both billed consideration in the amount of $1,406.7 million and unbilled consideration in the amount of $2,371.6 million that we expect to recognize as revenue. We expect to recognize 60% of our remaining performance obligations as revenue over the next 12 months and the remainder thereafter.</w:t>
      </w:r>
    </w:p>
    <w:p>
      <w:pPr>
        <w:spacing w:after="0" w:line="16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3.</w:t>
        <w:tab/>
        <w:t>Investments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Marketable Securities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July 31, 2024 and January 31, 2024, our marketable securities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As of July 31, 2024</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20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0"/>
                <w:szCs w:val="10"/>
                <w:color w:val="auto"/>
              </w:rPr>
            </w:pPr>
          </w:p>
        </w:tc>
        <w:tc>
          <w:tcPr>
            <w:tcW w:w="1080" w:type="dxa"/>
            <w:vAlign w:val="bottom"/>
          </w:tcPr>
          <w:p>
            <w:pPr>
              <w:jc w:val="center"/>
              <w:ind w:right="139"/>
              <w:spacing w:after="0" w:line="126"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1080" w:type="dxa"/>
            <w:vAlign w:val="bottom"/>
          </w:tcPr>
          <w:p>
            <w:pPr>
              <w:jc w:val="center"/>
              <w:ind w:right="139"/>
              <w:spacing w:after="0" w:line="143"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1"/>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1"/>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19,636</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1,049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1,768,712</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 debt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712,223</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5,993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3,359,559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120,445</w:t>
            </w:r>
          </w:p>
        </w:tc>
        <w:tc>
          <w:tcPr>
            <w:tcW w:w="0" w:type="dxa"/>
            <w:vAlign w:val="bottom"/>
          </w:tcPr>
          <w:p>
            <w:pPr>
              <w:spacing w:after="0"/>
              <w:rPr>
                <w:sz w:val="1"/>
                <w:szCs w:val="1"/>
                <w:color w:val="auto"/>
              </w:rPr>
            </w:pPr>
          </w:p>
        </w:tc>
      </w:tr>
      <w:tr>
        <w:trPr>
          <w:trHeight w:val="216"/>
        </w:trPr>
        <w:tc>
          <w:tcPr>
            <w:tcW w:w="5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5,978,372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8,489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5,980,575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As of January 31, 2024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20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0"/>
                <w:szCs w:val="10"/>
                <w:color w:val="auto"/>
              </w:rPr>
            </w:pPr>
          </w:p>
        </w:tc>
        <w:tc>
          <w:tcPr>
            <w:tcW w:w="1080" w:type="dxa"/>
            <w:vAlign w:val="bottom"/>
          </w:tcPr>
          <w:p>
            <w:pPr>
              <w:jc w:val="center"/>
              <w:ind w:right="139"/>
              <w:spacing w:after="0" w:line="12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1080" w:type="dxa"/>
            <w:vAlign w:val="bottom"/>
          </w:tcPr>
          <w:p>
            <w:pPr>
              <w:jc w:val="center"/>
              <w:ind w:right="139"/>
              <w:spacing w:after="0" w:line="144"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1"/>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2,426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1,666,683</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 debt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663,159</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3,003,224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3,004,842</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27,985</w:t>
            </w:r>
          </w:p>
        </w:tc>
        <w:tc>
          <w:tcPr>
            <w:tcW w:w="0" w:type="dxa"/>
            <w:vAlign w:val="bottom"/>
          </w:tcPr>
          <w:p>
            <w:pPr>
              <w:spacing w:after="0"/>
              <w:rPr>
                <w:sz w:val="1"/>
                <w:szCs w:val="1"/>
                <w:color w:val="auto"/>
              </w:rPr>
            </w:pPr>
          </w:p>
        </w:tc>
      </w:tr>
      <w:tr>
        <w:trPr>
          <w:trHeight w:val="216"/>
        </w:trPr>
        <w:tc>
          <w:tcPr>
            <w:tcW w:w="5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5,403,503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11,446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5,404,233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Unrealized losses for securities that have been in an unrealized loss position for less than 12 months were $2.9 million and $6.0 million as of July 31, 2024 and January 31, 2024, respectively. Unrealized losses for securities that have been in an unrealized loss position for 12 months or longer were $3.4 million and $4.8 million as of July 31, 2024 and January 31, 2024, respectively.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and six months ended July 31, 2024 and 2023.</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contractual maturities of our marketable securities as of July 31, 2024 and January 31,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6"/>
          </w:tcPr>
          <w:p>
            <w:pPr>
              <w:jc w:val="right"/>
              <w:ind w:right="1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than one year</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3,268,071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2,883,598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Due in one to five years</w:t>
            </w:r>
          </w:p>
        </w:tc>
        <w:tc>
          <w:tcPr>
            <w:tcW w:w="3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2,712,504</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2,520,635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5,980,575</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5,404,233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bottom w:val="single" w:sz="8" w:color="CFF0FC"/>
            </w:tcBorders>
            <w:vMerge w:val="restart"/>
          </w:tcPr>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Strategic Investments</w:t>
            </w:r>
          </w:p>
        </w:tc>
        <w:tc>
          <w:tcPr>
            <w:tcW w:w="3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08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Strategic investments by form and measurement category as of July 31, 2024 were as follows: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80" w:type="dxa"/>
            <w:vAlign w:val="bottom"/>
            <w:gridSpan w:val="7"/>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Measurement Category</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80" w:type="dxa"/>
            <w:vAlign w:val="bottom"/>
            <w:gridSpan w:val="7"/>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309,650</w:t>
            </w: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Strategic investments</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309,650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97,596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438,529</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Strategic investments by form and measurement category as of January 31, 2024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Measurement Category</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1"/>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405,394</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3,828</w:t>
            </w:r>
          </w:p>
        </w:tc>
      </w:tr>
      <w:tr>
        <w:trPr>
          <w:trHeight w:val="241"/>
        </w:trPr>
        <w:tc>
          <w:tcPr>
            <w:tcW w:w="4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Strategic investments</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409,222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10"/>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1"/>
        </w:trPr>
        <w:tc>
          <w:tcPr>
            <w:tcW w:w="4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4.</w:t>
        <w:tab/>
        <w:t>Fair Value Measurements</w:t>
      </w:r>
    </w:p>
    <w:p>
      <w:pPr>
        <w:spacing w:after="0" w:line="12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As of July 31, 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1"/>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898,494</w:t>
            </w:r>
          </w:p>
        </w:tc>
        <w:tc>
          <w:tcPr>
            <w:tcW w:w="40" w:type="dxa"/>
            <w:vAlign w:val="bottom"/>
          </w:tcPr>
          <w:p>
            <w:pPr>
              <w:spacing w:after="0"/>
              <w:rPr>
                <w:sz w:val="19"/>
                <w:szCs w:val="19"/>
                <w:color w:val="auto"/>
              </w:rPr>
            </w:pPr>
          </w:p>
        </w:tc>
        <w:tc>
          <w:tcPr>
            <w:tcW w:w="36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898,494</w:t>
            </w:r>
          </w:p>
        </w:tc>
        <w:tc>
          <w:tcPr>
            <w:tcW w:w="40" w:type="dxa"/>
            <w:vAlign w:val="bottom"/>
          </w:tcPr>
          <w:p>
            <w:pPr>
              <w:spacing w:after="0"/>
              <w:rPr>
                <w:sz w:val="19"/>
                <w:szCs w:val="19"/>
                <w:color w:val="auto"/>
              </w:rPr>
            </w:pPr>
          </w:p>
        </w:tc>
        <w:tc>
          <w:tcPr>
            <w:tcW w:w="48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equivalents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1,013,589</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898,494</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115,095</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1,768,712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1,768,712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and other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712,223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712,223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3,359,559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3,359,559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120,445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120,445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5,980,575</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5,980,575</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Certificate of deposit included in prepaid expenses and other current assets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Publicly held equity securities included in strategic investments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26,880</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26,880</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Privately held debt securities included in strategic investments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40" w:type="dxa"/>
            <w:vAlign w:val="bottom"/>
            <w:tcBorders>
              <w:bottom w:val="single" w:sz="8" w:color="auto"/>
            </w:tcBorders>
          </w:tcPr>
          <w:p>
            <w:pPr>
              <w:spacing w:after="0"/>
              <w:rPr>
                <w:sz w:val="18"/>
                <w:szCs w:val="18"/>
                <w:color w:val="auto"/>
              </w:rPr>
            </w:pPr>
          </w:p>
        </w:tc>
      </w:tr>
      <w:tr>
        <w:trPr>
          <w:trHeight w:val="241"/>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financial assets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7,025,698</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925,374</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6,095,921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5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184"/>
        </w:trPr>
        <w:tc>
          <w:tcPr>
            <w:tcW w:w="56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r>
      <w:tr>
        <w:trPr>
          <w:trHeight w:val="211"/>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851,100</w:t>
            </w:r>
          </w:p>
        </w:tc>
        <w:tc>
          <w:tcPr>
            <w:tcW w:w="40" w:type="dxa"/>
            <w:vAlign w:val="bottom"/>
          </w:tcPr>
          <w:p>
            <w:pPr>
              <w:spacing w:after="0"/>
              <w:rPr>
                <w:sz w:val="19"/>
                <w:szCs w:val="19"/>
                <w:color w:val="auto"/>
              </w:rPr>
            </w:pPr>
          </w:p>
        </w:tc>
        <w:tc>
          <w:tcPr>
            <w:tcW w:w="36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851,100</w:t>
            </w:r>
          </w:p>
        </w:tc>
        <w:tc>
          <w:tcPr>
            <w:tcW w:w="40" w:type="dxa"/>
            <w:vAlign w:val="bottom"/>
          </w:tcPr>
          <w:p>
            <w:pPr>
              <w:spacing w:after="0"/>
              <w:rPr>
                <w:sz w:val="19"/>
                <w:szCs w:val="19"/>
                <w:color w:val="auto"/>
              </w:rPr>
            </w:pPr>
          </w:p>
        </w:tc>
        <w:tc>
          <w:tcPr>
            <w:tcW w:w="480" w:type="dxa"/>
            <w:vAlign w:val="bottom"/>
            <w:gridSpan w:val="3"/>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16"/>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equivalents</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974,599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851,100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123,499</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1,666,683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1,666,683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663,159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663,159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3,004,842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3,004,842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16"/>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5,404,233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5,404,233</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 included in other assets, noncurrent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Publicly held equity securities included in strategic investments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23,160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23,160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Privately held debt securities included in strategic investments</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3,828</w:t>
            </w:r>
          </w:p>
        </w:tc>
        <w:tc>
          <w:tcPr>
            <w:tcW w:w="40" w:type="dxa"/>
            <w:vAlign w:val="bottom"/>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financial assets</w:t>
            </w:r>
          </w:p>
        </w:tc>
        <w:tc>
          <w:tcPr>
            <w:tcW w:w="2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6,406,074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874,260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5,527,986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3,828</w:t>
            </w:r>
          </w:p>
        </w:tc>
        <w:tc>
          <w:tcPr>
            <w:tcW w:w="4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our privately held debt securities as Level 3 due to the lack of relevant observable market data over fair value inputs, such as the probability weighting of the various scenarios that can impact settlement of the arrangement.</w:t>
      </w:r>
    </w:p>
    <w:p>
      <w:pPr>
        <w:spacing w:after="0" w:line="105" w:lineRule="exact"/>
        <w:rPr>
          <w:sz w:val="20"/>
          <w:szCs w:val="20"/>
          <w:color w:val="auto"/>
        </w:rPr>
      </w:pPr>
    </w:p>
    <w:p>
      <w:pPr>
        <w:ind w:left="480" w:right="9200" w:hanging="475"/>
        <w:spacing w:after="0" w:line="387" w:lineRule="auto"/>
        <w:tabs>
          <w:tab w:leader="none" w:pos="31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Combinations Workvivo Limited</w:t>
      </w: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On April 21, 2023, we acquired 100% of the issued and outstanding share capital of Workvivo Limited (“Workvivo”), a private technology company that provides an employee experience platform, for an all-cash purchase consideration of $221.8 million. The acquisition extends our platform and offers our customers new ways to keep employees informed, engaged, and connected. The acquisition has been accounted for as a business combination.</w:t>
      </w:r>
    </w:p>
    <w:p>
      <w:pPr>
        <w:spacing w:after="0" w:line="59"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In allocating the purchase consideration, $184.7 million was attributed to goodwill, $28.0 million to intangible assets (primarily consisting of $10.8 million to developed technology and $17.0 million to customer relationships), and $9.1 million to other net assets acquired. The goodwill amount represents synergies related to our existing products expected to be realized from the acquisition and assembled workforce. The associated goodwill is not deductible for tax purposes.</w:t>
      </w:r>
    </w:p>
    <w:p>
      <w:pPr>
        <w:spacing w:after="0" w:line="27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At the date of the acquisition, the developed technology and customer relationships both had an estimated useful life of 5.0 years, and both are amortized using the straight-line method over their respective estimated useful lives. Amortization of developed technology and customer relationships is recorded within cost of revenue and sales and marketing expense, respectively, within the condensed consolidated statements of operations. As of July 31, 2024, the developed technology and customer relationships both had a remaining useful life of 3.7 years.</w:t>
      </w:r>
    </w:p>
    <w:p>
      <w:pPr>
        <w:spacing w:after="0" w:line="6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Transaction costs incurred in connection with the acquisition were immaterial. The results of operations of Workvivo,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162" w:lineRule="exact"/>
        <w:rPr>
          <w:sz w:val="20"/>
          <w:szCs w:val="20"/>
          <w:color w:val="auto"/>
        </w:rPr>
      </w:pPr>
    </w:p>
    <w:p>
      <w:pPr>
        <w:jc w:val="right"/>
        <w:ind w:left="480" w:right="8900" w:hanging="475"/>
        <w:spacing w:after="0" w:line="387" w:lineRule="auto"/>
        <w:tabs>
          <w:tab w:leader="none" w:pos="31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Accounts Receivable, Net</w:t>
      </w:r>
    </w:p>
    <w:p>
      <w:pPr>
        <w:ind w:firstLine="472"/>
        <w:spacing w:after="0" w:line="296" w:lineRule="auto"/>
        <w:rPr>
          <w:sz w:val="20"/>
          <w:szCs w:val="20"/>
          <w:color w:val="auto"/>
        </w:rPr>
      </w:pPr>
      <w:r>
        <w:rPr>
          <w:rFonts w:ascii="Times New Roman" w:cs="Times New Roman" w:eastAsia="Times New Roman" w:hAnsi="Times New Roman"/>
          <w:sz w:val="17"/>
          <w:szCs w:val="17"/>
          <w:color w:val="auto"/>
        </w:rPr>
        <w:t>Accounts receivable are recorded for invoiced amounts and amounts for which revenue has been recognized, but not invoiced, net of allowances. Our short-term accounts receivable consist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11"/>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gross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568,449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(25,916)</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returns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r>
      <w:tr>
        <w:trPr>
          <w:trHeight w:val="216"/>
        </w:trPr>
        <w:tc>
          <w:tcPr>
            <w:tcW w:w="7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528,237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536,078</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Below is a rollforward of our allowance for credit losses for the six months ended July 31, 2024 and 2023: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31</w:t>
            </w:r>
          </w:p>
        </w:tc>
        <w:tc>
          <w:tcPr>
            <w:tcW w:w="5180" w:type="dxa"/>
            <w:vAlign w:val="bottom"/>
            <w:gridSpan w:val="2"/>
            <w:shd w:val="clear" w:color="auto" w:fill="CCEEFF"/>
          </w:tcPr>
          <w:p>
            <w:pPr>
              <w:jc w:val="right"/>
              <w:ind w:right="821"/>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25,916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rPr>
              <w:t>24,900</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4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13,052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center"/>
              <w:ind w:left="416"/>
              <w:spacing w:after="0"/>
              <w:rPr>
                <w:sz w:val="20"/>
                <w:szCs w:val="20"/>
                <w:color w:val="auto"/>
              </w:rPr>
            </w:pPr>
            <w:r>
              <w:rPr>
                <w:rFonts w:ascii="Times New Roman" w:cs="Times New Roman" w:eastAsia="Times New Roman" w:hAnsi="Times New Roman"/>
                <w:sz w:val="17"/>
                <w:szCs w:val="17"/>
                <w:color w:val="auto"/>
              </w:rPr>
              <w:t>30,250</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4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(19,980)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rPr>
              <w:t>(17,057)</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July 31</w:t>
            </w:r>
          </w:p>
        </w:tc>
        <w:tc>
          <w:tcPr>
            <w:tcW w:w="4180" w:type="dxa"/>
            <w:vAlign w:val="bottom"/>
          </w:tcPr>
          <w:p>
            <w:pPr>
              <w:spacing w:after="0"/>
              <w:rPr>
                <w:sz w:val="18"/>
                <w:szCs w:val="18"/>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18,988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7"/>
                <w:szCs w:val="17"/>
                <w:color w:val="auto"/>
              </w:rPr>
              <w:t>38,093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180" w:type="dxa"/>
            <w:vAlign w:val="bottom"/>
            <w:vMerge w:val="restart"/>
          </w:tcPr>
          <w:p>
            <w:pPr>
              <w:jc w:val="right"/>
              <w:ind w:right="2053"/>
              <w:spacing w:after="0"/>
              <w:rPr>
                <w:sz w:val="20"/>
                <w:szCs w:val="20"/>
                <w:color w:val="auto"/>
              </w:rPr>
            </w:pPr>
            <w:r>
              <w:rPr>
                <w:rFonts w:ascii="Times New Roman" w:cs="Times New Roman" w:eastAsia="Times New Roman" w:hAnsi="Times New Roman"/>
                <w:sz w:val="17"/>
                <w:szCs w:val="17"/>
                <w:color w:val="auto"/>
              </w:rPr>
              <w:t>17</w:t>
            </w: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368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68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11"/>
        </w:trPr>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4"/>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188,259</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24,049</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149,374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219,182</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Property and equipment consisted of the following:</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11"/>
        </w:trPr>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4"/>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Servers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340,868</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95,409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and office equipment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44,571</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43,981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5,192</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530,021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(236,317)</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347,714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293,704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Depreciation and amortization expense was $25.7 million and $22.6 million for the three months ended July 31, 2024 and 2023, respectively, and $49.0 million and $44.6 million for the six months ended July 31, 2024 and 2023, respectively.</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Other Assets, Noncurrent</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Other assets, noncurrent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noncurrent</w:t>
            </w:r>
          </w:p>
        </w:tc>
        <w:tc>
          <w:tcPr>
            <w:tcW w:w="37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subject to amortization, net</w:t>
            </w:r>
          </w:p>
        </w:tc>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3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noncurrent</w:t>
            </w:r>
          </w:p>
        </w:tc>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receivable, noncurrent</w:t>
            </w:r>
          </w:p>
        </w:tc>
        <w:tc>
          <w:tcPr>
            <w:tcW w:w="3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 noncurrent</w:t>
            </w:r>
          </w:p>
        </w:tc>
        <w:tc>
          <w:tcPr>
            <w:tcW w:w="3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013"/>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3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4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Current Liabilities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11"/>
        </w:trPr>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4"/>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173,993</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185,128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21,880</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other non-income tax liabilities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35,460</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deposit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40,142</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18,916</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439,459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500,164</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Other Liabilities, Noncurrent</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liabilities, noncurrent consisted of the following:</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11"/>
        </w:trPr>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4"/>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other non-income tax liabilities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42,254</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income tax liabilities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5,260</w:t>
            </w:r>
          </w:p>
        </w:tc>
        <w:tc>
          <w:tcPr>
            <w:tcW w:w="0" w:type="dxa"/>
            <w:vAlign w:val="bottom"/>
          </w:tcPr>
          <w:p>
            <w:pPr>
              <w:spacing w:after="0"/>
              <w:rPr>
                <w:sz w:val="1"/>
                <w:szCs w:val="1"/>
                <w:color w:val="auto"/>
              </w:rPr>
            </w:pPr>
          </w:p>
        </w:tc>
      </w:tr>
      <w:tr>
        <w:trPr>
          <w:trHeight w:val="216"/>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89,129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81,378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7.</w:t>
        <w:tab/>
        <w:t>Commitments and Contingencies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Non-cancelable Purchase Obligations</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July 31, 2024, we had outstanding non-cancelable purchase obligations with a term of 12 months or longer of approximately $75.4 million in addition to the amount disclosed in our Annual Report on Form 10-K for the year ended January 31, 2024 filed with the SEC on March 4, 2024, mainly related to third-party software services.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Other Contingencies</w:t>
      </w:r>
    </w:p>
    <w:p>
      <w:pPr>
        <w:spacing w:after="0" w:line="123"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23"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requires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October 18, 2023, defendants filed their motion to dismiss the amended complaint. On December 22, 2023, plaintiff filed her opposition to the motion to dismiss, and on January 26, 2024, defendants filed their reply in support of the motion to dismiss.</w:t>
      </w:r>
    </w:p>
    <w:p>
      <w:pPr>
        <w:spacing w:after="0" w:line="28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We are vigorously defending ourselves against these lawsuits. Given the uncertainty of litigation and the legal standards that must be met for, among other things, class certification and success on the merits, we cannot estimate the reasonably possible loss or range of loss that may result from these actions.</w:t>
      </w:r>
    </w:p>
    <w:p>
      <w:pPr>
        <w:spacing w:after="0" w:line="42"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On October 17, 2023, lead plaintiff filed a motion for preliminary approval of the settlement. A hearing on the motion for preliminary approval of the settlement was held on June 13, 2024. As a result of the settlement, we made net payments of $60.0 million ($150.0 million for the settlement net of $90.0 million covered by insurance) during the fiscal year ended January 31, 2024, of which $7.5 million had been accrued during the year ended January 31, 2023 and $52.5 million was recorded as a general and administrative expense in our consolidated statement of operations for the fiscal year ended January 31, 2024.</w:t>
      </w:r>
    </w:p>
    <w:p>
      <w:pPr>
        <w:spacing w:after="0" w:line="81"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6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8.</w:t>
        <w:tab/>
        <w:t>Stockholders’ Equity and Equity Incentive Plans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spacing w:after="0" w:line="6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and six months ended July 31, 2024, we repurchased and subsequently retired 4,829,090 and 7,229,395 shares of our Class A common stock, respectively, for an aggregate amount of $287.6 million and $437.7 million, respectively. As of July 31, 2024, $1,062.3 million of the repurchase authorization remained available.</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12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We have two equity incentive plans: the 2011 Global Share Plan (“2011 Plan”) and the 2019 Equity Incentive Plan (“2019 Plan”). All shares that remain available for future grants are under the 2019 Plan.</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summary of stock option activity under our equity incentive plan and related information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5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8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5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5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60" w:type="dxa"/>
            <w:vAlign w:val="bottom"/>
          </w:tcPr>
          <w:p>
            <w:pPr>
              <w:spacing w:after="0"/>
              <w:rPr>
                <w:sz w:val="11"/>
                <w:szCs w:val="11"/>
                <w:color w:val="auto"/>
              </w:rPr>
            </w:pPr>
          </w:p>
        </w:tc>
        <w:tc>
          <w:tcPr>
            <w:tcW w:w="1180" w:type="dxa"/>
            <w:vAlign w:val="bottom"/>
          </w:tcPr>
          <w:p>
            <w:pPr>
              <w:jc w:val="center"/>
              <w:ind w:right="181"/>
              <w:spacing w:after="0" w:line="13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(Years)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share, life, and per share data)</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3,314,228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189,921</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(221,827)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12,034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Canceled/forfeited/expired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92.67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and exercisable as of July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3,086,213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8.03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164,855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July 31, 2024, all options have vested and there is no unrecognized stock-based compensation expense remaining.</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 summary of RSU activity under our equity incentive plan and related information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2060" w:type="dxa"/>
            <w:vAlign w:val="bottom"/>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8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Pr>
          <w:p>
            <w:pPr>
              <w:jc w:val="center"/>
              <w:ind w:right="239"/>
              <w:spacing w:after="0" w:line="126"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ind w:right="239"/>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3"/>
        </w:trPr>
        <w:tc>
          <w:tcPr>
            <w:tcW w:w="7860" w:type="dxa"/>
            <w:vAlign w:val="bottom"/>
          </w:tcPr>
          <w:p>
            <w:pPr>
              <w:spacing w:after="0"/>
              <w:rPr>
                <w:sz w:val="11"/>
                <w:szCs w:val="11"/>
                <w:color w:val="auto"/>
              </w:rPr>
            </w:pPr>
          </w:p>
        </w:tc>
        <w:tc>
          <w:tcPr>
            <w:tcW w:w="1640" w:type="dxa"/>
            <w:vAlign w:val="bottom"/>
            <w:vMerge w:val="restart"/>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1"/>
                <w:szCs w:val="11"/>
                <w:color w:val="auto"/>
              </w:rPr>
            </w:pPr>
          </w:p>
        </w:tc>
        <w:tc>
          <w:tcPr>
            <w:tcW w:w="16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 Fair Value Per</w:t>
            </w:r>
          </w:p>
        </w:tc>
        <w:tc>
          <w:tcPr>
            <w:tcW w:w="0" w:type="dxa"/>
            <w:vAlign w:val="bottom"/>
          </w:tcPr>
          <w:p>
            <w:pPr>
              <w:spacing w:after="0"/>
              <w:rPr>
                <w:sz w:val="1"/>
                <w:szCs w:val="1"/>
                <w:color w:val="auto"/>
              </w:rPr>
            </w:pPr>
          </w:p>
        </w:tc>
      </w:tr>
      <w:tr>
        <w:trPr>
          <w:trHeight w:val="184"/>
        </w:trPr>
        <w:tc>
          <w:tcPr>
            <w:tcW w:w="78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January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26,040,557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83.14</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8,361,293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(6,778,788)</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Canceled/forfeited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(1,932,193)</w:t>
            </w:r>
          </w:p>
        </w:tc>
        <w:tc>
          <w:tcPr>
            <w:tcW w:w="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81.53</w:t>
            </w:r>
          </w:p>
        </w:tc>
        <w:tc>
          <w:tcPr>
            <w:tcW w:w="0" w:type="dxa"/>
            <w:vAlign w:val="bottom"/>
          </w:tcPr>
          <w:p>
            <w:pPr>
              <w:spacing w:after="0"/>
              <w:rPr>
                <w:sz w:val="1"/>
                <w:szCs w:val="1"/>
                <w:color w:val="auto"/>
              </w:rPr>
            </w:pP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July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25,690,869</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July 31, 2024, unrecognized stock-based compensation expense related to RSUs was $1,688.1 million, which is expected to be recognized over a weighted-average period of 2.6 years.</w:t>
      </w:r>
    </w:p>
    <w:p>
      <w:pPr>
        <w:spacing w:after="0" w:line="4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For the six months ended July 31, 2024, we granted 1.7 million RSUs that contain both service and performance vesting criteria. The ultimate number of shares eligible to vest pursuant to these RSUs range from 0% to 100% of the target number of shares depending on achievement of the performance metrics. The number of RSUs with service and performance vesting conditions included in the granted amount in the table above reflects the shares that would be eligible to vest at 100% of the target amount.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2019 Employee Stock Purchase Plan</w:t>
      </w:r>
    </w:p>
    <w:p>
      <w:pPr>
        <w:spacing w:after="0" w:line="12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April 2019, we adopted the 2019 ESPP. As of July 31, 2024, unrecognized stock-based compensation expense related to the ESPP was $50.5 million, which is expected to be recognized over a weighted-average period of 1.5 years.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stock-based compensation expense by line item in the accompanying condensed consolidated statements of operations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70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6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21"/>
        </w:trPr>
        <w:tc>
          <w:tcPr>
            <w:tcW w:w="4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98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75,624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81,597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163,503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84,225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206,511</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40,829</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78,876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98,216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98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237,950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543,854</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Benefit from income taxes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(43,742)</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(98,443)</w:t>
            </w:r>
          </w:p>
        </w:tc>
        <w:tc>
          <w:tcPr>
            <w:tcW w:w="0" w:type="dxa"/>
            <w:vAlign w:val="bottom"/>
          </w:tcPr>
          <w:p>
            <w:pPr>
              <w:spacing w:after="0"/>
              <w:rPr>
                <w:sz w:val="1"/>
                <w:szCs w:val="1"/>
                <w:color w:val="auto"/>
              </w:rPr>
            </w:pPr>
          </w:p>
        </w:tc>
      </w:tr>
      <w:tr>
        <w:trPr>
          <w:trHeight w:val="150"/>
        </w:trPr>
        <w:tc>
          <w:tcPr>
            <w:tcW w:w="4400" w:type="dxa"/>
            <w:vAlign w:val="bottom"/>
            <w:shd w:val="clear" w:color="auto" w:fill="CCEEFF"/>
          </w:tcPr>
          <w:p>
            <w:pPr>
              <w:ind w:left="220"/>
              <w:spacing w:after="0" w:line="150" w:lineRule="exact"/>
              <w:rPr>
                <w:sz w:val="20"/>
                <w:szCs w:val="20"/>
                <w:color w:val="auto"/>
              </w:rPr>
            </w:pPr>
            <w:r>
              <w:rPr>
                <w:rFonts w:ascii="Times New Roman" w:cs="Times New Roman" w:eastAsia="Times New Roman" w:hAnsi="Times New Roman"/>
                <w:sz w:val="17"/>
                <w:szCs w:val="17"/>
                <w:color w:val="auto"/>
              </w:rPr>
              <w:t>Total stock-based compensation expense recorded to net</w:t>
            </w:r>
          </w:p>
        </w:tc>
        <w:tc>
          <w:tcPr>
            <w:tcW w:w="980" w:type="dxa"/>
            <w:vAlign w:val="bottom"/>
            <w:vMerge w:val="restart"/>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194,208</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212,743</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380,159</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445,411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9.</w:t>
        <w:tab/>
        <w:t>Restructuring Activities</w:t>
      </w:r>
    </w:p>
    <w:p>
      <w:pPr>
        <w:spacing w:after="0" w:line="22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On February 7, 2023, we announced a restructuring plan (the “Plan”) intended to reduce operating costs and continue advancing our ongoing commitment to profitable growth. The Plan included a reduction of our then-current workforce by approximately 15%. The execution of the Plan was completed as of July 31, 2023, and therefore no restructuring expense was recorded for the six months ended July 31, 2024.</w:t>
      </w:r>
    </w:p>
    <w:p>
      <w:pPr>
        <w:spacing w:after="0" w:line="59"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For the three months ended July 31, 2023, we recorded net restructuring (benefits) costs of $(0.2) million, which consisted of $(0.4) million related to employee transition, severance payments, and employee benefits; and $0.2 million for other related expenses. For the six months ended July 31, 2023, we recorded net restructuring costs of $73.0 million, which consisted of $54.4 million related to employee transition, severance payments, and employee benefits; $17.3 million related to stock-based compensation awards; and $1.3 million for other related expenses.</w:t>
      </w:r>
    </w:p>
    <w:p>
      <w:pPr>
        <w:spacing w:after="0" w:line="6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following table summarizes our restructuring expenses that were recorded as an operating expense in the condensed consolidated statement of operations for the three and six months ended July 31,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center"/>
              <w:ind w:right="119"/>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2"/>
                <w:szCs w:val="12"/>
                <w:color w:val="auto"/>
              </w:rPr>
            </w:pPr>
          </w:p>
        </w:tc>
        <w:tc>
          <w:tcPr>
            <w:tcW w:w="1640" w:type="dxa"/>
            <w:vAlign w:val="bottom"/>
            <w:tcBorders>
              <w:top w:val="single" w:sz="8" w:color="auto"/>
            </w:tcBorders>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Six Months Ended July 31,</w:t>
            </w:r>
          </w:p>
        </w:tc>
      </w:tr>
      <w:tr>
        <w:trPr>
          <w:trHeight w:val="190"/>
        </w:trPr>
        <w:tc>
          <w:tcPr>
            <w:tcW w:w="7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July 31, 2023</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7,119</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19,629</w:t>
            </w: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32,930</w:t>
            </w: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13,315</w:t>
            </w:r>
          </w:p>
        </w:tc>
      </w:tr>
      <w:tr>
        <w:trPr>
          <w:trHeight w:val="241"/>
        </w:trPr>
        <w:tc>
          <w:tcPr>
            <w:tcW w:w="7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restructuring (benefits)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72,993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There was no restructuring liability as of January 31, 2024 or July 31, 2024.</w:t>
      </w:r>
    </w:p>
    <w:p>
      <w:pPr>
        <w:spacing w:after="0" w:line="22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10.</w:t>
        <w:tab/>
        <w:t>Income Taxes</w:t>
      </w:r>
    </w:p>
    <w:p>
      <w:pPr>
        <w:spacing w:after="0" w:line="121"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We compute our provision for income taxes by applying the estimated annual effective tax rate to year-to-date ordinary income and adjust the provision for discrete tax items recorded in the period. In each quarter, we update the estimated annual effective tax rate and make a year-to-date adjustment to the provision.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details of the provision for income taxes: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20" w:type="dxa"/>
            <w:vAlign w:val="bottom"/>
          </w:tcPr>
          <w:p>
            <w:pPr>
              <w:spacing w:after="0"/>
              <w:rPr>
                <w:sz w:val="16"/>
                <w:szCs w:val="16"/>
                <w:color w:val="auto"/>
              </w:rPr>
            </w:pPr>
          </w:p>
        </w:tc>
        <w:tc>
          <w:tcPr>
            <w:tcW w:w="310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4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292,889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250,373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584,853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293,603</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00" w:type="dxa"/>
            <w:vAlign w:val="bottom"/>
          </w:tcPr>
          <w:p>
            <w:pPr>
              <w:spacing w:after="0"/>
              <w:rPr>
                <w:sz w:val="19"/>
                <w:szCs w:val="19"/>
                <w:color w:val="auto"/>
              </w:rPr>
            </w:pP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73,874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68,399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149,530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96,185</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32.8 %</w:t>
            </w:r>
          </w:p>
        </w:tc>
      </w:tr>
    </w:tbl>
    <w:p>
      <w:pPr>
        <w:spacing w:after="0" w:line="17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year-over-year change in effective tax rate for the three and six months ended July 31, 2024 was due primarily to the increase in income before taxes and a decrease in net tax shortfalls and windfalls on stock-based compensation. For both the three and six months ended July 31, 2024 and July 31, 2023, the effective tax rate differed from the U.S. federal statutory rate due primarily to the foreign-derived intangible income deduction and research credits offset by tax shortfalls on stock-based compensation, state income taxes, and other compensation-related permanent differences.</w:t>
      </w:r>
    </w:p>
    <w:p>
      <w:pPr>
        <w:spacing w:after="0" w:line="6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Net Income Per Share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income per share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86"/>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64,569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166,420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30,998</w:t>
            </w:r>
          </w:p>
        </w:tc>
        <w:tc>
          <w:tcPr>
            <w:tcW w:w="0" w:type="dxa"/>
            <w:vAlign w:val="bottom"/>
          </w:tcPr>
          <w:p>
            <w:pPr>
              <w:spacing w:after="0"/>
              <w:rPr>
                <w:sz w:val="1"/>
                <w:szCs w:val="1"/>
                <w:color w:val="auto"/>
              </w:rPr>
            </w:pPr>
          </w:p>
        </w:tc>
      </w:tr>
      <w:tr>
        <w:trPr>
          <w:trHeight w:val="208"/>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Reallocation of net income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185,262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368,036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67,287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164,758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Weighted-average shares</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used in computing net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263,506,853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45,630,954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252,413,018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46,680,434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263,100,802</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45,820,808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250,603,102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46,678,744</w:t>
            </w: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per share, basic</w:t>
            </w: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9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Weighted-average shares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used in computing net</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265,631,026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48,396,166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255,717,521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50,215,075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266,054,570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48,641,781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254,587,009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50,467,762</w:t>
            </w:r>
          </w:p>
        </w:tc>
        <w:tc>
          <w:tcPr>
            <w:tcW w:w="0" w:type="dxa"/>
            <w:vAlign w:val="bottom"/>
          </w:tcPr>
          <w:p>
            <w:pPr>
              <w:spacing w:after="0"/>
              <w:rPr>
                <w:sz w:val="1"/>
                <w:szCs w:val="1"/>
                <w:color w:val="auto"/>
              </w:rPr>
            </w:pPr>
          </w:p>
        </w:tc>
      </w:tr>
      <w:tr>
        <w:trPr>
          <w:trHeight w:val="208"/>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per share, diluted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Net income per share,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Net income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900" w:type="dxa"/>
            <w:vAlign w:val="bottom"/>
            <w:vMerge w:val="continue"/>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8"/>
                <w:szCs w:val="8"/>
                <w:color w:val="auto"/>
              </w:rPr>
            </w:pP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8"/>
                <w:szCs w:val="8"/>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8"/>
                <w:szCs w:val="8"/>
                <w:color w:val="auto"/>
              </w:rPr>
            </w:pPr>
          </w:p>
        </w:tc>
        <w:tc>
          <w:tcPr>
            <w:tcW w:w="1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8"/>
                <w:szCs w:val="8"/>
                <w:color w:val="auto"/>
              </w:rPr>
            </w:pPr>
          </w:p>
        </w:tc>
        <w:tc>
          <w:tcPr>
            <w:tcW w:w="26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0.65</w:t>
            </w:r>
          </w:p>
        </w:tc>
        <w:tc>
          <w:tcPr>
            <w:tcW w:w="80" w:type="dxa"/>
            <w:vAlign w:val="bottom"/>
          </w:tcPr>
          <w:p>
            <w:pPr>
              <w:spacing w:after="0"/>
              <w:rPr>
                <w:sz w:val="8"/>
                <w:szCs w:val="8"/>
                <w:color w:val="auto"/>
              </w:rPr>
            </w:pP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188"/>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potential shares of common stock that were excluded from the computation of diluted net income per share for the periods presented, because including them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6"/>
                <w:szCs w:val="16"/>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9,214,305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12,596,651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10,083,918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18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Purchase rights committed</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2,436,546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2,347,590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1,738,415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2,208,209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the ESPP</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116,349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17,384,197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11,670,542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14,434,688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12,408,476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table above does not include 405,156 shares of issued Class A common stock held by us as of July 31, 2024 and 2023 that are reserved for the sole purpose of being transferred to nonprofit organizations.</w:t>
      </w:r>
    </w:p>
    <w:p>
      <w:pPr>
        <w:spacing w:after="0" w:line="1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mission is to provide one platform that delivers limitless human connection. Our culture of delivering happiness drives our mission and values and is fundamental to everything we do at Zoom.</w:t>
      </w:r>
    </w:p>
    <w:p>
      <w:pPr>
        <w:spacing w:after="0" w:line="4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Zoom Workplace with AI Companion, which includes collaboration solutions such as meetings, team chat, phone, scheduler, docs, whiteboard, spaces, Workvivo, and more, empowers teams to work happy. Together with Zoom Workplace,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Zoom’s Business Services for sales, marketing, and customer care teams, including Zoom Contact Center, strengthen customer relationships throughout the customer lifecycle. Trust is a cornerstone of the Zoom platform. We equip users with a comprehensive set of tools to make their interactions safe, secure, and private. We believe that strong security should never compromise a great user experience.</w:t>
      </w:r>
    </w:p>
    <w:p>
      <w:pPr>
        <w:spacing w:after="0" w:line="59"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AI has been core to Zoom’s product DNA for many years, grounded in our conviction that AI can make work more human by strengthening collaboration, productivity, and inclusivity. We continue to invest in AI and focus on three key areas regarding AI innovation: supporting individual productivity, powering better collaboration, and helping customer-facing teams delight their customers. We launched Zoom AI Companion, our generative AI assistant that is designed to empower workers to increase productivity, improve team effectiveness, and enhance skills. Additionally, we introduced our federated approach to AI, which enables us to make Zoom’s AI capabilities accessible and affordable so that more people can incorporate them into their day-to-day workflows. In line with our commitment to responsible AI, Zoom does not use customer audio, video, chat, screen sharing, attachments, or other communications (such as poll results, whiteboard, and reactions) to train Zoom’s or third-party AI models.</w:t>
      </w:r>
    </w:p>
    <w:p>
      <w:pPr>
        <w:spacing w:after="0" w:line="72"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We believe that face-to-face communications build greater empathy and trust. We strive to live up to the trust our customers place in us by delivering a communications solution while prioritizing their privacy and security. Our 32 co-located data centers worldwide and the public cloud, in conjunction with our proprietary adaptive rate codec, enable us to provide both high-quality and high-definition real-time video to our customers, even in low-bandwidth environments.</w:t>
      </w:r>
    </w:p>
    <w:p>
      <w:pPr>
        <w:spacing w:after="0" w:line="274"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generate revenue from the sale of subscriptions to Zoom Workplace and Zoom Business Services. Subscription revenue is driven primarily by the number of customers, as well as purchases of additional products, including Zoom Phone, Zoom Spaces, Zoom Events, Zoom Contact Center, and Zoom Revenue Accelerator. We define a customer as a separate and distinct buying entity, which can be a single paid user or an organization of any size (including a distinct unit of an organization) that has multiple users. Our Zoom Workplace Basic offering is free and gives users access to Zoom Meetings with core features but with the limitation that meetings time-out at 40 minutes. Our core paid offerings are available with our Zoom Workplace bundles: Zoom Workplace Pro, Business, Business Plus, Enterprise, Enterprise Plus, and Enterprise Premier. The Zoom Workplace bundles are designed for different business needs and are composed of Zoom Meetings, Zoom Team Chat, Zoom Whiteboard and Mail and Calendar, Zoom Clips, as well as Zoom Phone, Zoom Webinars and Zoom Rooms for our Enterprise plans. We also offer vertical-specific plans for Education, Healthcare, and Government which provide incremental features and functionality, such as different participant limits, administrative controls, and reporting.</w:t>
      </w:r>
    </w:p>
    <w:p>
      <w:pPr>
        <w:spacing w:after="0" w:line="7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Zoom Phone, plans include Zoom Phone Pro, which provides extension-to-extension calling or which can be used with the Bring Your Own Carrier model, wherein the customer connects Zoom Phone to an existing carrier. We also offer Regional Unlimited and Regional Metered calling plans in four specific markets (Australia/New Zealand, Japan, United Kingdom/Ireland, and United States/Canada). In addition, we offer a Global Select plan that allows customers to select from local numbers and domestic calling in more than 45 countries and territories where Zoom has local public switched telephone network (“PSTN”) coverage.</w:t>
      </w:r>
    </w:p>
    <w:p>
      <w:pPr>
        <w:spacing w:after="0" w:line="65"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revenue was $1,162.5 million and $1,138.7 million for the three months ended July 31, 2024 and 2023, respectively, representing period-over-period growth of 2.1%. We had net income of $219.0 million and $182.0 million for the three months ended July 31, 2024 and 2023, respectively. Our revenue was $2,303.8 million and $2,244.0 million for the six months ended July 31, 2024 and 2023, respectively, representing period-over-period growth of 2.7%. We had net income of $435.3 million and $197.4 million for the six months ended July 31, 2024 and 2023, respectively. Net cash provided by operating activities was $1,037.5 million and $754.5 million for the six months ended July 31, 2024 and 2023,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Conditions and Other Factors</w:t>
      </w:r>
    </w:p>
    <w:p>
      <w:pPr>
        <w:spacing w:after="0" w:line="121"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Macroeconomic factors, including geopolitical conflicts, global economic slowdown, high inflation, high interest rates, and the responses by central banking authorities, and fluctuations in foreign currency exchange rates, have introduced uncertainty to our business. For the three and six months ended July 31, 2024, compared to the three and six months ended July 31, 2023, we continued to experience growth in total revenue and revenue from Enterprise customers. However, macroeconomic conditions have impacted and may continue to impact the future demand for subscriptions to our unified communications and collaboration platform. For example, we have been experiencing elongated sales cycles as well as a decrease in customers’ overall corporate spending and increased scrutiny on IT spending, in particular, from existing and potential customers. Many factors may contribute to declines in our growth rate as compared to prior fiscal years, including, among other things, higher market penetration, increased competition, slowing demand for our platform, a slower than anticipated capitalization on growth opportunities, and the maturation of our business.</w:t>
      </w:r>
    </w:p>
    <w:p>
      <w:pPr>
        <w:spacing w:after="0" w:line="7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Refer to “Part II—Other Information, Item 1A. Risk Factors” of this Quarterly Report on Form 10-Q for further discussions of the potential impacts of the current macroeconomic conditions on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Acquiring New Customers</w:t>
      </w:r>
    </w:p>
    <w:p>
      <w:pPr>
        <w:spacing w:after="0" w:line="12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are focused on continuing to grow the number of customers that use Zoom Workplace and Zoom Business Services.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Expansion of Zoom Across Existing Enterprise Customers</w:t>
      </w:r>
    </w:p>
    <w:p>
      <w:pPr>
        <w:spacing w:after="0" w:line="123"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We believe that there is a large opportunity for growth with many of our existing customers. Historically, customers have increased the size of their subscriptions as they have expanded their use of our platform across their operations. Despite recent macroeconomic headwinds that have impacted the rate of expansion and caused it to drop below one hundred percent, we believe there are still opportunities for future growth with our existing customers as we innovate our platform with additional product offerings and the use of AI. This expansion in the use of our platform also provides us with opportunities to market and sell additional products to our customers, such as Zoom Phone, Spaces, Contact Center, Revenue Accelerator, Events, and our Developer Platform Solutions.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spacing w:after="0" w:line="72"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58.7% and 57.9% of total revenue for the three months ended July 31, 2024 and 2023, respectively, and 58.5% and 57.6% of total revenue for the six months ended July 31, 2024 and 2023, respectively. Our net dollar expansion rate includes the increase in user adoption within our Enterprise customers, as our subscription revenue is primarily driven by the number of paid users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as of July 31, 2024 and 2023 was 98% and 109%, respectively.</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Retention of Online Customers</w:t>
      </w:r>
    </w:p>
    <w:p>
      <w:pPr>
        <w:spacing w:after="0" w:line="12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addition to Enterprise customers, we also have a significant number of customers that subscribe to our services directly through our website (“Online customers” or “Online business”). Online customers represent a diverse customer base, ranging from individual users to small and medium size businesses. We continue to focus on acquisition and retention of our Online customers through various strategies to improve the features and functionalities of our products and services. Revenue from Online customers represented 41.3% and 42.1% of total revenue for the three months ended July 31, 2024 and 2023, respectively, and 41.5% and 42.4% of total revenue for the six months ended July 31, 2024 and 2023, respectively. Our ability to retain these Online customers will have an impact on our future revenue. The online monthly average churn for our Online customers was 2.9% and 3.2% per month for the three months ended July 31, 2024 and 2023, respectively, and 3.1% and 3.2% of total revenue for the six months ended July 31, 2024 and 2023, respectively. One of the dynamics in the Online business is the MRR contribution from customers that have retained Zoom services for a certain portion of time as these customers tend to maintain their subscriptions and contribute meaningfully to the Online business. As of July 31, 2024 and 2023, the percentage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total Online MRR from Online customers with a continual term of service of at least 16 months was 74.4% and 72.8%, respectively.</w:t>
      </w:r>
    </w:p>
    <w:p>
      <w:pPr>
        <w:spacing w:after="0" w:line="11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We calculate the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divided that amount by three to calculate the Online average monthly churn for the applicable quarter.</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Innovation and Expansion of Our Platform</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continue to invest resources to enhance the capabilities of Zoom Workplace and Zoom Business Services. For example, we have introduced a number of new products and enhancements, including Zoom AI Companion, Zoom Docs, new features for Zoom Contact Center, Zoom Notes, the integration of Workvivo into the Zoom desktop client, and ongoing enhancements for Zoom Phone, Meetings, Zoom Rooms, Huddles, Webinars, and Zoom Events. We also deliver Zoom Phone calling plans in more than 45 countries and territories as of July 31, 2024.</w:t>
      </w:r>
    </w:p>
    <w:p>
      <w:pPr>
        <w:spacing w:after="0" w:line="6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We recently announced several upcoming products including an enhanced version of AI Companion designed to handle complex tasks across our platform using information from multiple sources, including third-party applications. These products are expected to be generally available in 2024.</w:t>
      </w:r>
    </w:p>
    <w:p>
      <w:pPr>
        <w:spacing w:after="0" w:line="4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63"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An end-to-end encryption (“E2EE”) option is available to free and paid Zoom customers globally who host meetings with up to 1,000 participants as well as on Zoom Phone for one-on-one calls on the same Zoom account. Zoom’s E2EE uses the same 256-bit AES-GCM encryption to encrypt real-time media in meetings during transit that supports standard Zoom Meetings, but with Zoom’s E2EE, the feature is designed so that the device of the meeting host, or originating caller in the case of Zoom Phone, as opposed to Zoom's servers, generates encryption keys and uses public key cryptography to distribute these keys to the other meeting participants or call recipient. Additionally, Zoom recently announced that post-quantum E2EE is now globally available for Zoom Workplace, specifically for Zoom Meetings and Zoom Phone, with support for Zoom Rooms coming soon. We believe that the launch of the new security enhancement makes Zoom the first UCaaS company to offer a post-quantum E2EE solution for video conferencing.</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International Opportunity</w:t>
      </w:r>
    </w:p>
    <w:p>
      <w:pPr>
        <w:spacing w:after="0" w:line="123"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Our platform addresses the communications and collaboration needs of users worldwide, and we see international expansion as a major opportunity. Our revenue from the rest of the world (APAC and EMEA) represented 28.1% and 29.0% of our total revenue for the three months ended July 31, 2024 and 2023, respectively, and 28.2% and 29.0% of our total revenue for the six months ended July 31, 2024 and 2023,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review the following key business metrics to measure our performance, identify trends, formulate financial projections, and make strategic decisions.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Number of Enterprise Customers</w:t>
      </w:r>
    </w:p>
    <w:p>
      <w:pPr>
        <w:spacing w:after="0" w:line="123"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revenue from Enterprise customers to represent a larger share of our business. As of July 31, 2024 and 2023, we had approximately 191,600 and 218,100 Enterprise customers,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respectively. During the three months ended April 30, 2024, in order to enhance customer experience and improve efficiency, we transitioned approximately 26,800 Enterprise customers with lower MRR away from working with direct sales teams, resellers, or strategic partners. These customers are now considered Online customers and no longer included in our Enterprise customer total as of July 31, 2024. The impact of this transition did not have a material impact on the percent of revenue from Enterprise and Online customers, net dollar expansion rate, or Online average monthly churn.</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Customers Contributing More Than $100,000 of Trailing 12 Months Revenue</w:t>
      </w:r>
    </w:p>
    <w:p>
      <w:pPr>
        <w:spacing w:after="0" w:line="12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focus on growing the number of customers that contribute more than $100,000 of trailing 12 months revenue as it is a measure of our ability to scale with our customers and attract larger organizations to Zoom. Revenue from these customers represented 30.5% and 29.0% of total revenue for the three months ended July 31, 2024 and 2023, respectively, and 30.4% and 28.9% of total revenue for the six months ended July 31, 2024 and 2023, respectively. As of July 31, 2024 and 2023, we had 3,933 and 3,672 customers, respectively, that contributed more than $100,000 of trailing 12 months revenue, demonstrating our increasing penetration of larger organizations, including enterprises. These customers are a subset of Enterprise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2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addition to our results determined in accordance with GAAP, we believe that free cash flow (“FCF”) is a non-GAAP financial measure that is useful in evaluating our liquidity.</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67"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1"/>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1,037,525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754,458</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(68,426)</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7"/>
                <w:szCs w:val="17"/>
                <w:color w:val="auto"/>
              </w:rPr>
              <w:t>Free cash flow (non-GAAP)</w:t>
            </w:r>
          </w:p>
        </w:tc>
        <w:tc>
          <w:tcPr>
            <w:tcW w:w="380" w:type="dxa"/>
            <w:vAlign w:val="bottom"/>
            <w:tcBorders>
              <w:bottom w:val="single" w:sz="8" w:color="auto"/>
            </w:tcBorders>
            <w:shd w:val="clear" w:color="auto" w:fill="CCEEFF"/>
          </w:tcPr>
          <w:p>
            <w:pPr>
              <w:jc w:val="right"/>
              <w:ind w:right="19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934,783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686,032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20" w:type="dxa"/>
            <w:vAlign w:val="bottom"/>
            <w:vMerge w:val="continue"/>
          </w:tcPr>
          <w:p>
            <w:pPr>
              <w:spacing w:after="0"/>
              <w:rPr>
                <w:sz w:val="16"/>
                <w:szCs w:val="16"/>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(648,734)</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(500,146)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(398,716)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2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21"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2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Gains on Strategic Investments, Net</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Gains on strategic investments, net consist primarily of remeasurement gains on our equity investments.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Other income, net consists primarily of interest income and net accretion on our marketable securities and effect of changes in foreign currency exchange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21"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The following tables set forth selected condensed consolidated statements of operations data and such data as a percentage of revenue for each of the periods indicated: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40" w:type="dxa"/>
            <w:vAlign w:val="bottom"/>
          </w:tcPr>
          <w:p>
            <w:pPr>
              <w:spacing w:after="0"/>
              <w:rPr>
                <w:sz w:val="16"/>
                <w:szCs w:val="16"/>
                <w:color w:val="auto"/>
              </w:rPr>
            </w:pPr>
          </w:p>
        </w:tc>
        <w:tc>
          <w:tcPr>
            <w:tcW w:w="284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1,138,676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2,303,754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2,244,040</w:t>
            </w:r>
          </w:p>
        </w:tc>
      </w:tr>
      <w:tr>
        <w:trPr>
          <w:trHeight w:val="223"/>
        </w:trPr>
        <w:tc>
          <w:tcPr>
            <w:tcW w:w="4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Cost of revenue </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266,559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558,391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530,506</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872,117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1,745,363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1,713,534</w:t>
            </w: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440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Research and development </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191,802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401,073</w:t>
            </w:r>
          </w:p>
        </w:tc>
      </w:tr>
      <w:tr>
        <w:trPr>
          <w:trHeight w:val="223"/>
        </w:trPr>
        <w:tc>
          <w:tcPr>
            <w:tcW w:w="4400" w:type="dxa"/>
            <w:vAlign w:val="bottom"/>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Sales and marketing </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358,770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373,373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795,877</w:t>
            </w:r>
          </w:p>
        </w:tc>
      </w:tr>
      <w:tr>
        <w:trPr>
          <w:trHeight w:val="223"/>
        </w:trPr>
        <w:tc>
          <w:tcPr>
            <w:tcW w:w="440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General and administrative </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129,324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329,224</w:t>
            </w:r>
          </w:p>
        </w:tc>
      </w:tr>
      <w:tr>
        <w:trPr>
          <w:trHeight w:val="216"/>
        </w:trPr>
        <w:tc>
          <w:tcPr>
            <w:tcW w:w="4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675,061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694,499</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1,339,971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1,526,174</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187,360</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31,670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33,945</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72,298</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292,889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250,373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584,853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293,603</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96,185</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219,015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181,974</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435,323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197,418</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00" w:hanging="178"/>
        <w:spacing w:after="0"/>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540" w:type="dxa"/>
            <w:vAlign w:val="bottom"/>
            <w:shd w:val="clear" w:color="auto" w:fill="CFF0FC"/>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31,299</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37,535</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62,874</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75,624</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82,037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163,503</w:t>
            </w:r>
          </w:p>
        </w:tc>
      </w:tr>
      <w:tr>
        <w:trPr>
          <w:trHeight w:val="22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84,225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93,918</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161,459</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206,511</w:t>
            </w:r>
          </w:p>
        </w:tc>
      </w:tr>
      <w:tr>
        <w:trPr>
          <w:trHeight w:val="223"/>
        </w:trPr>
        <w:tc>
          <w:tcPr>
            <w:tcW w:w="44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40,829</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48,019</w:t>
            </w: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78,876</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98,216</w:t>
            </w:r>
          </w:p>
        </w:tc>
      </w:tr>
      <w:tr>
        <w:trPr>
          <w:trHeight w:val="241"/>
        </w:trPr>
        <w:tc>
          <w:tcPr>
            <w:tcW w:w="44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540" w:type="dxa"/>
            <w:vAlign w:val="bottom"/>
            <w:tcBorders>
              <w:bottom w:val="single" w:sz="8" w:color="auto"/>
            </w:tcBorders>
            <w:shd w:val="clear" w:color="auto" w:fill="CFF0FC"/>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237,950</w:t>
            </w: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261,509</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467,375</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543,854</w:t>
            </w: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35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500" w:type="dxa"/>
            <w:vAlign w:val="bottom"/>
            <w:gridSpan w:val="3"/>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416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7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4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1720" w:type="dxa"/>
            <w:vAlign w:val="bottom"/>
          </w:tcPr>
          <w:p>
            <w:pPr>
              <w:spacing w:after="0"/>
              <w:rPr>
                <w:sz w:val="18"/>
                <w:szCs w:val="18"/>
                <w:color w:val="auto"/>
              </w:rPr>
            </w:pPr>
          </w:p>
        </w:tc>
      </w:tr>
      <w:tr>
        <w:trPr>
          <w:trHeight w:val="23"/>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tcPr>
          <w:p>
            <w:pPr>
              <w:spacing w:after="0"/>
              <w:rPr>
                <w:sz w:val="19"/>
                <w:szCs w:val="19"/>
                <w:color w:val="auto"/>
              </w:rPr>
            </w:pPr>
          </w:p>
        </w:tc>
        <w:tc>
          <w:tcPr>
            <w:tcW w:w="16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24.2</w:t>
            </w:r>
          </w:p>
        </w:tc>
        <w:tc>
          <w:tcPr>
            <w:tcW w:w="8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23.6</w:t>
            </w: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76.6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76.4</w:t>
            </w: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3"/>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17.9</w:t>
            </w:r>
          </w:p>
        </w:tc>
      </w:tr>
      <w:tr>
        <w:trPr>
          <w:trHeight w:val="223"/>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30.9</w:t>
            </w:r>
          </w:p>
        </w:tc>
        <w:tc>
          <w:tcPr>
            <w:tcW w:w="120" w:type="dxa"/>
            <w:vAlign w:val="bottom"/>
          </w:tcPr>
          <w:p>
            <w:pPr>
              <w:spacing w:after="0"/>
              <w:rPr>
                <w:sz w:val="19"/>
                <w:szCs w:val="19"/>
                <w:color w:val="auto"/>
              </w:rPr>
            </w:pPr>
          </w:p>
        </w:tc>
        <w:tc>
          <w:tcPr>
            <w:tcW w:w="16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35.5</w:t>
            </w:r>
          </w:p>
        </w:tc>
      </w:tr>
      <w:tr>
        <w:trPr>
          <w:trHeight w:val="223"/>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14.6</w:t>
            </w:r>
          </w:p>
        </w:tc>
      </w:tr>
      <w:tr>
        <w:trPr>
          <w:trHeight w:val="216"/>
        </w:trPr>
        <w:tc>
          <w:tcPr>
            <w:tcW w:w="4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58.2</w:t>
            </w:r>
          </w:p>
        </w:tc>
        <w:tc>
          <w:tcPr>
            <w:tcW w:w="80" w:type="dxa"/>
            <w:vAlign w:val="bottom"/>
            <w:tcBorders>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68.0</w:t>
            </w: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9"/>
                <w:szCs w:val="19"/>
                <w:color w:val="auto"/>
              </w:rPr>
            </w:pPr>
          </w:p>
        </w:tc>
        <w:tc>
          <w:tcPr>
            <w:tcW w:w="16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9"/>
                <w:szCs w:val="19"/>
                <w:color w:val="auto"/>
              </w:rPr>
            </w:pPr>
          </w:p>
        </w:tc>
        <w:tc>
          <w:tcPr>
            <w:tcW w:w="1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8"/>
                <w:szCs w:val="18"/>
                <w:color w:val="auto"/>
              </w:rPr>
            </w:pPr>
          </w:p>
        </w:tc>
        <w:tc>
          <w:tcPr>
            <w:tcW w:w="16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tcPr>
          <w:p>
            <w:pPr>
              <w:spacing w:after="0"/>
              <w:rPr>
                <w:sz w:val="18"/>
                <w:szCs w:val="18"/>
                <w:color w:val="auto"/>
              </w:rPr>
            </w:pPr>
          </w:p>
        </w:tc>
        <w:tc>
          <w:tcPr>
            <w:tcW w:w="17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13.1</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r>
      <w:tr>
        <w:trPr>
          <w:trHeight w:val="21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18.9 %</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8.8 %</w:t>
            </w:r>
          </w:p>
        </w:tc>
      </w:tr>
      <w:tr>
        <w:trPr>
          <w:trHeight w:val="20"/>
        </w:trPr>
        <w:tc>
          <w:tcPr>
            <w:tcW w:w="4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817"/>
        </w:trPr>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1"/>
        </w:trPr>
        <w:tc>
          <w:tcPr>
            <w:tcW w:w="4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July 31, 2024 and 2023</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1,162,520</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1,138,676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2.1 %</w:t>
            </w: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231F20"/>
        </w:rPr>
        <w:t xml:space="preserve">Revenue for the three months ended July 31, 2024, increased by $23.8 million, or 2.1%, compared to the three months ended July 31, 2023. The </w:t>
      </w:r>
      <w:r>
        <w:rPr>
          <w:rFonts w:ascii="Times New Roman" w:cs="Times New Roman" w:eastAsia="Times New Roman" w:hAnsi="Times New Roman"/>
          <w:sz w:val="17"/>
          <w:szCs w:val="17"/>
          <w:color w:val="000000"/>
        </w:rPr>
        <w:t>increase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was driven by a 3.5% increase in revenue from Enterprise customers, of which 24.8% and 75.2% were from existing and new customers, respectively. Revenue from Online customers remained flat year over year.</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30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285,089</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rPr>
              <w:t>266,559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7.0 %</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9"/>
                <w:szCs w:val="19"/>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877,431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872,117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2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75.5 %</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76.6 %</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bl>
    <w:p>
      <w:pPr>
        <w:spacing w:after="0" w:line="27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231F20"/>
        </w:rPr>
        <w:t xml:space="preserve">Cost of revenue for the three months ended July 31, 2024, increased by $18.5 million, or 7.0%, compared to the three months ended July 31, 2023. The </w:t>
      </w:r>
      <w:r>
        <w:rPr>
          <w:rFonts w:ascii="Times New Roman" w:cs="Times New Roman" w:eastAsia="Times New Roman" w:hAnsi="Times New Roman"/>
          <w:sz w:val="17"/>
          <w:szCs w:val="17"/>
          <w:color w:val="000000"/>
        </w:rPr>
        <w:t xml:space="preserve">increase </w:t>
      </w:r>
      <w:r>
        <w:rPr>
          <w:rFonts w:ascii="Times New Roman" w:cs="Times New Roman" w:eastAsia="Times New Roman" w:hAnsi="Times New Roman"/>
          <w:sz w:val="17"/>
          <w:szCs w:val="17"/>
          <w:color w:val="231F20"/>
        </w:rPr>
        <w:t>was primarily due to a $23.4 million</w:t>
      </w:r>
      <w:r>
        <w:rPr>
          <w:rFonts w:ascii="Times New Roman" w:cs="Times New Roman" w:eastAsia="Times New Roman" w:hAnsi="Times New Roman"/>
          <w:sz w:val="17"/>
          <w:szCs w:val="17"/>
          <w:color w:val="000000"/>
        </w:rPr>
        <w:t xml:space="preserve"> increase </w:t>
      </w:r>
      <w:r>
        <w:rPr>
          <w:rFonts w:ascii="Times New Roman" w:cs="Times New Roman" w:eastAsia="Times New Roman" w:hAnsi="Times New Roman"/>
          <w:sz w:val="17"/>
          <w:szCs w:val="17"/>
          <w:color w:val="231F20"/>
        </w:rPr>
        <w:t>in hosting and infrastructure costs, partially offset by a $6.2 million</w:t>
      </w:r>
      <w:r>
        <w:rPr>
          <w:rFonts w:ascii="Times New Roman" w:cs="Times New Roman" w:eastAsia="Times New Roman" w:hAnsi="Times New Roman"/>
          <w:sz w:val="17"/>
          <w:szCs w:val="17"/>
          <w:color w:val="000000"/>
        </w:rPr>
        <w:t xml:space="preserve"> decrease </w:t>
      </w:r>
      <w:r>
        <w:rPr>
          <w:rFonts w:ascii="Times New Roman" w:cs="Times New Roman" w:eastAsia="Times New Roman" w:hAnsi="Times New Roman"/>
          <w:sz w:val="17"/>
          <w:szCs w:val="17"/>
          <w:color w:val="231F20"/>
        </w:rPr>
        <w:t>in stock-based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compensation. The increase in hosting costs was due to the increased use of AI functionality along with investments to upgrade our data center backbone.</w:t>
      </w:r>
    </w:p>
    <w:p>
      <w:pPr>
        <w:spacing w:after="0" w:line="59"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 xml:space="preserve">Gross margin decreased to 75.5% for the three months ended </w:t>
      </w:r>
      <w:r>
        <w:rPr>
          <w:rFonts w:ascii="Times New Roman" w:cs="Times New Roman" w:eastAsia="Times New Roman" w:hAnsi="Times New Roman"/>
          <w:sz w:val="17"/>
          <w:szCs w:val="17"/>
          <w:color w:val="231F20"/>
        </w:rPr>
        <w:t>July 31, 2024, from</w:t>
      </w:r>
      <w:r>
        <w:rPr>
          <w:rFonts w:ascii="Times New Roman" w:cs="Times New Roman" w:eastAsia="Times New Roman" w:hAnsi="Times New Roman"/>
          <w:sz w:val="17"/>
          <w:szCs w:val="17"/>
          <w:color w:val="auto"/>
        </w:rPr>
        <w:t xml:space="preserve"> 76.6% for the three months ended </w:t>
      </w:r>
      <w:r>
        <w:rPr>
          <w:rFonts w:ascii="Times New Roman" w:cs="Times New Roman" w:eastAsia="Times New Roman" w:hAnsi="Times New Roman"/>
          <w:sz w:val="17"/>
          <w:szCs w:val="17"/>
          <w:color w:val="231F20"/>
        </w:rPr>
        <w:t>July 31, 2023. The decrease in gross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margin was mainly due to costs associated with the </w:t>
      </w:r>
      <w:r>
        <w:rPr>
          <w:rFonts w:ascii="Times New Roman" w:cs="Times New Roman" w:eastAsia="Times New Roman" w:hAnsi="Times New Roman"/>
          <w:sz w:val="17"/>
          <w:szCs w:val="17"/>
          <w:color w:val="000000"/>
        </w:rPr>
        <w:t>increased use of</w:t>
      </w:r>
      <w:r>
        <w:rPr>
          <w:rFonts w:ascii="Times New Roman" w:cs="Times New Roman" w:eastAsia="Times New Roman" w:hAnsi="Times New Roman"/>
          <w:sz w:val="17"/>
          <w:szCs w:val="17"/>
          <w:color w:val="231F20"/>
        </w:rPr>
        <w:t xml:space="preserve"> AI functionality along with investments to upgrade our data center backbone.</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206,756</w:t>
            </w:r>
          </w:p>
        </w:tc>
        <w:tc>
          <w:tcPr>
            <w:tcW w:w="6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191,802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7.8 %</w:t>
            </w: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231F20"/>
        </w:rPr>
        <w:t xml:space="preserve">Research and development expense for the three months ended July 31, 2024 increased by $15.0 million, or 7.8%, compared to the three months ended July 31, 2023. The increase was primarily driven by our continued investments in AI-first innovation, which consisted of a $10.4 million </w:t>
      </w:r>
      <w:r>
        <w:rPr>
          <w:rFonts w:ascii="Times New Roman" w:cs="Times New Roman" w:eastAsia="Times New Roman" w:hAnsi="Times New Roman"/>
          <w:sz w:val="17"/>
          <w:szCs w:val="17"/>
          <w:color w:val="000000"/>
        </w:rPr>
        <w:t>increase</w:t>
      </w:r>
      <w:r>
        <w:rPr>
          <w:rFonts w:ascii="Times New Roman" w:cs="Times New Roman" w:eastAsia="Times New Roman" w:hAnsi="Times New Roman"/>
          <w:sz w:val="17"/>
          <w:szCs w:val="17"/>
          <w:color w:val="231F20"/>
        </w:rPr>
        <w:t xml:space="preserve"> in salaries, payroll taxes and benefits as a result of increased headcount. The remaining increase is due to costs from AI-related software and facilities used in development.</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358,770</w:t>
            </w:r>
          </w:p>
        </w:tc>
        <w:tc>
          <w:tcPr>
            <w:tcW w:w="6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373,373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231F20"/>
        </w:rPr>
        <w:t xml:space="preserve">Sales and marketing expense for the three months ended July 31, 2024, decreased by $14.6 million, or 3.9%, compared to the three months ended July 31, 2023. The decrease was primarily due to a </w:t>
      </w:r>
      <w:r>
        <w:rPr>
          <w:rFonts w:ascii="Times New Roman" w:cs="Times New Roman" w:eastAsia="Times New Roman" w:hAnsi="Times New Roman"/>
          <w:sz w:val="17"/>
          <w:szCs w:val="17"/>
          <w:color w:val="000000"/>
        </w:rPr>
        <w:t>$8.7 million decrease in marketing spend, and a $3.0 million decrease in personnel-related expenses, including a $9.7</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million decrease </w:t>
      </w:r>
      <w:r>
        <w:rPr>
          <w:rFonts w:ascii="Times New Roman" w:cs="Times New Roman" w:eastAsia="Times New Roman" w:hAnsi="Times New Roman"/>
          <w:sz w:val="17"/>
          <w:szCs w:val="17"/>
          <w:color w:val="231F20"/>
        </w:rPr>
        <w:t>in</w:t>
      </w:r>
      <w:r>
        <w:rPr>
          <w:rFonts w:ascii="Times New Roman" w:cs="Times New Roman" w:eastAsia="Times New Roman" w:hAnsi="Times New Roman"/>
          <w:sz w:val="17"/>
          <w:szCs w:val="17"/>
          <w:color w:val="000000"/>
        </w:rPr>
        <w:t xml:space="preserve"> stock-based compensation expense,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partially offset by a $5.8 million increase in salaries, payroll taxes and benefits; and a $1.2 million decrease in commissions expense, which includes both internal and external costs.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109,535</w:t>
            </w:r>
          </w:p>
        </w:tc>
        <w:tc>
          <w:tcPr>
            <w:tcW w:w="6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129,324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w:t>
            </w: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231F20"/>
        </w:rPr>
        <w:t>General and administrative expense for the three months ended July 31, 2024, decreased by $19.8 million, or 15.3%, compared to the three months ended July 31, 2023. The decrease was primarily due to a $8.3 million decrease in personnel-related expenses, including a $7.2 million decrease in stock-based compe</w:t>
      </w:r>
      <w:r>
        <w:rPr>
          <w:rFonts w:ascii="Times New Roman" w:cs="Times New Roman" w:eastAsia="Times New Roman" w:hAnsi="Times New Roman"/>
          <w:sz w:val="17"/>
          <w:szCs w:val="17"/>
          <w:color w:val="000000"/>
        </w:rPr>
        <w:t>nsation expense; and a</w:t>
      </w:r>
      <w:r>
        <w:rPr>
          <w:rFonts w:ascii="Times New Roman" w:cs="Times New Roman" w:eastAsia="Times New Roman" w:hAnsi="Times New Roman"/>
          <w:sz w:val="17"/>
          <w:szCs w:val="17"/>
          <w:color w:val="231F20"/>
        </w:rPr>
        <w:t xml:space="preserve"> $7.1 million </w:t>
      </w:r>
      <w:r>
        <w:rPr>
          <w:rFonts w:ascii="Times New Roman" w:cs="Times New Roman" w:eastAsia="Times New Roman" w:hAnsi="Times New Roman"/>
          <w:sz w:val="17"/>
          <w:szCs w:val="17"/>
          <w:color w:val="000000"/>
        </w:rPr>
        <w:t>decrease in legal expenses, including litigation settlements.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Gains on Strategic Investments,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900" w:type="dxa"/>
            <w:vAlign w:val="bottom"/>
            <w:shd w:val="clear" w:color="auto" w:fill="CFF0FC"/>
          </w:tcPr>
          <w:p>
            <w:pPr>
              <w:jc w:val="right"/>
              <w:ind w:right="721"/>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6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31,670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(90.2)%</w:t>
            </w:r>
          </w:p>
        </w:tc>
      </w:tr>
    </w:tbl>
    <w:p>
      <w:pPr>
        <w:spacing w:after="0" w:line="27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231F20"/>
        </w:rPr>
        <w:t>Gains on strategic investments, net for the three months ended July 31, 2024, decreased by $28.6 million, or 90.2%, compared to the three months ended July 31, 2023. The decrease was mainly due to changes in the valuations of our publicly held securities.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86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87,412</w:t>
            </w:r>
          </w:p>
        </w:tc>
        <w:tc>
          <w:tcPr>
            <w:tcW w:w="6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41,085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112.8 %</w:t>
            </w:r>
          </w:p>
        </w:tc>
      </w:tr>
    </w:tbl>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231F20"/>
        </w:rPr>
        <w:t>Other income, net for the three months ended July 31, 2024, increased by $46.3 million, or 112.8%, compared to the three months ended July 31,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 xml:space="preserve">The increase was mainly due to a $44.8 million </w:t>
      </w:r>
      <w:r>
        <w:rPr>
          <w:rFonts w:ascii="Times New Roman" w:cs="Times New Roman" w:eastAsia="Times New Roman" w:hAnsi="Times New Roman"/>
          <w:sz w:val="17"/>
          <w:szCs w:val="17"/>
          <w:color w:val="000000"/>
        </w:rPr>
        <w:t>increase</w:t>
      </w:r>
      <w:r>
        <w:rPr>
          <w:rFonts w:ascii="Times New Roman" w:cs="Times New Roman" w:eastAsia="Times New Roman" w:hAnsi="Times New Roman"/>
          <w:sz w:val="17"/>
          <w:szCs w:val="17"/>
          <w:color w:val="231F20"/>
        </w:rPr>
        <w:t xml:space="preserve"> in investment yield from cash and marketable securities.</w:t>
      </w: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6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860" w:type="dxa"/>
            <w:vAlign w:val="bottom"/>
            <w:shd w:val="clear" w:color="auto" w:fill="CFF0FC"/>
          </w:tcPr>
          <w:p>
            <w:pPr>
              <w:jc w:val="right"/>
              <w:ind w:right="661"/>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73,874</w:t>
            </w:r>
          </w:p>
        </w:tc>
        <w:tc>
          <w:tcPr>
            <w:tcW w:w="62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68,399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8.0 %</w:t>
            </w:r>
          </w:p>
        </w:tc>
      </w:tr>
    </w:tbl>
    <w:p>
      <w:pPr>
        <w:spacing w:after="0" w:line="283"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Provision for income taxes for the three months ended July 31, 2024 increased by $5.5 million, or 8.0%, compared to the three months ended July 31, 2023. The year-over-year change was primarily due to the increase in income before taxes.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Six Months Ended July 31, 2024 and 2023</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2,303,754</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2,244,040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2.7 %</w:t>
            </w:r>
          </w:p>
        </w:tc>
      </w:tr>
    </w:tbl>
    <w:p>
      <w:pPr>
        <w:spacing w:after="0" w:line="283" w:lineRule="exact"/>
        <w:rPr>
          <w:sz w:val="20"/>
          <w:szCs w:val="20"/>
          <w:color w:val="auto"/>
        </w:rPr>
      </w:pPr>
    </w:p>
    <w:p>
      <w:pPr>
        <w:jc w:val="both"/>
        <w:ind w:right="100" w:firstLine="472"/>
        <w:spacing w:after="0" w:line="276" w:lineRule="auto"/>
        <w:rPr>
          <w:sz w:val="20"/>
          <w:szCs w:val="20"/>
          <w:color w:val="auto"/>
        </w:rPr>
      </w:pPr>
      <w:r>
        <w:rPr>
          <w:rFonts w:ascii="Times New Roman" w:cs="Times New Roman" w:eastAsia="Times New Roman" w:hAnsi="Times New Roman"/>
          <w:sz w:val="17"/>
          <w:szCs w:val="17"/>
          <w:color w:val="231F20"/>
        </w:rPr>
        <w:t xml:space="preserve">Revenue for the six months ended July 31, 2024, increased by $59.7 million, or 2.7%, compared to the six months ended July 31, 2023. The </w:t>
      </w:r>
      <w:r>
        <w:rPr>
          <w:rFonts w:ascii="Times New Roman" w:cs="Times New Roman" w:eastAsia="Times New Roman" w:hAnsi="Times New Roman"/>
          <w:sz w:val="17"/>
          <w:szCs w:val="17"/>
          <w:color w:val="000000"/>
        </w:rPr>
        <w:t>increase in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revenue was due to a 4.4% increase in revenue from subscription services provided to Enterprise customers, of which </w:t>
      </w:r>
      <w:r>
        <w:rPr>
          <w:rFonts w:ascii="Times New Roman" w:cs="Times New Roman" w:eastAsia="Times New Roman" w:hAnsi="Times New Roman"/>
          <w:sz w:val="17"/>
          <w:szCs w:val="17"/>
          <w:color w:val="231F20"/>
        </w:rPr>
        <w:t>47.0%</w:t>
      </w:r>
      <w:r>
        <w:rPr>
          <w:rFonts w:ascii="Times New Roman" w:cs="Times New Roman" w:eastAsia="Times New Roman" w:hAnsi="Times New Roman"/>
          <w:sz w:val="17"/>
          <w:szCs w:val="17"/>
          <w:color w:val="000000"/>
        </w:rPr>
        <w:t xml:space="preserve"> and </w:t>
      </w:r>
      <w:r>
        <w:rPr>
          <w:rFonts w:ascii="Times New Roman" w:cs="Times New Roman" w:eastAsia="Times New Roman" w:hAnsi="Times New Roman"/>
          <w:sz w:val="17"/>
          <w:szCs w:val="17"/>
          <w:color w:val="231F20"/>
        </w:rPr>
        <w:t>53.0%</w:t>
      </w:r>
      <w:r>
        <w:rPr>
          <w:rFonts w:ascii="Times New Roman" w:cs="Times New Roman" w:eastAsia="Times New Roman" w:hAnsi="Times New Roman"/>
          <w:sz w:val="17"/>
          <w:szCs w:val="17"/>
          <w:color w:val="000000"/>
        </w:rPr>
        <w:t xml:space="preserve"> were from existing and new customers, respectively. Revenue from Online customers remained flat year over year.</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54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63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558,391</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rPr>
              <w:t>530,506</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1,745,363</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1,713,534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23"/>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75.8 %</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76.4 %</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bl>
    <w:p>
      <w:pPr>
        <w:spacing w:after="0" w:line="270" w:lineRule="exact"/>
        <w:rPr>
          <w:sz w:val="20"/>
          <w:szCs w:val="20"/>
          <w:color w:val="auto"/>
        </w:rPr>
      </w:pPr>
    </w:p>
    <w:p>
      <w:pPr>
        <w:jc w:val="both"/>
        <w:ind w:right="100" w:firstLine="472"/>
        <w:spacing w:after="0" w:line="270" w:lineRule="auto"/>
        <w:rPr>
          <w:sz w:val="20"/>
          <w:szCs w:val="20"/>
          <w:color w:val="auto"/>
        </w:rPr>
      </w:pPr>
      <w:r>
        <w:rPr>
          <w:rFonts w:ascii="Times New Roman" w:cs="Times New Roman" w:eastAsia="Times New Roman" w:hAnsi="Times New Roman"/>
          <w:sz w:val="17"/>
          <w:szCs w:val="17"/>
          <w:color w:val="231F20"/>
        </w:rPr>
        <w:t xml:space="preserve">Cost of revenue for the six months ended July 31, 2024, increased by $27.9 million, or 5.3%, compared to the six months ended July 31, 2023. The </w:t>
      </w:r>
      <w:r>
        <w:rPr>
          <w:rFonts w:ascii="Times New Roman" w:cs="Times New Roman" w:eastAsia="Times New Roman" w:hAnsi="Times New Roman"/>
          <w:sz w:val="17"/>
          <w:szCs w:val="17"/>
          <w:color w:val="000000"/>
        </w:rPr>
        <w:t xml:space="preserve">increase </w:t>
      </w:r>
      <w:r>
        <w:rPr>
          <w:rFonts w:ascii="Times New Roman" w:cs="Times New Roman" w:eastAsia="Times New Roman" w:hAnsi="Times New Roman"/>
          <w:sz w:val="17"/>
          <w:szCs w:val="17"/>
          <w:color w:val="231F20"/>
        </w:rPr>
        <w:t>was primarily due to a $45.9 million</w:t>
      </w:r>
      <w:r>
        <w:rPr>
          <w:rFonts w:ascii="Times New Roman" w:cs="Times New Roman" w:eastAsia="Times New Roman" w:hAnsi="Times New Roman"/>
          <w:sz w:val="17"/>
          <w:szCs w:val="17"/>
          <w:color w:val="000000"/>
        </w:rPr>
        <w:t xml:space="preserve"> increase in hosting and infrastructure costs partially offset by a </w:t>
      </w:r>
      <w:r>
        <w:rPr>
          <w:rFonts w:ascii="Times New Roman" w:cs="Times New Roman" w:eastAsia="Times New Roman" w:hAnsi="Times New Roman"/>
          <w:sz w:val="17"/>
          <w:szCs w:val="17"/>
          <w:color w:val="231F20"/>
        </w:rPr>
        <w:t>$10.9 million</w:t>
      </w:r>
      <w:r>
        <w:rPr>
          <w:rFonts w:ascii="Times New Roman" w:cs="Times New Roman" w:eastAsia="Times New Roman" w:hAnsi="Times New Roman"/>
          <w:sz w:val="17"/>
          <w:szCs w:val="17"/>
          <w:color w:val="000000"/>
        </w:rPr>
        <w:t xml:space="preserve"> decrease in stock-based compensation and </w:t>
      </w:r>
      <w:r>
        <w:rPr>
          <w:rFonts w:ascii="Times New Roman" w:cs="Times New Roman" w:eastAsia="Times New Roman" w:hAnsi="Times New Roman"/>
          <w:sz w:val="17"/>
          <w:szCs w:val="17"/>
          <w:color w:val="231F20"/>
        </w:rPr>
        <w:t>$7.1 million</w:t>
      </w:r>
      <w:r>
        <w:rPr>
          <w:rFonts w:ascii="Times New Roman" w:cs="Times New Roman" w:eastAsia="Times New Roman" w:hAnsi="Times New Roman"/>
          <w:sz w:val="17"/>
          <w:szCs w:val="17"/>
          <w:color w:val="000000"/>
        </w:rPr>
        <w:t xml:space="preserve"> decrease in restructuring costs as a result of the prior year restructuring plan. </w:t>
      </w:r>
      <w:r>
        <w:rPr>
          <w:rFonts w:ascii="Times New Roman" w:cs="Times New Roman" w:eastAsia="Times New Roman" w:hAnsi="Times New Roman"/>
          <w:sz w:val="17"/>
          <w:szCs w:val="17"/>
          <w:color w:val="231F20"/>
        </w:rPr>
        <w:t>The increase in hosting costs was due to the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increased use of AI functionality along with investments to upgrade our data center backbone.</w:t>
      </w:r>
    </w:p>
    <w:p>
      <w:pPr>
        <w:spacing w:after="0" w:line="63" w:lineRule="exact"/>
        <w:rPr>
          <w:sz w:val="20"/>
          <w:szCs w:val="20"/>
          <w:color w:val="auto"/>
        </w:rPr>
      </w:pPr>
    </w:p>
    <w:p>
      <w:pPr>
        <w:jc w:val="both"/>
        <w:ind w:right="100" w:firstLine="472"/>
        <w:spacing w:after="0" w:line="296" w:lineRule="auto"/>
        <w:rPr>
          <w:sz w:val="20"/>
          <w:szCs w:val="20"/>
          <w:color w:val="auto"/>
        </w:rPr>
      </w:pPr>
      <w:r>
        <w:rPr>
          <w:rFonts w:ascii="Times New Roman" w:cs="Times New Roman" w:eastAsia="Times New Roman" w:hAnsi="Times New Roman"/>
          <w:sz w:val="17"/>
          <w:szCs w:val="17"/>
          <w:color w:val="auto"/>
        </w:rPr>
        <w:t xml:space="preserve">Gross margin decreased to 75.8% for the six months ended </w:t>
      </w:r>
      <w:r>
        <w:rPr>
          <w:rFonts w:ascii="Times New Roman" w:cs="Times New Roman" w:eastAsia="Times New Roman" w:hAnsi="Times New Roman"/>
          <w:sz w:val="17"/>
          <w:szCs w:val="17"/>
          <w:color w:val="231F20"/>
        </w:rPr>
        <w:t>July 31, 2024,</w:t>
      </w:r>
      <w:r>
        <w:rPr>
          <w:rFonts w:ascii="Times New Roman" w:cs="Times New Roman" w:eastAsia="Times New Roman" w:hAnsi="Times New Roman"/>
          <w:sz w:val="17"/>
          <w:szCs w:val="17"/>
          <w:color w:val="auto"/>
        </w:rPr>
        <w:t xml:space="preserve"> from 76.4% for the six months ended </w:t>
      </w:r>
      <w:r>
        <w:rPr>
          <w:rFonts w:ascii="Times New Roman" w:cs="Times New Roman" w:eastAsia="Times New Roman" w:hAnsi="Times New Roman"/>
          <w:sz w:val="17"/>
          <w:szCs w:val="17"/>
          <w:color w:val="231F20"/>
        </w:rPr>
        <w:t>July 31, 2023</w:t>
      </w:r>
      <w:r>
        <w:rPr>
          <w:rFonts w:ascii="Times New Roman" w:cs="Times New Roman" w:eastAsia="Times New Roman" w:hAnsi="Times New Roman"/>
          <w:sz w:val="17"/>
          <w:szCs w:val="17"/>
          <w:color w:val="auto"/>
        </w:rPr>
        <w:t xml:space="preserve">. The decrease in gross margin was mainly due to increased costs associated with the use of </w:t>
      </w:r>
      <w:r>
        <w:rPr>
          <w:rFonts w:ascii="Times New Roman" w:cs="Times New Roman" w:eastAsia="Times New Roman" w:hAnsi="Times New Roman"/>
          <w:sz w:val="17"/>
          <w:szCs w:val="17"/>
          <w:color w:val="231F20"/>
        </w:rPr>
        <w:t>AI functionality along with investments to upgrade our data center backbone.</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rPr>
              <w:t>412,314</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401,073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2.8 %</w:t>
            </w:r>
          </w:p>
        </w:tc>
      </w:tr>
    </w:tbl>
    <w:p>
      <w:pPr>
        <w:spacing w:after="0" w:line="283" w:lineRule="exact"/>
        <w:rPr>
          <w:sz w:val="20"/>
          <w:szCs w:val="20"/>
          <w:color w:val="auto"/>
        </w:rPr>
      </w:pPr>
    </w:p>
    <w:p>
      <w:pPr>
        <w:jc w:val="both"/>
        <w:ind w:right="100" w:firstLine="472"/>
        <w:spacing w:after="0" w:line="267" w:lineRule="auto"/>
        <w:rPr>
          <w:sz w:val="20"/>
          <w:szCs w:val="20"/>
          <w:color w:val="auto"/>
        </w:rPr>
      </w:pPr>
      <w:r>
        <w:rPr>
          <w:rFonts w:ascii="Times New Roman" w:cs="Times New Roman" w:eastAsia="Times New Roman" w:hAnsi="Times New Roman"/>
          <w:sz w:val="17"/>
          <w:szCs w:val="17"/>
          <w:color w:val="231F20"/>
        </w:rPr>
        <w:t xml:space="preserve">Research and development expense for the six months ended July 31, 2024, increased by $11.2 million, or 2.8%, compared to the six months ended July 31, 2023. </w:t>
      </w:r>
      <w:r>
        <w:rPr>
          <w:rFonts w:ascii="Times New Roman" w:cs="Times New Roman" w:eastAsia="Times New Roman" w:hAnsi="Times New Roman"/>
          <w:sz w:val="17"/>
          <w:szCs w:val="17"/>
          <w:color w:val="000000"/>
        </w:rPr>
        <w:t>The increase was</w:t>
      </w:r>
      <w:r>
        <w:rPr>
          <w:rFonts w:ascii="Times New Roman" w:cs="Times New Roman" w:eastAsia="Times New Roman" w:hAnsi="Times New Roman"/>
          <w:sz w:val="17"/>
          <w:szCs w:val="17"/>
          <w:color w:val="231F20"/>
        </w:rPr>
        <w:t xml:space="preserve"> driven by our continued investments in AI-first innovation, </w:t>
      </w:r>
      <w:r>
        <w:rPr>
          <w:rFonts w:ascii="Times New Roman" w:cs="Times New Roman" w:eastAsia="Times New Roman" w:hAnsi="Times New Roman"/>
          <w:sz w:val="17"/>
          <w:szCs w:val="17"/>
          <w:color w:val="000000"/>
        </w:rPr>
        <w:t>which consisted of a $21.2 million increase in personnel related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expenses, including a </w:t>
      </w:r>
      <w:r>
        <w:rPr>
          <w:rFonts w:ascii="Times New Roman" w:cs="Times New Roman" w:eastAsia="Times New Roman" w:hAnsi="Times New Roman"/>
          <w:sz w:val="17"/>
          <w:szCs w:val="17"/>
          <w:color w:val="231F20"/>
        </w:rPr>
        <w:t>$16.3 million</w:t>
      </w:r>
      <w:r>
        <w:rPr>
          <w:rFonts w:ascii="Times New Roman" w:cs="Times New Roman" w:eastAsia="Times New Roman" w:hAnsi="Times New Roman"/>
          <w:sz w:val="17"/>
          <w:szCs w:val="17"/>
          <w:color w:val="000000"/>
        </w:rPr>
        <w:t xml:space="preserve"> increase </w:t>
      </w:r>
      <w:r>
        <w:rPr>
          <w:rFonts w:ascii="Times New Roman" w:cs="Times New Roman" w:eastAsia="Times New Roman" w:hAnsi="Times New Roman"/>
          <w:sz w:val="17"/>
          <w:szCs w:val="17"/>
          <w:color w:val="231F20"/>
        </w:rPr>
        <w:t>in salaries, payroll taxes and benefits and a $4.9 million</w:t>
      </w:r>
      <w:r>
        <w:rPr>
          <w:rFonts w:ascii="Times New Roman" w:cs="Times New Roman" w:eastAsia="Times New Roman" w:hAnsi="Times New Roman"/>
          <w:sz w:val="17"/>
          <w:szCs w:val="17"/>
          <w:color w:val="000000"/>
        </w:rPr>
        <w:t xml:space="preserve"> increase </w:t>
      </w:r>
      <w:r>
        <w:rPr>
          <w:rFonts w:ascii="Times New Roman" w:cs="Times New Roman" w:eastAsia="Times New Roman" w:hAnsi="Times New Roman"/>
          <w:sz w:val="17"/>
          <w:szCs w:val="17"/>
          <w:color w:val="231F20"/>
        </w:rPr>
        <w:t>in stock-based compensation as a result of</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 xml:space="preserve">increased headcount, partially offset by $19.6 million </w:t>
      </w:r>
      <w:r>
        <w:rPr>
          <w:rFonts w:ascii="Times New Roman" w:cs="Times New Roman" w:eastAsia="Times New Roman" w:hAnsi="Times New Roman"/>
          <w:sz w:val="17"/>
          <w:szCs w:val="17"/>
          <w:color w:val="000000"/>
        </w:rPr>
        <w:t>decrease in restructuring costs as a result of the prior year restructuring plan. T</w:t>
      </w:r>
      <w:r>
        <w:rPr>
          <w:rFonts w:ascii="Times New Roman" w:cs="Times New Roman" w:eastAsia="Times New Roman" w:hAnsi="Times New Roman"/>
          <w:sz w:val="17"/>
          <w:szCs w:val="17"/>
          <w:color w:val="231F20"/>
        </w:rPr>
        <w:t>he remaining increase is due to costs from AI-related software and facilities used in development.</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94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706,778</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795,877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231F20"/>
        </w:rPr>
        <w:t xml:space="preserve">Sales and marketing expense for the six months ended July 31, 2024, decreased by $89.1 million, or 11.2%, compared to the six months ended July 31, 2023. The decrease in sales and marketing expense was primarily due to a $68.7 million </w:t>
      </w:r>
      <w:r>
        <w:rPr>
          <w:rFonts w:ascii="Times New Roman" w:cs="Times New Roman" w:eastAsia="Times New Roman" w:hAnsi="Times New Roman"/>
          <w:sz w:val="17"/>
          <w:szCs w:val="17"/>
          <w:color w:val="000000"/>
        </w:rPr>
        <w:t>decrease</w:t>
      </w:r>
      <w:r>
        <w:rPr>
          <w:rFonts w:ascii="Times New Roman" w:cs="Times New Roman" w:eastAsia="Times New Roman" w:hAnsi="Times New Roman"/>
          <w:sz w:val="17"/>
          <w:szCs w:val="17"/>
          <w:color w:val="231F20"/>
        </w:rPr>
        <w:t xml:space="preserve"> in personnel-related expenses, which includes a $36.9 million </w:t>
      </w:r>
      <w:r>
        <w:rPr>
          <w:rFonts w:ascii="Times New Roman" w:cs="Times New Roman" w:eastAsia="Times New Roman" w:hAnsi="Times New Roman"/>
          <w:sz w:val="17"/>
          <w:szCs w:val="17"/>
          <w:color w:val="000000"/>
        </w:rPr>
        <w:t xml:space="preserve">decrease </w:t>
      </w:r>
      <w:r>
        <w:rPr>
          <w:rFonts w:ascii="Times New Roman" w:cs="Times New Roman" w:eastAsia="Times New Roman" w:hAnsi="Times New Roman"/>
          <w:sz w:val="17"/>
          <w:szCs w:val="17"/>
          <w:color w:val="231F20"/>
        </w:rPr>
        <w:t>in stock-based compensation expense, and a $32.9 million decrease in restructuring costs as a result of the prior year restructuring plan; and a $9.8</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 xml:space="preserve">million decrease in marketing spend and a $8.4 million </w:t>
      </w:r>
      <w:r>
        <w:rPr>
          <w:rFonts w:ascii="Times New Roman" w:cs="Times New Roman" w:eastAsia="Times New Roman" w:hAnsi="Times New Roman"/>
          <w:sz w:val="17"/>
          <w:szCs w:val="17"/>
          <w:color w:val="000000"/>
        </w:rPr>
        <w:t>decrease in commissions expense, which includes both internal and external costs.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rPr>
              <w:t>220,879</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329,224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w:t>
            </w:r>
          </w:p>
        </w:tc>
      </w:tr>
    </w:tbl>
    <w:p>
      <w:pPr>
        <w:spacing w:after="0" w:line="28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231F20"/>
        </w:rPr>
        <w:t xml:space="preserve">General and administrative expense for the six months ended July 31, 2024 decreased by $108.3 million, or 32.9%, compared to the six months ended July 31, 2023. The decrease in general and administrative expenses was primarily due to </w:t>
      </w:r>
      <w:r>
        <w:rPr>
          <w:rFonts w:ascii="Times New Roman" w:cs="Times New Roman" w:eastAsia="Times New Roman" w:hAnsi="Times New Roman"/>
          <w:sz w:val="17"/>
          <w:szCs w:val="17"/>
          <w:color w:val="000000"/>
        </w:rPr>
        <w:t>a</w:t>
      </w:r>
      <w:r>
        <w:rPr>
          <w:rFonts w:ascii="Times New Roman" w:cs="Times New Roman" w:eastAsia="Times New Roman" w:hAnsi="Times New Roman"/>
          <w:sz w:val="17"/>
          <w:szCs w:val="17"/>
          <w:color w:val="231F20"/>
        </w:rPr>
        <w:t xml:space="preserve"> $58.9 million </w:t>
      </w:r>
      <w:r>
        <w:rPr>
          <w:rFonts w:ascii="Times New Roman" w:cs="Times New Roman" w:eastAsia="Times New Roman" w:hAnsi="Times New Roman"/>
          <w:sz w:val="17"/>
          <w:szCs w:val="17"/>
          <w:color w:val="000000"/>
        </w:rPr>
        <w:t>decrease in legal expenses, including litigation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settlements; and a </w:t>
      </w:r>
      <w:r>
        <w:rPr>
          <w:rFonts w:ascii="Times New Roman" w:cs="Times New Roman" w:eastAsia="Times New Roman" w:hAnsi="Times New Roman"/>
          <w:sz w:val="17"/>
          <w:szCs w:val="17"/>
          <w:color w:val="231F20"/>
        </w:rPr>
        <w:t>$26.1 million</w:t>
      </w:r>
      <w:r>
        <w:rPr>
          <w:rFonts w:ascii="Times New Roman" w:cs="Times New Roman" w:eastAsia="Times New Roman" w:hAnsi="Times New Roman"/>
          <w:sz w:val="17"/>
          <w:szCs w:val="17"/>
          <w:color w:val="000000"/>
        </w:rPr>
        <w:t xml:space="preserve"> decrease in personnel-related expenses, </w:t>
      </w:r>
      <w:r>
        <w:rPr>
          <w:rFonts w:ascii="Times New Roman" w:cs="Times New Roman" w:eastAsia="Times New Roman" w:hAnsi="Times New Roman"/>
          <w:sz w:val="17"/>
          <w:szCs w:val="17"/>
          <w:color w:val="231F20"/>
        </w:rPr>
        <w:t>which includes a $16.4 million</w:t>
      </w:r>
      <w:r>
        <w:rPr>
          <w:rFonts w:ascii="Times New Roman" w:cs="Times New Roman" w:eastAsia="Times New Roman" w:hAnsi="Times New Roman"/>
          <w:sz w:val="17"/>
          <w:szCs w:val="17"/>
          <w:color w:val="000000"/>
        </w:rPr>
        <w:t xml:space="preserve"> decrease in stock-based compensation expense and </w:t>
      </w:r>
      <w:r>
        <w:rPr>
          <w:rFonts w:ascii="Times New Roman" w:cs="Times New Roman" w:eastAsia="Times New Roman" w:hAnsi="Times New Roman"/>
          <w:sz w:val="17"/>
          <w:szCs w:val="17"/>
          <w:color w:val="231F20"/>
        </w:rPr>
        <w:t xml:space="preserve">$13.3 million </w:t>
      </w:r>
      <w:r>
        <w:rPr>
          <w:rFonts w:ascii="Times New Roman" w:cs="Times New Roman" w:eastAsia="Times New Roman" w:hAnsi="Times New Roman"/>
          <w:sz w:val="17"/>
          <w:szCs w:val="17"/>
          <w:color w:val="000000"/>
        </w:rPr>
        <w:t>decrease in restructuring costs as a result of the prior restructuring plan; and a</w:t>
      </w:r>
      <w:r>
        <w:rPr>
          <w:rFonts w:ascii="Times New Roman" w:cs="Times New Roman" w:eastAsia="Times New Roman" w:hAnsi="Times New Roman"/>
          <w:sz w:val="17"/>
          <w:szCs w:val="17"/>
          <w:color w:val="231F20"/>
        </w:rPr>
        <w:t xml:space="preserve"> $9.7 million </w:t>
      </w:r>
      <w:r>
        <w:rPr>
          <w:rFonts w:ascii="Times New Roman" w:cs="Times New Roman" w:eastAsia="Times New Roman" w:hAnsi="Times New Roman"/>
          <w:sz w:val="17"/>
          <w:szCs w:val="17"/>
          <w:color w:val="000000"/>
        </w:rPr>
        <w:t>decrease in bad debt expense.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Gains on Strategic Investments,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86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98"/>
              </w:rPr>
              <w:t>20,461</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33,945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w:t>
            </w:r>
          </w:p>
        </w:tc>
      </w:tr>
    </w:tbl>
    <w:p>
      <w:pPr>
        <w:spacing w:after="0" w:line="27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231F20"/>
        </w:rPr>
        <w:t xml:space="preserve">Gains on strategic investments, net for the six months ended July 31, 2024, </w:t>
      </w:r>
      <w:r>
        <w:rPr>
          <w:rFonts w:ascii="Times New Roman" w:cs="Times New Roman" w:eastAsia="Times New Roman" w:hAnsi="Times New Roman"/>
          <w:sz w:val="17"/>
          <w:szCs w:val="17"/>
          <w:color w:val="000000"/>
        </w:rPr>
        <w:t>decreased by</w:t>
      </w:r>
      <w:r>
        <w:rPr>
          <w:rFonts w:ascii="Times New Roman" w:cs="Times New Roman" w:eastAsia="Times New Roman" w:hAnsi="Times New Roman"/>
          <w:sz w:val="17"/>
          <w:szCs w:val="17"/>
          <w:color w:val="231F20"/>
        </w:rPr>
        <w:t xml:space="preserve"> $13.5 million, or </w:t>
      </w:r>
      <w:r>
        <w:rPr>
          <w:rFonts w:ascii="Times New Roman" w:cs="Times New Roman" w:eastAsia="Times New Roman" w:hAnsi="Times New Roman"/>
          <w:sz w:val="17"/>
          <w:szCs w:val="17"/>
          <w:color w:val="000000"/>
        </w:rPr>
        <w:t>39.7%, compared to the</w:t>
      </w:r>
      <w:r>
        <w:rPr>
          <w:rFonts w:ascii="Times New Roman" w:cs="Times New Roman" w:eastAsia="Times New Roman" w:hAnsi="Times New Roman"/>
          <w:sz w:val="17"/>
          <w:szCs w:val="17"/>
          <w:color w:val="231F20"/>
        </w:rPr>
        <w:t xml:space="preserve"> six months ended July 31, 2023. The decrease was mainly due to changes in the valuations of our publicly and privately held securities.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rPr>
              <w:t>159,000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72,298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119.9 %</w:t>
            </w:r>
          </w:p>
        </w:tc>
      </w:tr>
    </w:tbl>
    <w:p>
      <w:pPr>
        <w:spacing w:after="0" w:line="28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231F20"/>
        </w:rPr>
        <w:t>Other income, net for the six months ended July 31, 2024, increased by $86.7 million, or 119.9%, compared to the six months ended July 31, 2023. The increase was mainly due to a $88.5 million increase in investment yield from cash and marketable securities.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1"/>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149,530</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96,185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55.5 %</w:t>
            </w: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231F20"/>
        </w:rPr>
        <w:t xml:space="preserve">Provision for income taxes for the six months ended July 31, 2024 increased by $53.3 million, or 55.5%, compared to the six months ended July 31, 2023. </w:t>
      </w:r>
      <w:r>
        <w:rPr>
          <w:rFonts w:ascii="Times New Roman" w:cs="Times New Roman" w:eastAsia="Times New Roman" w:hAnsi="Times New Roman"/>
          <w:sz w:val="17"/>
          <w:szCs w:val="17"/>
          <w:color w:val="000000"/>
        </w:rPr>
        <w:t>The year-over-year change was</w:t>
      </w:r>
      <w:r>
        <w:rPr>
          <w:rFonts w:ascii="Times New Roman" w:cs="Times New Roman" w:eastAsia="Times New Roman" w:hAnsi="Times New Roman"/>
          <w:sz w:val="17"/>
          <w:szCs w:val="17"/>
          <w:color w:val="231F20"/>
        </w:rPr>
        <w:t xml:space="preserve"> due </w:t>
      </w:r>
      <w:r>
        <w:rPr>
          <w:rFonts w:ascii="Times New Roman" w:cs="Times New Roman" w:eastAsia="Times New Roman" w:hAnsi="Times New Roman"/>
          <w:sz w:val="17"/>
          <w:szCs w:val="17"/>
          <w:color w:val="000000"/>
        </w:rPr>
        <w:t>primarily to the increase in income before taxes offset by a decrease in tax shortfalls on stock-based compensation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and increases in the foreign-derived intangible income deduction.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July 31, 2024, our principal sources of liquidity were cash, cash equivalents, and marketable securities of $7.5 billion, which were held for working capital purposes and for investment in growth opportunities. Our marketable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securities generally consist of high-grade commercial paper, corporate bonds, agency bonds, corporate and other debt securities, U.S. government agency securities, and treasury bills.</w:t>
      </w:r>
    </w:p>
    <w:p>
      <w:pPr>
        <w:spacing w:after="0" w:line="42"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have financed our operations primarily through income from operations and sales of equity securities. Cash from operations could also be affected by various risks and uncertainties, including, but not limited to, the recent macroeconomic shifts, such as high inflation, elevated interest rates, and the responses by central banking authorities, potential recessionary environments, and the fluctuations in foreign currency exchange rates, could impact the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There have been no material changes to our material cash requirements from known contractual and other obligations from those disclosed in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included in our Annual Report on Form 10-K for the year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31, 2024, filed with the SEC on March 4, 2024.</w:t>
      </w:r>
    </w:p>
    <w:p>
      <w:pPr>
        <w:spacing w:after="0" w:line="3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7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r>
      <w:tr>
        <w:trPr>
          <w:trHeight w:val="2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1,037,525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754,458</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(648,734)</w:t>
            </w:r>
          </w:p>
        </w:tc>
        <w:tc>
          <w:tcPr>
            <w:tcW w:w="100" w:type="dxa"/>
            <w:vAlign w:val="bottom"/>
          </w:tcPr>
          <w:p>
            <w:pPr>
              <w:spacing w:after="0"/>
              <w:rPr>
                <w:sz w:val="19"/>
                <w:szCs w:val="19"/>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(500,146)</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(398,716)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41,458</w:t>
            </w:r>
          </w:p>
        </w:tc>
      </w:tr>
    </w:tbl>
    <w:p>
      <w:pPr>
        <w:spacing w:after="0" w:line="3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21"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6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Net cash provided by operating activities was $1,037.5 million for the six months ended July 31, 2024, compared to $754.5 million for the six months ended July 31, 2023. The increase in operating cash flow was primarily due to higher net income.</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2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of $648.7 million for the six months ended July 31, 2024 was due to net purchases of marketable securities of $537.1 million, purchases of property and equipment of $102.7 million, and purchases of strategic investments of $13.5 million, partially offset by proceeds from strategic investments of $4.7 million.</w:t>
      </w:r>
    </w:p>
    <w:p>
      <w:pPr>
        <w:spacing w:after="0" w:line="5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of $500.1 million for the six months ended July 31, 2023 was due to net purchases of marketable securities of $283.0 million, cash paid for acquisition, net of cash acquired, of $204.9 million, purchases of property and equipment of $68.4 million, and purchases of strategic investments of $51.0 million, partially offset by proceeds from strategic investments of $107.2 million.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2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Net cash used in financing activities of $398.7 million for the six months ended July 31, 2024 was due to cash paid for repurchases of common stock of $437.7 million, partially offset by proceeds from issuance of common stock under our ESPP of $34.3 million, proceeds from employee equity transactions to be remitted to employees and tax authorities, net, of $2.9 million and proceeds from the exercise of stock options of $1.9 million.</w:t>
      </w:r>
    </w:p>
    <w:p>
      <w:pPr>
        <w:spacing w:after="0" w:line="59"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Net cash used in financing activities of $41.5 million for the six months ended July 31, 2023 was primarily due to proceeds from issuance of common stock under our ESPP of $32.5 million and proceeds from the exercise of stock options of $7.7 million.</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February 2024, our Board of Directors authorized a stock repurchase program of up to $1.5 billion of our Class A common stock, $1,062.3 million of which remain available as of July 31, 2023. Repurchases of our Class A common stock may be effected, from time to time, either on the open market (including pre-set trading plans), in privately negotiated transactions, and other transactions in accordance with applicable securities laws.</w:t>
      </w:r>
    </w:p>
    <w:p>
      <w:pPr>
        <w:spacing w:after="0" w:line="59"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w:t>
      </w:r>
    </w:p>
    <w:p>
      <w:pPr>
        <w:spacing w:after="0" w:line="63"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three and six months ended July 31, 2024, we repurchased and subsequently retired 4,829,090 and 7,229,395 shares of our Class A common stock, respectively, for an aggregate amount of $287.6 million and $437.7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21"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6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estimates as compared to the critical accounting estimates described in our Management’s Discussion and Analysis of Financial Condition and Results of Operations, included in our Annual Report on Form 10-K for the year ended January 31, 2024, filed with the SEC on March 4, 2024.</w:t>
      </w:r>
    </w:p>
    <w:p>
      <w:pPr>
        <w:spacing w:after="0" w:line="12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QUALITATIVE AND QUANTITATIVE DISCLOSURES ABOUT MARKET RISK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and Exchange Risk</w:t>
      </w:r>
    </w:p>
    <w:p>
      <w:pPr>
        <w:spacing w:after="0" w:line="12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six months ended </w:t>
      </w:r>
      <w:r>
        <w:rPr>
          <w:rFonts w:ascii="Times New Roman" w:cs="Times New Roman" w:eastAsia="Times New Roman" w:hAnsi="Times New Roman"/>
          <w:sz w:val="17"/>
          <w:szCs w:val="17"/>
          <w:color w:val="231F20"/>
        </w:rPr>
        <w:t>July 31, 2024</w:t>
      </w:r>
      <w:r>
        <w:rPr>
          <w:rFonts w:ascii="Times New Roman" w:cs="Times New Roman" w:eastAsia="Times New Roman" w:hAnsi="Times New Roman"/>
          <w:sz w:val="17"/>
          <w:szCs w:val="17"/>
          <w:color w:val="auto"/>
        </w:rPr>
        <w:t xml:space="preserve"> and 2023, 19.3% and 19.3% of our revenue, respectively and 15.1% and 13.3%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and six months ended July 31, 2024 and 2023.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2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We had cash and cash equivalents of $1,539.5 million and marketable securities of $5,980.6 million as of July 31, 2024.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six months ended July 31, 2024 and 2023.</w:t>
      </w:r>
    </w:p>
    <w:p>
      <w:pPr>
        <w:spacing w:after="0" w:line="12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Times New Roman" w:cs="Times New Roman" w:eastAsia="Times New Roman" w:hAnsi="Times New Roman"/>
          <w:sz w:val="17"/>
          <w:szCs w:val="17"/>
          <w:color w:val="231F20"/>
        </w:rPr>
        <w:t>July 31, 2024</w:t>
      </w:r>
      <w:r>
        <w:rPr>
          <w:rFonts w:ascii="Times New Roman" w:cs="Times New Roman" w:eastAsia="Times New Roman" w:hAnsi="Times New Roman"/>
          <w:sz w:val="17"/>
          <w:szCs w:val="17"/>
          <w:color w:val="auto"/>
        </w:rPr>
        <w:t>, our disclosure controls and procedures were effective at a reasonable assurance level.</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3"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 xml:space="preserve">There has been no change in our internal control over financial reporting (as defined in Rules 13a-15(d) and 15d-15(d) under the Exchange Act) that occurred during the quarter ended </w:t>
      </w:r>
      <w:r>
        <w:rPr>
          <w:rFonts w:ascii="Times New Roman" w:cs="Times New Roman" w:eastAsia="Times New Roman" w:hAnsi="Times New Roman"/>
          <w:sz w:val="17"/>
          <w:szCs w:val="17"/>
          <w:color w:val="231F20"/>
        </w:rPr>
        <w:t>July 31, 2024</w:t>
      </w:r>
      <w:r>
        <w:rPr>
          <w:rFonts w:ascii="Times New Roman" w:cs="Times New Roman" w:eastAsia="Times New Roman" w:hAnsi="Times New Roman"/>
          <w:sz w:val="17"/>
          <w:szCs w:val="17"/>
          <w:color w:val="auto"/>
        </w:rPr>
        <w:t xml:space="preserve"> that has materially affected, or is reasonably likely to materially affect, our internal control over financial reporting.</w:t>
      </w:r>
    </w:p>
    <w:p>
      <w:pPr>
        <w:spacing w:after="0" w:line="3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Disclosure Controls and Procedures</w:t>
      </w:r>
    </w:p>
    <w:p>
      <w:pPr>
        <w:spacing w:after="0" w:line="123"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32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2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Risks Related to Our Business and Our Industry</w:t>
      </w:r>
    </w:p>
    <w:p>
      <w:pPr>
        <w:spacing w:after="0" w:line="222"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3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w:t>
      </w:r>
    </w:p>
    <w:p>
      <w:pPr>
        <w:spacing w:after="0" w:line="42"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dissatisfaction with our products and support, a customer no longer having a need for our products, or a belief that a competitor’s product is better, more secure, or less expensive than our products and platform. For example, during the COVID-19 pandemic, we saw a significant increase in usage and subscriptions. As a result, our customer base shifted largely from businesses and enterprises to a mix of businesses, enterprises, and consumers. Following the pandemic, some of our customers reduced or discontinued their use of our platform, and additional customers may do so in the future. Additionally, this shift in mix has resulted and may continue to result in higher non-renewal rates than we have experienced in the past.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spacing w:after="0" w:line="28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has fluctuated in prior periods, and may continue to decline in future periods.</w:t>
      </w:r>
    </w:p>
    <w:p>
      <w:pPr>
        <w:spacing w:after="0" w:line="12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revenue growth has fluctuated in prior periods. You should not rely on the revenue growth of any prior quarterly or annual period as an indication of our future performance. There are no assurances we will be able to sustain or increase our revenue growth in future periods, and our revenue growth rate may continue to decline in future periods. Many factors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business, among others. Our growth rate could adversely affect investors’ perceptions of our business and the trading price of our Class A common stock could be adversely affected.</w:t>
      </w:r>
    </w:p>
    <w:p>
      <w:pPr>
        <w:spacing w:after="0" w:line="143"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38"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spacing w:after="0" w:line="7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p>
    <w:p>
      <w:pPr>
        <w:spacing w:after="0" w:line="6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We operate in competitive markets, and we must continue to compete effectively.</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market for communication and collaboration technologies platforms is competitive and rapidly changing, and existing and new market entrants, particularly established companies with greater resources than we have, that provide technologies to improve communication and collaboration technologies platforms, such as AI and machine learning, could also increase the level of competition in the market. Certain features of our current platform compete in the communication and collaboration technologies market with products offered by:</w:t>
      </w:r>
    </w:p>
    <w:p>
      <w:pPr>
        <w:spacing w:after="0" w:line="200" w:lineRule="exact"/>
        <w:rPr>
          <w:sz w:val="20"/>
          <w:szCs w:val="20"/>
          <w:color w:val="auto"/>
        </w:rPr>
      </w:pPr>
    </w:p>
    <w:p>
      <w:pPr>
        <w:spacing w:after="0" w:line="204" w:lineRule="exact"/>
        <w:rPr>
          <w:sz w:val="20"/>
          <w:szCs w:val="20"/>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bundled productivity solutions providers with video functionality, including Microsoft Teams and Google G Suite and Meet products;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web-based meeting providers, including Cisco Webex and GoTo;</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UCaaS and legacy PBX providers, including Avaya, RingCentral, and 8x8;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consumer-facing platforms that can support small- or medium-sized businesses, including Amazon, Apple, and Facebook.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intensify in the future.</w:t>
      </w:r>
    </w:p>
    <w:p>
      <w:pPr>
        <w:spacing w:after="0" w:line="42"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In February 2022, we launched Zoom Contact Center, an omnichannel contact center solution that is optimized for video, which competes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7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Our results have fluctuated and may in the future fluctuate significantly and may not fully reflect the underlying performance of our business.</w:t>
      </w:r>
    </w:p>
    <w:p>
      <w:pPr>
        <w:spacing w:after="0" w:line="123"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 in our results may negatively impact the value of our securities. Factors that may cause fluctuations in our results of operations include, without limitation, those listed below:</w:t>
      </w:r>
    </w:p>
    <w:p>
      <w:pPr>
        <w:spacing w:after="0" w:line="282" w:lineRule="exact"/>
        <w:rPr>
          <w:sz w:val="20"/>
          <w:szCs w:val="20"/>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customers to higher-priced plans;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and upgrade free users to one of our paid offerings;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employees, in particular those responsible for the selling or marketing of our platform;</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way we organize and compensate our sales teams;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and recognition of revenue;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sales to large organizations;</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40" w:hanging="321"/>
        <w:spacing w:after="0" w:line="276"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5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and effectiveness of new sales and marketing initiatives;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experienced research and development personnel to design new products, features, and functionality that meet our privacy and security standards;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products, features, and functionality by us or our competitors;</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or delays in our service, network outages, or actual, alleged, or perceived privacy violations or issues or security vulnerabilities, incidents, or breaches;</w:t>
      </w:r>
    </w:p>
    <w:p>
      <w:pPr>
        <w:spacing w:after="0" w:line="41"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regulatory actions or investigations, legislator scrutiny, or negative publicity arising from actual, alleged, or perceived privacy violations or issues or security vulnerabilities, incidents, or breaches;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competitive dynamics of our industry, including consolidation among competitors;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that impact our business;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large indemnification payments to our users or other third parties;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any future acquisitions;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significantly affected by changes in the economy, including any resulting effect on consumer or business spending.</w:t>
      </w:r>
    </w:p>
    <w:p>
      <w:pPr>
        <w:spacing w:after="0" w:line="123"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Our business may be significantly affected by changes in the economy, such as high inflation and the responses by central banking authorities to control such inflation, recessionary or uncertain environments, fluctuations in the foreign currency exchange rates and global impacts, including the Russian invasion of Ukraine, the conflict in Israel and the surrounding area and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spacing w:after="0" w:line="387"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As we increase sales to large organizations, our sales cycles have and could continue to lengthen, and we could experience greater deployment challenges.</w:t>
      </w:r>
    </w:p>
    <w:p>
      <w:pPr>
        <w:spacing w:after="0" w:line="3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our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3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5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59" w:lineRule="exact"/>
        <w:rPr>
          <w:sz w:val="20"/>
          <w:szCs w:val="20"/>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awareness of the communications and collaboration technologies category;</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products and services that compete with ours;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modes of communications and collaboration that may be developed in the future;</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customer information technology spending budgets, or a consolidation of spending budgets on our competitors' platforms, especially during periods of inflation or recessionary or uncertain economic environments;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reliability of our platform, including frequency of outages;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 support;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119"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3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net losses in the past and there are no assurances we will be able to maintain or increase profitability in the future.</w:t>
      </w:r>
    </w:p>
    <w:p>
      <w:pPr>
        <w:spacing w:after="0" w:line="123"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spacing w:after="0" w:line="384"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7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7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6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respond to rapid technological changes, extend our platform, or develop new features.</w:t>
      </w:r>
    </w:p>
    <w:p>
      <w:pPr>
        <w:spacing w:after="0" w:line="123"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spacing w:after="0" w:line="7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55"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38"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use generative AI processes and algorithms, including by deploying generative AI features in our products and services, which may result in adverse effects to our operations, legal liability, reputation and competitive risks. The use of generative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for certain AI features of our products and if such third parties do not provide us those features (or do not do so on acceptable terms), experience interruptions, or cease operating, we may need to work with another provider, which may take time or may not be possible, and could result in the disruption of certain of our products or services, affect our reputation or brand, and negatively affect our financial results. We could also face claims from third parties claiming infringement of their intellectual property or other proprietary rights with respect to materials used or created by generative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Further, use of generative AI tools by our employees or others could result in disclosure of confidential or sensitive company and customer data, reputational harm, and legal liability.</w:t>
      </w:r>
    </w:p>
    <w:p>
      <w:pPr>
        <w:spacing w:after="0" w:line="179"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3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spacing w:after="0" w:line="6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w:t>
      </w:r>
    </w:p>
    <w:p>
      <w:pPr>
        <w:spacing w:after="0" w:line="164"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spacing w:after="0" w:line="38"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7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42"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A number of groups have appealed the FCC’s order to a federal court of appeals. We cannot predict the impact of the new rules on our operations or business.</w:t>
      </w:r>
    </w:p>
    <w:p>
      <w:pPr>
        <w:spacing w:after="0" w:line="78"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In addition, a number of states have adopted or are adopting or considering legislation or executive actions that would regulate the conduct of broadband providers.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The FCC’s April 24 order permits it to preempt any state-level network neutrality requirements that go beyond the requirements adopted in that order, but specifically held that the California law would not be preempted. We cannot predict whether the FCC order or other state initiatives will be enforced, modified, overturned, or vacated by legal action of the court, federal legislation, or the FCC. Under the FCC’s current rules,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 but the new rules, if they go into effect, are intended to limit the ability of broadband internet access providers to engage in such behavior.</w:t>
      </w:r>
    </w:p>
    <w:p>
      <w:pPr>
        <w:spacing w:after="0" w:line="7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60" w:lineRule="exact"/>
        <w:rPr>
          <w:sz w:val="20"/>
          <w:szCs w:val="20"/>
          <w:color w:val="auto"/>
        </w:rPr>
      </w:pPr>
    </w:p>
    <w:p>
      <w:pPr>
        <w:jc w:val="both"/>
        <w:ind w:firstLine="47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spacing w:after="0" w:line="61"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We routinely investigate security incidents, which have resulted and may result in unauthorized access to, loss or unauthorized disclosure of, or inadvertent disclosure of confidential, proprietary, and sensitive information.</w:t>
      </w:r>
    </w:p>
    <w:p>
      <w:pPr>
        <w:spacing w:after="0" w:line="67"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with whom we work.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28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6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addition, our reliance on third parties could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spacing w:after="0" w:line="70"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w:t>
      </w:r>
    </w:p>
    <w:p>
      <w:pPr>
        <w:spacing w:after="0" w:line="7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w:t>
      </w:r>
    </w:p>
    <w:p>
      <w:pPr>
        <w:spacing w:after="0" w:line="67"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74"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spacing w:after="0" w:line="67"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Many governments have enacted laws requiring companies to provide notice of data security incidents, including those recently promulgated by the SEC. These laws may also require us to take certain measures, such as providing credit monitoring to individuals. Such laws are inconsistent, and compliance in the event of a widespread data breach is costly, and the disclosure or the failure to comply with such requirements could lead to adverse consequences. In addition, some of our customers require us to notify them of data security breaches.</w:t>
      </w:r>
    </w:p>
    <w:p>
      <w:pPr>
        <w:spacing w:after="0" w:line="6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Actual or perceived security gaps or security compromises experienced in our industry or by our competitors, our customers, a third party with whom we work,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67"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w:t>
      </w:r>
    </w:p>
    <w:p>
      <w:pPr>
        <w:spacing w:after="0" w:line="27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Increased usage of our services, novel uses of our services, and additional awareness of Zoom and our brand has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4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67"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43"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38"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growth effectively, our business, financial condition and results of operations may be harmed.</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While our employee headcount both in the United States and internationally has generally increased over time, we have undertaken, and may undertake from time to time in the future, restructuring actions to better align our financial model and. For example, in February 2023, we commenced certain restructuring actions, designed to reduce operating costs and continue advancing our ongoing commitment to profitable growth.</w:t>
      </w:r>
    </w:p>
    <w:p>
      <w:pPr>
        <w:spacing w:after="0" w:line="59"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continue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subscriptions to our platform could be harmed by real or perceived material defects or errors in our platform.</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6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59" w:lineRule="exact"/>
        <w:rPr>
          <w:sz w:val="20"/>
          <w:szCs w:val="20"/>
          <w:color w:val="auto"/>
        </w:rPr>
      </w:pPr>
    </w:p>
    <w:p>
      <w:pPr>
        <w:ind w:left="620" w:hanging="301"/>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 reduction in revenue or delay in market acceptance of our platform;</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issue refunds to our customers or expose us to claims for damages;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lose existing customers and make it more difficult to attract new customers;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our development resources or require us to make extensive changes to our platform, which would increase our expenses;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technical support costs;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220"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were to lose the services of our Chief Executive Officer or other members of our senior management team, we may not be able to execute our business strategy.</w:t>
      </w:r>
    </w:p>
    <w:p>
      <w:pPr>
        <w:spacing w:after="0" w:line="3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73"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38"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75"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6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64"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significant and expanding operations outside the United States, which may subject us to increased business, regulatory and economic risks that could harm our business.</w:t>
      </w:r>
    </w:p>
    <w:p>
      <w:pPr>
        <w:spacing w:after="0" w:line="38"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Our platform addresses the communications and collaboration needs of users worldwide, and we see international expansion as a major opportunity. Our revenue from APAC and EMEA collectively represented 28.2% and 29.0% of our revenue for the six months ended July 31, 2024 and 2023,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Operating internationally subjects us to new risks and increases risks that we currently face, including risks associated with:</w:t>
      </w:r>
    </w:p>
    <w:p>
      <w:pPr>
        <w:spacing w:after="0" w:line="119" w:lineRule="exact"/>
        <w:rPr>
          <w:sz w:val="20"/>
          <w:szCs w:val="20"/>
          <w:color w:val="auto"/>
        </w:rPr>
      </w:pPr>
    </w:p>
    <w:p>
      <w:pPr>
        <w:ind w:left="640" w:hanging="321"/>
        <w:spacing w:after="0" w:line="296"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spacing w:after="0" w:line="5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foreign jurisdictions where the government may impede or interrupt our ability to provide our services or develop new products, features, and functionality;</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an employee base in jurisdictions that may not give us the same employment and retention flexibility as the United States;</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jurisdictions that do not protect intellectual property rights to the same extent as the United States and the practical enforcement of such intellectual property rights outside of the United States;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hanging="321"/>
        <w:spacing w:after="0" w:line="296"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with partners outside of the United States;</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41"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 and other political tensions between countries in which we do business;</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including the continuing deterioration in diplomatic relations between the United States and China, the conflict in Israel and the surrounding area, and the continuing war between Russia and Ukraine;</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59"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w:t>
      </w:r>
    </w:p>
    <w:p>
      <w:pPr>
        <w:spacing w:after="0" w:line="119"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72"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68"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U.S. and international anti-corruption laws, and any failure to comply with such laws could harm our business, financial condition, and results of operations.</w:t>
      </w:r>
    </w:p>
    <w:p>
      <w:pPr>
        <w:spacing w:after="0" w:line="3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Geopolitical tension between the United States and China, or between other countries, such as Taiwan, and China, may intensify and lead to increased scrutiny of our business operations in China.</w:t>
      </w:r>
    </w:p>
    <w:p>
      <w:pPr>
        <w:spacing w:after="0" w:line="38"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spacing w:after="0" w:line="75"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59"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5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plan must be recognized over the applicable subscription term.</w:t>
      </w:r>
    </w:p>
    <w:p>
      <w:pPr>
        <w:spacing w:after="0" w:line="171"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customers and users may harm our relationships with our customers and users and, consequently, our business.</w:t>
      </w:r>
    </w:p>
    <w:p>
      <w:pPr>
        <w:spacing w:after="0" w:line="3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38"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offerings and processes requires significant time and resources. For resellers in certain emerging markets, we may be unable to effectively oversee and quality check certain processes, such as customer due diligence, which has and may continue to impact such resellers’ ability to implement robust customer verification protocols and mitigate fraud risk.If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spacing w:after="0" w:line="177"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which are reported in U.S. dollars, could be adversely affected if currency exchange rates fluctuate substantially in the future.</w:t>
      </w:r>
    </w:p>
    <w:p>
      <w:pPr>
        <w:spacing w:after="0" w:line="30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six months ended July 31, 2024 and 2023, 19.3% and 19.3% of our revenue, respectively, and 15.1% and 13.3%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fiscal quarter ended July 31, 2024, our total revenue was lower than anticipated in part due to the strengthening of the U.S. dollar. We do not currently maintain a program to hedge exposures to non-U.S. dollar currencies.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Our sales to government entities and other government contractors are subject to a number of additional challenges and risks.</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63" w:lineRule="exact"/>
        <w:rPr>
          <w:sz w:val="20"/>
          <w:szCs w:val="20"/>
          <w:color w:val="auto"/>
        </w:rPr>
      </w:pPr>
    </w:p>
    <w:p>
      <w:pPr>
        <w:ind w:left="640" w:hanging="321"/>
        <w:spacing w:after="0" w:line="296"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41"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spacing w:after="0" w:line="59" w:lineRule="exact"/>
        <w:rPr>
          <w:rFonts w:ascii="Times New Roman" w:cs="Times New Roman" w:eastAsia="Times New Roman" w:hAnsi="Times New Roman"/>
          <w:sz w:val="17"/>
          <w:szCs w:val="17"/>
          <w:color w:val="auto"/>
        </w:rPr>
      </w:pPr>
    </w:p>
    <w:p>
      <w:pPr>
        <w:jc w:val="both"/>
        <w:ind w:left="640" w:hanging="321"/>
        <w:spacing w:after="0" w:line="270"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hanging="321"/>
        <w:spacing w:after="0" w:line="296" w:lineRule="auto"/>
        <w:tabs>
          <w:tab w:leader="none" w:pos="6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demand and payment for our products may be influenced, among other things, by public sector budgetary cycles and funding authorizations, with funding reductions or delays having an adverse impact on public sector demand for our products.</w:t>
      </w:r>
    </w:p>
    <w:p>
      <w:pPr>
        <w:spacing w:after="0" w:line="4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42"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73"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spacing w:after="0" w:line="56"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73"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spacing w:after="0" w:line="38"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We may have exposure to greater than anticipated tax liabilities, which could harm our business.</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spacing w:after="0" w:line="6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provision for taxes on our condensed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65"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Although Congress has been considering legislation that would defer the amortization requirement to later years, we have no assurance that the provision will be repealed or otherwise modified. Absent a change in legislation, we expect the mandatory capitalization requirement will continue to have a material impact on our cash flows.</w:t>
      </w:r>
    </w:p>
    <w:p>
      <w:pPr>
        <w:spacing w:after="0" w:line="65"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certain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74"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becoming effective during our fiscal year ending January 31, 2025, and the remaining rules becoming effective for our fiscal year ending January 31, 2026, or in later periods. At this point in time, we do not expect material tax impacts associated with Pillar Two rules in the countries where we operate for the fiscal year ending January 31, 2025.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w:t>
      </w:r>
    </w:p>
    <w:p>
      <w:pPr>
        <w:spacing w:after="0" w:line="175"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38"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60"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at the current scale of our business, which makes it difficult to evaluate our prospects and future results of operations.</w:t>
      </w:r>
    </w:p>
    <w:p>
      <w:pPr>
        <w:spacing w:after="0" w:line="38"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79"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3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63"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We are continually seeking to improve our ability to measure our key business metrics, and regularly review our processes to assess potential improvements.</w:t>
      </w:r>
    </w:p>
    <w:p>
      <w:pPr>
        <w:spacing w:after="0" w:line="200" w:lineRule="exact"/>
        <w:rPr>
          <w:sz w:val="20"/>
          <w:szCs w:val="20"/>
          <w:color w:val="auto"/>
        </w:rPr>
      </w:pP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Risks Related to Laws and Regulations</w:t>
      </w:r>
    </w:p>
    <w:p>
      <w:pPr>
        <w:spacing w:after="0" w:line="222"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our reputation and business and subject us to significant fines and liability.</w:t>
      </w:r>
    </w:p>
    <w:p>
      <w:pPr>
        <w:spacing w:after="0" w:line="5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Laws in the United States</w:t>
      </w:r>
    </w:p>
    <w:p>
      <w:pPr>
        <w:spacing w:after="0" w:line="121"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recover significant statutory damages.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For example, some of our data</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processing practices may be challenged under wiretapping laws when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Laws Outside of the United States</w:t>
      </w:r>
    </w:p>
    <w:p>
      <w:pPr>
        <w:spacing w:after="0" w:line="121"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collection and processing of personal information, including health-related information, by companies located in Switzerland, or in certain circumstances, by companies located outside of Switzerland.</w:t>
      </w:r>
    </w:p>
    <w:p>
      <w:pPr>
        <w:spacing w:after="0" w:line="62"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also target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spacing w:after="0" w:line="7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w:t>
      </w:r>
    </w:p>
    <w:p>
      <w:pPr>
        <w:spacing w:after="0" w:line="70"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 particularly in relation to our transfer of personal information to, or processing of personal information of residents of, high risk or sanctioned jurisdictions.</w:t>
      </w:r>
    </w:p>
    <w:p>
      <w:pPr>
        <w:spacing w:after="0" w:line="209"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Artificial Intelligence</w:t>
      </w:r>
    </w:p>
    <w:p>
      <w:pPr>
        <w:spacing w:after="0" w:line="121"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Our development and use of AI and machine learning (“ML”)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AI/ML. For example, the EU's AI Act enters into force this year and will have a direct effect across all EU jurisdictions. The EU AI Act and other similar laws, if implemented and if applicable, could impose onerous obligations related to the use of AI-related systems. Obligations on AI/ML may make it harder for us to conduct our business using, or build products incorporating, AI/ML, require us to change our business practices, require us to retrain our algorithms, or prevent or limit our use of AI/ML. For example, the FTC has required other companies to turn over (or disgorge) valuable insights or trainings generated through the use of AI/ML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AI/ML. If we do not develop or incorporate AI/ML in a manner consistent with these factors, and consistent with customer expectations, it may result in an adverse impact to our reputation, our business may be less efficient, or we may be at a competitive disadvantage. Similarly, if customers and users do not widely adopt our new product AI/ML experiences, features, and capabilities, or they do not perform as expected, we may not be able to realize a return on our investment.</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Laws Relating to Minors</w:t>
      </w:r>
    </w:p>
    <w:p>
      <w:pPr>
        <w:spacing w:after="0" w:line="121"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or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Consumer Preferences and Protection</w:t>
      </w:r>
    </w:p>
    <w:p>
      <w:pPr>
        <w:spacing w:after="0" w:line="121"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74"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Industry Standards</w:t>
      </w:r>
    </w:p>
    <w:p>
      <w:pPr>
        <w:spacing w:after="0" w:line="121"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addition to privacy, data protection and information security laws, we are contractually subject to industry standards adopted by industry groups and may become subject to such obligations in the future. We may also have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 or cannot comply with such contractual obligations, our reputation and business may be harmed. We also publish privacy policies, marketing materials, and other statements, such as compliance with certain certifications or self-regulatory principles, regarding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Government Inquiries and Investigations</w:t>
      </w:r>
    </w:p>
    <w:p>
      <w:pPr>
        <w:spacing w:after="0" w:line="121"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65"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7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2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Consents</w:t>
      </w:r>
    </w:p>
    <w:p>
      <w:pPr>
        <w:spacing w:after="0" w:line="121"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Public Perception</w:t>
      </w:r>
    </w:p>
    <w:p>
      <w:pPr>
        <w:spacing w:after="0" w:line="121"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Failure to Comply with our Obligations</w:t>
      </w:r>
    </w:p>
    <w:p>
      <w:pPr>
        <w:spacing w:after="0" w:line="121"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w:t>
      </w:r>
    </w:p>
    <w:p>
      <w:pPr>
        <w:spacing w:after="0" w:line="65"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79"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3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U.S. or foreign governments may take administrative, legislative, or regulatory action that could materially interfere with our ability to sell products in certain countries. For example, the Trump administration had threatened tougher trade terms with China and other countries, leading to the imposition, or announcement of future imposition, of substantially higher U.S.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Biden administration or future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281"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additional liabilities on past sales for taxes, surcharges, and fees.</w:t>
      </w:r>
    </w:p>
    <w:p>
      <w:pPr>
        <w:spacing w:after="0" w:line="12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71"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3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spacing w:after="0" w:line="7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spacing w:after="0" w:line="6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5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68"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56"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72" w:lineRule="exact"/>
        <w:rPr>
          <w:sz w:val="20"/>
          <w:szCs w:val="20"/>
          <w:color w:val="auto"/>
        </w:rPr>
      </w:pPr>
    </w:p>
    <w:p>
      <w:pPr>
        <w:jc w:val="both"/>
        <w:ind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Changes in law or policy could compel us or limit our ability to engage in content moderation, or otherwise limit the ability of users to engage in inappropriate or harmful behavior, and could expose us to liability.</w:t>
      </w:r>
    </w:p>
    <w:p>
      <w:pPr>
        <w:spacing w:after="0" w:line="38"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 U.S. Supreme Court recently declined to limit the applicability of Section 230 in certain circumstances, but future cases may not yield the same results.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penalties, redesign business methods, or otherwise expend resources to remedy any damages caused by such actions and to avoid future liability.</w:t>
      </w:r>
    </w:p>
    <w:p>
      <w:pPr>
        <w:spacing w:after="0" w:line="119"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would review both the Florida and Texas decisions, and on July 1, 2024, the Court issued a decision returning both cases to the trial courts for additional analysis. Florida amended its statute in an effort to address issues that led the court to issue the stay.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75" w:lineRule="exact"/>
        <w:rPr>
          <w:sz w:val="20"/>
          <w:szCs w:val="20"/>
          <w:color w:val="auto"/>
        </w:rPr>
      </w:pPr>
    </w:p>
    <w:p>
      <w:pPr>
        <w:jc w:val="both"/>
        <w:ind w:firstLine="629"/>
        <w:spacing w:after="0" w:line="212" w:lineRule="exact"/>
        <w:rPr>
          <w:sz w:val="20"/>
          <w:szCs w:val="20"/>
          <w:color w:val="auto"/>
        </w:rPr>
      </w:pPr>
      <w:r>
        <w:rPr>
          <w:rFonts w:ascii="Times New Roman" w:cs="Times New Roman" w:eastAsia="Times New Roman" w:hAnsi="Times New Roman"/>
          <w:sz w:val="17"/>
          <w:szCs w:val="17"/>
          <w:color w:val="auto"/>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spacing w:after="0" w:line="192"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Federal Regulation</w:t>
      </w:r>
    </w:p>
    <w:p>
      <w:pPr>
        <w:spacing w:after="0" w:line="121"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7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As described above, the FCC has reinstated its prior network neutrality regulations.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67"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 and have been challenged in federal court. We cannot predict the impact of the new rules on our operations or business or whether they will be overturned in court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State Regulation</w:t>
      </w:r>
    </w:p>
    <w:p>
      <w:pPr>
        <w:spacing w:after="0" w:line="121"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spacing w:after="0" w:line="192" w:lineRule="exact"/>
        <w:rPr>
          <w:sz w:val="20"/>
          <w:szCs w:val="20"/>
          <w:color w:val="auto"/>
        </w:rPr>
      </w:pPr>
    </w:p>
    <w:p>
      <w:pPr>
        <w:jc w:val="both"/>
        <w:ind w:firstLine="472"/>
        <w:spacing w:after="0" w:line="254" w:lineRule="auto"/>
        <w:rPr>
          <w:sz w:val="20"/>
          <w:szCs w:val="20"/>
          <w:color w:val="auto"/>
        </w:rPr>
      </w:pPr>
      <w:r>
        <w:rPr>
          <w:rFonts w:ascii="Times New Roman" w:cs="Times New Roman" w:eastAsia="Times New Roman" w:hAnsi="Times New Roman"/>
          <w:sz w:val="17"/>
          <w:szCs w:val="17"/>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The FCC’s April 24 order permits it to preempt any state-level network neutrality requirements that go beyond the requirements adopted in that order, but specifically held that the California law would not be preempted. We cannot predict whether other state initiatives will be enforced, modified, overturned, or vacated.</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International Regulation</w:t>
      </w:r>
    </w:p>
    <w:p>
      <w:pPr>
        <w:spacing w:after="0" w:line="121"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22"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be in the future, party to intellectual property rights claims and other litigation matters, which, if resolved adversely, could harm our business.</w:t>
      </w:r>
    </w:p>
    <w:p>
      <w:pPr>
        <w:spacing w:after="0" w:line="38"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infringing technology or practices or discontinue the practices. The development of alternative, non-infringing technology or practices could require significant effort and expense. Our business could be harmed as a result.</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proprietary information could diminish our brand and other intangible assets.</w:t>
      </w:r>
    </w:p>
    <w:p>
      <w:pPr>
        <w:spacing w:after="0" w:line="123"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74"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use of third-party open source software could negatively affect our ability to offer and sell subscriptions to our platform and subject us to possible litigation.</w:t>
      </w:r>
    </w:p>
    <w:p>
      <w:pPr>
        <w:spacing w:after="0" w:line="38"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may be volatile, and you could lose all or part of your investment.</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59" w:lineRule="exact"/>
        <w:rPr>
          <w:sz w:val="20"/>
          <w:szCs w:val="20"/>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products, services, or technologies by us or our competitors;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management; and</w:t>
      </w:r>
    </w:p>
    <w:p>
      <w:pPr>
        <w:spacing w:after="0" w:line="11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political, social, economic and market conditions, in both domestic and our foreign markets, including effects of increased interest rates and inflationary pressures.</w:t>
      </w:r>
    </w:p>
    <w:p>
      <w:pPr>
        <w:spacing w:after="0" w:line="4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68"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Our Class B common stock has 10 votes per share and our Class A common stock has one vote per share. As of July 31, 2024, the holders of our outstanding Class B common stock held 63.5% of the voting power of our outstanding capital stock, with our directors, executive officers and 5% stockholders and their respective affiliates holding 57.5% of such voting power in the aggregate. As of January 31, 2024, our founder, President and Chief Executive Officer, Eric S. Yuan, together with his affiliates, held approximately 7.3% of our outstanding capital stock but controlled approximately 31.3%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7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5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68"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3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64"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Substantial future sales of shares of our Class A common stock and Class B common stock could cause the market price of our Class A common stock to decline.</w:t>
      </w:r>
    </w:p>
    <w:p>
      <w:pPr>
        <w:spacing w:after="0" w:line="3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4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6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60"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3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charter documents also contain other provisions that could have an anti-takeover effect, such as: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classified board of directors so that not all members of our board of directors are elected at one time;</w:t>
      </w:r>
    </w:p>
    <w:p>
      <w:pPr>
        <w:spacing w:after="0" w:line="118" w:lineRule="exact"/>
        <w:rPr>
          <w:rFonts w:ascii="Times New Roman" w:cs="Times New Roman" w:eastAsia="Times New Roman" w:hAnsi="Times New Roman"/>
          <w:sz w:val="17"/>
          <w:szCs w:val="17"/>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the board of directors to establish the number of directors and fill any vacancies and newly created directorships;</w:t>
      </w:r>
    </w:p>
    <w:p>
      <w:pPr>
        <w:spacing w:after="0" w:line="118" w:lineRule="exact"/>
        <w:rPr>
          <w:rFonts w:ascii="Times New Roman" w:cs="Times New Roman" w:eastAsia="Times New Roman" w:hAnsi="Times New Roman"/>
          <w:sz w:val="17"/>
          <w:szCs w:val="17"/>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directors may only be removed for cause;</w:t>
      </w:r>
    </w:p>
    <w:p>
      <w:pPr>
        <w:spacing w:after="0" w:line="118" w:lineRule="exact"/>
        <w:rPr>
          <w:rFonts w:ascii="Times New Roman" w:cs="Times New Roman" w:eastAsia="Times New Roman" w:hAnsi="Times New Roman"/>
          <w:sz w:val="17"/>
          <w:szCs w:val="17"/>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cumulative voting for directors;</w:t>
      </w:r>
    </w:p>
    <w:p>
      <w:pPr>
        <w:spacing w:after="0" w:line="118" w:lineRule="exact"/>
        <w:rPr>
          <w:rFonts w:ascii="Times New Roman" w:cs="Times New Roman" w:eastAsia="Times New Roman" w:hAnsi="Times New Roman"/>
          <w:sz w:val="17"/>
          <w:szCs w:val="17"/>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super-majority voting to amend some provisions in our certificate of incorporation and bylaws;</w:t>
      </w:r>
    </w:p>
    <w:p>
      <w:pPr>
        <w:spacing w:after="0" w:line="118" w:lineRule="exact"/>
        <w:rPr>
          <w:rFonts w:ascii="Times New Roman" w:cs="Times New Roman" w:eastAsia="Times New Roman" w:hAnsi="Times New Roman"/>
          <w:sz w:val="17"/>
          <w:szCs w:val="17"/>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of “blank check” preferred stock that our board of directors could use to implement a stockholder rights plan;</w:t>
      </w:r>
    </w:p>
    <w:p>
      <w:pPr>
        <w:spacing w:after="0" w:line="118" w:lineRule="exact"/>
        <w:rPr>
          <w:rFonts w:ascii="Times New Roman" w:cs="Times New Roman" w:eastAsia="Times New Roman" w:hAnsi="Times New Roman"/>
          <w:sz w:val="17"/>
          <w:szCs w:val="17"/>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eliminating the ability of stockholders to call special meetings of stockholders;</w:t>
      </w:r>
    </w:p>
    <w:p>
      <w:pPr>
        <w:spacing w:after="0" w:line="118" w:lineRule="exact"/>
        <w:rPr>
          <w:rFonts w:ascii="Times New Roman" w:cs="Times New Roman" w:eastAsia="Times New Roman" w:hAnsi="Times New Roman"/>
          <w:sz w:val="17"/>
          <w:szCs w:val="17"/>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 action by written consent, which requires all stockholder actions to be taken at a meeting of our stockholders; and</w:t>
      </w:r>
    </w:p>
    <w:p>
      <w:pPr>
        <w:spacing w:after="0" w:line="118" w:lineRule="exact"/>
        <w:rPr>
          <w:rFonts w:ascii="Times New Roman" w:cs="Times New Roman" w:eastAsia="Times New Roman" w:hAnsi="Times New Roman"/>
          <w:sz w:val="17"/>
          <w:szCs w:val="17"/>
          <w:color w:val="auto"/>
        </w:rPr>
      </w:pPr>
    </w:p>
    <w:p>
      <w:pPr>
        <w:ind w:left="1260" w:hanging="469"/>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dual-class common stock structure as described above.</w:t>
      </w:r>
    </w:p>
    <w:p>
      <w:pPr>
        <w:spacing w:after="0" w:line="11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68"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6"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w:t>
      </w:r>
    </w:p>
    <w:p>
      <w:pPr>
        <w:spacing w:after="0" w:line="2" w:lineRule="exact"/>
        <w:rPr>
          <w:sz w:val="20"/>
          <w:szCs w:val="20"/>
          <w:color w:val="auto"/>
        </w:rPr>
      </w:pPr>
    </w:p>
    <w:p>
      <w:pPr>
        <w:jc w:val="both"/>
        <w:ind w:firstLine="5"/>
        <w:spacing w:after="0" w:line="258" w:lineRule="auto"/>
        <w:tabs>
          <w:tab w:leader="none" w:pos="32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12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22"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3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12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7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w:t>
      </w:r>
    </w:p>
    <w:p>
      <w:pPr>
        <w:spacing w:after="0" w:line="160"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3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w:t>
      </w:r>
    </w:p>
    <w:p>
      <w:pPr>
        <w:spacing w:after="0" w:line="28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Our reported results of operations may be adversely affected by changes in accounting principles generally accepted in the United States.</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cannot be certain that additional financing will be available on favorable terms, or at all.</w:t>
      </w:r>
    </w:p>
    <w:p>
      <w:pPr>
        <w:spacing w:after="0" w:line="12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5"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3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63"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spacing w:after="0" w:line="7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74"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accounting or disclosure violation, which significantly increases the enforcement risk faced by us and other public companies for any weaknesses in disclosure controls and internal control over financial reporting.</w:t>
      </w:r>
    </w:p>
    <w:p>
      <w:pPr>
        <w:spacing w:after="0" w:line="4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6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64"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3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66"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incur costs and demands upon management as a result of complying with the laws and regulations affecting public companies in the United States, which may harm our business.</w:t>
      </w:r>
    </w:p>
    <w:p>
      <w:pPr>
        <w:spacing w:after="0" w:line="3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7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64" w:lineRule="exact"/>
        <w:rPr>
          <w:sz w:val="20"/>
          <w:szCs w:val="20"/>
          <w:color w:val="auto"/>
        </w:rPr>
      </w:pPr>
    </w:p>
    <w:p>
      <w:pPr>
        <w:jc w:val="both"/>
        <w:ind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Regulators', investors’ and other stakeholders’ expectations of our performance relating to environmental, social and governance factors may impose additional costs and expose us to new risks.</w:t>
      </w:r>
    </w:p>
    <w:p>
      <w:pPr>
        <w:spacing w:after="0" w:line="3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There is an increasing focus from regulators, investors, customers and other stakeholders concerning environmental, social and governance matters (“ESG”). Regulators are driving legislation to bring consistency and transparency to ESG disclosures. Some investors may use these ESG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spacing w:after="0" w:line="6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voluntary ESG and climate disclosures, as well as our reporting under related disclosure regulations, or a failure to meet evolving stakeholder expectations for ESG reporting and practices, may potentially harm our reputation and customer relationships or expose us to liability. Due to new regulatory standards and market standards, certain new or existing customers may impose stricter ESG guidelines or contractual language for, and may scrutinize relationships more closely with, their counterparties, including us, which may lengthen sales cycles or increase our costs.</w:t>
      </w:r>
    </w:p>
    <w:p>
      <w:pPr>
        <w:spacing w:after="0" w:line="6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Climate change may have an impact on our business.</w:t>
      </w:r>
    </w:p>
    <w:p>
      <w:pPr>
        <w:spacing w:after="0" w:line="12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28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information with respect to our repurchases of Class A common stock during the three months ended July 31, 2024:</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Period</w:t>
            </w:r>
          </w:p>
        </w:tc>
        <w:tc>
          <w:tcPr>
            <w:tcW w:w="220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Total Number of Shares</w:t>
            </w:r>
          </w:p>
        </w:tc>
        <w:tc>
          <w:tcPr>
            <w:tcW w:w="160" w:type="dxa"/>
            <w:vAlign w:val="bottom"/>
          </w:tcPr>
          <w:p>
            <w:pPr>
              <w:spacing w:after="0"/>
              <w:rPr>
                <w:sz w:val="16"/>
                <w:szCs w:val="16"/>
                <w:color w:val="auto"/>
              </w:rPr>
            </w:pPr>
          </w:p>
        </w:tc>
        <w:tc>
          <w:tcPr>
            <w:tcW w:w="2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8"/>
              </w:rPr>
              <w:t>Average Price Paid per Share</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Total Number of Shares</w:t>
            </w:r>
          </w:p>
        </w:tc>
        <w:tc>
          <w:tcPr>
            <w:tcW w:w="140" w:type="dxa"/>
            <w:vAlign w:val="bottom"/>
          </w:tcPr>
          <w:p>
            <w:pPr>
              <w:spacing w:after="0"/>
              <w:rPr>
                <w:sz w:val="16"/>
                <w:szCs w:val="16"/>
                <w:color w:val="auto"/>
              </w:rPr>
            </w:pPr>
          </w:p>
        </w:tc>
        <w:tc>
          <w:tcPr>
            <w:tcW w:w="208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6"/>
              </w:rPr>
              <w:t>Approximate Dollar Value of</w:t>
            </w:r>
          </w:p>
        </w:tc>
      </w:tr>
      <w:tr>
        <w:trPr>
          <w:trHeight w:val="158"/>
        </w:trPr>
        <w:tc>
          <w:tcPr>
            <w:tcW w:w="2380" w:type="dxa"/>
            <w:vAlign w:val="bottom"/>
          </w:tcPr>
          <w:p>
            <w:pPr>
              <w:spacing w:after="0"/>
              <w:rPr>
                <w:sz w:val="13"/>
                <w:szCs w:val="13"/>
                <w:color w:val="auto"/>
              </w:rPr>
            </w:pPr>
          </w:p>
        </w:tc>
        <w:tc>
          <w:tcPr>
            <w:tcW w:w="2200" w:type="dxa"/>
            <w:vAlign w:val="bottom"/>
          </w:tcPr>
          <w:p>
            <w:pPr>
              <w:jc w:val="right"/>
              <w:ind w:right="643"/>
              <w:spacing w:after="0" w:line="158" w:lineRule="exact"/>
              <w:rPr>
                <w:sz w:val="20"/>
                <w:szCs w:val="20"/>
                <w:color w:val="auto"/>
              </w:rPr>
            </w:pPr>
            <w:r>
              <w:rPr>
                <w:rFonts w:ascii="Times New Roman" w:cs="Times New Roman" w:eastAsia="Times New Roman" w:hAnsi="Times New Roman"/>
                <w:sz w:val="14"/>
                <w:szCs w:val="14"/>
                <w:color w:val="auto"/>
              </w:rPr>
              <w:t>Purchased</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Purchased as Part of Publicly</w:t>
            </w:r>
          </w:p>
        </w:tc>
        <w:tc>
          <w:tcPr>
            <w:tcW w:w="22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Shares that May Yet Be Purchased</w:t>
            </w:r>
          </w:p>
        </w:tc>
      </w:tr>
      <w:tr>
        <w:trPr>
          <w:trHeight w:val="169"/>
        </w:trPr>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20" w:type="dxa"/>
            <w:vAlign w:val="bottom"/>
          </w:tcPr>
          <w:p>
            <w:pPr>
              <w:jc w:val="center"/>
              <w:spacing w:after="0" w:line="170" w:lineRule="exact"/>
              <w:rPr>
                <w:sz w:val="20"/>
                <w:szCs w:val="20"/>
                <w:color w:val="auto"/>
              </w:rPr>
            </w:pPr>
            <w:r>
              <w:rPr>
                <w:rFonts w:ascii="Times New Roman" w:cs="Times New Roman" w:eastAsia="Times New Roman" w:hAnsi="Times New Roman"/>
                <w:sz w:val="15"/>
                <w:szCs w:val="15"/>
                <w:color w:val="auto"/>
              </w:rPr>
              <w:t>Announced Program</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2080" w:type="dxa"/>
            <w:vAlign w:val="bottom"/>
          </w:tcPr>
          <w:p>
            <w:pPr>
              <w:jc w:val="center"/>
              <w:ind w:right="81"/>
              <w:spacing w:after="0" w:line="169" w:lineRule="exact"/>
              <w:rPr>
                <w:sz w:val="20"/>
                <w:szCs w:val="20"/>
                <w:color w:val="auto"/>
              </w:rPr>
            </w:pPr>
            <w:r>
              <w:rPr>
                <w:rFonts w:ascii="Times New Roman" w:cs="Times New Roman" w:eastAsia="Times New Roman" w:hAnsi="Times New Roman"/>
                <w:sz w:val="16"/>
                <w:szCs w:val="16"/>
                <w:color w:val="auto"/>
                <w:w w:val="98"/>
              </w:rPr>
              <w:t>Under Publicly Announced</w:t>
            </w:r>
          </w:p>
        </w:tc>
      </w:tr>
      <w:tr>
        <w:trPr>
          <w:trHeight w:val="224"/>
        </w:trPr>
        <w:tc>
          <w:tcPr>
            <w:tcW w:w="2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center"/>
              <w:ind w:right="61"/>
              <w:spacing w:after="0" w:line="224" w:lineRule="exact"/>
              <w:rPr>
                <w:sz w:val="20"/>
                <w:szCs w:val="20"/>
                <w:color w:val="auto"/>
              </w:rPr>
            </w:pPr>
            <w:r>
              <w:rPr>
                <w:rFonts w:ascii="Times New Roman" w:cs="Times New Roman" w:eastAsia="Times New Roman" w:hAnsi="Times New Roman"/>
                <w:sz w:val="16"/>
                <w:szCs w:val="16"/>
                <w:color w:val="auto"/>
                <w:w w:val="95"/>
              </w:rPr>
              <w:t>Program (in thousands)</w:t>
            </w:r>
            <w:r>
              <w:rPr>
                <w:rFonts w:ascii="Times New Roman" w:cs="Times New Roman" w:eastAsia="Times New Roman" w:hAnsi="Times New Roman"/>
                <w:sz w:val="20"/>
                <w:szCs w:val="20"/>
                <w:color w:val="auto"/>
                <w:w w:val="95"/>
                <w:vertAlign w:val="superscript"/>
              </w:rPr>
              <w:t>(1)</w:t>
            </w: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 31, 2024</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675,200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1,307,979</w:t>
            </w: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1 – 30, 2024</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1,907,991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1,907,991</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1,194,203</w:t>
            </w:r>
          </w:p>
        </w:tc>
      </w:t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31, 2024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2,245,899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2,245,899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1,062,307</w:t>
            </w: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4,829,090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4,829,090</w:t>
            </w:r>
          </w:p>
        </w:tc>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5"/>
        <w:spacing w:after="0" w:line="222" w:lineRule="auto"/>
        <w:tabs>
          <w:tab w:leader="none" w:pos="176"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 The repurchase program does not obligate us to acquire any particular amount of Class A common stock, and the repurchase program may be suspended or discontinued at any time at our discretion. See Note 8 "Stockholders’ Equity and Equity Incentive Plans" of this Quarterly Report on Form 10-Q for additional information related to share repurchases.</w:t>
      </w:r>
    </w:p>
    <w:p>
      <w:pPr>
        <w:spacing w:after="0" w:line="28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32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Trading Arrangements</w:t>
      </w:r>
    </w:p>
    <w:p>
      <w:pPr>
        <w:spacing w:after="0" w:line="10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7"/>
          <w:szCs w:val="17"/>
          <w:color w:val="auto"/>
        </w:rPr>
        <w:t>During the Company’s last fiscal quarter, the Company’s directors and officers (as defined in Rule 16a-1(f) under the Exchange Act) adopted or terminated the contracts, instructions or written plans for the purchase or sale of the Company’s securities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145020" cy="2736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020" cy="27362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2120" w:type="dxa"/>
            <w:vAlign w:val="bottom"/>
            <w:tcBorders>
              <w:top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Type of Trading</w:t>
            </w:r>
          </w:p>
        </w:tc>
        <w:tc>
          <w:tcPr>
            <w:tcW w:w="150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0"/>
        </w:trPr>
        <w:tc>
          <w:tcPr>
            <w:tcW w:w="364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Arrangement</w:t>
            </w:r>
          </w:p>
        </w:tc>
        <w:tc>
          <w:tcPr>
            <w:tcW w:w="15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r>
      <w:tr>
        <w:trPr>
          <w:trHeight w:val="27"/>
        </w:trPr>
        <w:tc>
          <w:tcPr>
            <w:tcW w:w="36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3640" w:type="dxa"/>
            <w:vAlign w:val="bottom"/>
            <w:tcBorders>
              <w:right w:val="single" w:sz="8" w:color="auto"/>
            </w:tcBorders>
          </w:tcPr>
          <w:p>
            <w:pPr>
              <w:ind w:left="1120"/>
              <w:spacing w:after="0" w:line="182" w:lineRule="exact"/>
              <w:rPr>
                <w:sz w:val="20"/>
                <w:szCs w:val="20"/>
                <w:color w:val="auto"/>
              </w:rPr>
            </w:pPr>
            <w:r>
              <w:rPr>
                <w:rFonts w:ascii="Times New Roman" w:cs="Times New Roman" w:eastAsia="Times New Roman" w:hAnsi="Times New Roman"/>
                <w:sz w:val="17"/>
                <w:szCs w:val="17"/>
                <w:b w:val="1"/>
                <w:bCs w:val="1"/>
                <w:color w:val="auto"/>
              </w:rPr>
              <w:t>Name and Position</w:t>
            </w:r>
          </w:p>
        </w:tc>
        <w:tc>
          <w:tcPr>
            <w:tcW w:w="12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9"/>
              </w:rPr>
              <w:t>Action</w:t>
            </w:r>
          </w:p>
        </w:tc>
        <w:tc>
          <w:tcPr>
            <w:tcW w:w="14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Adoption/</w:t>
            </w:r>
          </w:p>
        </w:tc>
        <w:tc>
          <w:tcPr>
            <w:tcW w:w="10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Rule 10b5-1*</w:t>
            </w:r>
          </w:p>
        </w:tc>
        <w:tc>
          <w:tcPr>
            <w:tcW w:w="11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Non-</w:t>
            </w:r>
          </w:p>
        </w:tc>
        <w:tc>
          <w:tcPr>
            <w:tcW w:w="15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Total Shares of</w:t>
            </w:r>
          </w:p>
        </w:tc>
        <w:tc>
          <w:tcPr>
            <w:tcW w:w="12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b w:val="1"/>
                <w:bCs w:val="1"/>
                <w:color w:val="auto"/>
              </w:rPr>
              <w:t>Expiration Date</w:t>
            </w:r>
          </w:p>
        </w:tc>
      </w:tr>
      <w:tr>
        <w:trPr>
          <w:trHeight w:val="196"/>
        </w:trPr>
        <w:tc>
          <w:tcPr>
            <w:tcW w:w="36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Rule 10b5-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Class A Common</w:t>
            </w:r>
          </w:p>
        </w:tc>
        <w:tc>
          <w:tcPr>
            <w:tcW w:w="1280" w:type="dxa"/>
            <w:vAlign w:val="bottom"/>
          </w:tcPr>
          <w:p>
            <w:pPr>
              <w:spacing w:after="0"/>
              <w:rPr>
                <w:sz w:val="17"/>
                <w:szCs w:val="17"/>
                <w:color w:val="auto"/>
              </w:rPr>
            </w:pPr>
          </w:p>
        </w:tc>
      </w:tr>
      <w:tr>
        <w:trPr>
          <w:trHeight w:val="196"/>
        </w:trPr>
        <w:tc>
          <w:tcPr>
            <w:tcW w:w="36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1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Stock to be</w:t>
            </w:r>
          </w:p>
        </w:tc>
        <w:tc>
          <w:tcPr>
            <w:tcW w:w="1280" w:type="dxa"/>
            <w:vAlign w:val="bottom"/>
          </w:tcPr>
          <w:p>
            <w:pPr>
              <w:spacing w:after="0"/>
              <w:rPr>
                <w:sz w:val="17"/>
                <w:szCs w:val="17"/>
                <w:color w:val="auto"/>
              </w:rPr>
            </w:pPr>
          </w:p>
        </w:tc>
      </w:tr>
      <w:tr>
        <w:trPr>
          <w:trHeight w:val="230"/>
        </w:trPr>
        <w:tc>
          <w:tcPr>
            <w:tcW w:w="364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Sold***</w:t>
            </w:r>
          </w:p>
        </w:tc>
        <w:tc>
          <w:tcPr>
            <w:tcW w:w="1280" w:type="dxa"/>
            <w:vAlign w:val="bottom"/>
          </w:tcPr>
          <w:p>
            <w:pPr>
              <w:spacing w:after="0"/>
              <w:rPr>
                <w:sz w:val="19"/>
                <w:szCs w:val="19"/>
                <w:color w:val="auto"/>
              </w:rPr>
            </w:pPr>
          </w:p>
        </w:tc>
      </w:tr>
      <w:tr>
        <w:trPr>
          <w:trHeight w:val="27"/>
        </w:trPr>
        <w:tc>
          <w:tcPr>
            <w:tcW w:w="36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3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Jonathan Chadwick, Director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Termination</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07/15/2024</w:t>
            </w:r>
          </w:p>
        </w:tc>
        <w:tc>
          <w:tcPr>
            <w:tcW w:w="10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40,000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06/30/2025</w:t>
            </w:r>
          </w:p>
        </w:tc>
      </w:tr>
      <w:tr>
        <w:trPr>
          <w:trHeight w:val="216"/>
        </w:trPr>
        <w:tc>
          <w:tcPr>
            <w:tcW w:w="3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Jonathan Chadwick, Director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Adoption</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07/15/2024</w:t>
            </w:r>
          </w:p>
        </w:tc>
        <w:tc>
          <w:tcPr>
            <w:tcW w:w="10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100,000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10/31/2025</w:t>
            </w:r>
          </w:p>
        </w:tc>
      </w:tr>
      <w:tr>
        <w:trPr>
          <w:trHeight w:val="216"/>
        </w:trPr>
        <w:tc>
          <w:tcPr>
            <w:tcW w:w="3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Janet Napolitano, Director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Adoption</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07/10/2024</w:t>
            </w:r>
          </w:p>
        </w:tc>
        <w:tc>
          <w:tcPr>
            <w:tcW w:w="10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7,094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10/09/2025</w:t>
            </w:r>
          </w:p>
        </w:tc>
      </w:tr>
      <w:tr>
        <w:trPr>
          <w:trHeight w:val="216"/>
        </w:trPr>
        <w:tc>
          <w:tcPr>
            <w:tcW w:w="3640" w:type="dxa"/>
            <w:vAlign w:val="bottom"/>
            <w:tcBorders>
              <w:bottom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17"/>
                <w:szCs w:val="17"/>
                <w:color w:val="auto"/>
              </w:rPr>
              <w:t>Aparna Bawa, Chief Operating Officer</w:t>
            </w:r>
            <w:r>
              <w:rPr>
                <w:rFonts w:ascii="Times New Roman" w:cs="Times New Roman" w:eastAsia="Times New Roman" w:hAnsi="Times New Roman"/>
                <w:sz w:val="22"/>
                <w:szCs w:val="22"/>
                <w:color w:val="auto"/>
                <w:vertAlign w:val="superscript"/>
              </w:rPr>
              <w:t>(1)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Adoption</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05/22/2024</w:t>
            </w:r>
          </w:p>
        </w:tc>
        <w:tc>
          <w:tcPr>
            <w:tcW w:w="10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98,598</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07/31/2025</w:t>
            </w:r>
          </w:p>
        </w:tc>
      </w:tr>
      <w:tr>
        <w:trPr>
          <w:trHeight w:val="216"/>
        </w:trPr>
        <w:tc>
          <w:tcPr>
            <w:tcW w:w="3640" w:type="dxa"/>
            <w:vAlign w:val="bottom"/>
            <w:tcBorders>
              <w:bottom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17"/>
                <w:szCs w:val="17"/>
                <w:color w:val="auto"/>
              </w:rPr>
              <w:t>Eric Yuan, Chief Executive Officer</w:t>
            </w:r>
            <w:r>
              <w:rPr>
                <w:rFonts w:ascii="Times New Roman" w:cs="Times New Roman" w:eastAsia="Times New Roman" w:hAnsi="Times New Roman"/>
                <w:sz w:val="22"/>
                <w:szCs w:val="22"/>
                <w:color w:val="auto"/>
                <w:vertAlign w:val="superscript"/>
              </w:rPr>
              <w:t>(2)</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Adoption</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07/12/2024</w:t>
            </w:r>
          </w:p>
        </w:tc>
        <w:tc>
          <w:tcPr>
            <w:tcW w:w="10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1,288,909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11/13/2025</w:t>
            </w:r>
          </w:p>
        </w:tc>
      </w:tr>
    </w:tbl>
    <w:p>
      <w:pPr>
        <w:ind w:left="40"/>
        <w:spacing w:after="0"/>
        <w:rPr>
          <w:sz w:val="20"/>
          <w:szCs w:val="20"/>
          <w:color w:val="auto"/>
        </w:rPr>
      </w:pPr>
      <w:r>
        <w:rPr>
          <w:rFonts w:ascii="Times New Roman" w:cs="Times New Roman" w:eastAsia="Times New Roman" w:hAnsi="Times New Roman"/>
          <w:sz w:val="17"/>
          <w:szCs w:val="17"/>
          <w:color w:val="auto"/>
        </w:rPr>
        <w:t>* Contract, instruction or written plan intended to satisfy the affirmative defense conditions of Rule 10b5-1(c) under the Exchange Act.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“Non-Rule 10b5-1 trading arrangement” as defined in Item 408(c) of Regulation S-K under the Exchange Act.</w:t>
      </w:r>
    </w:p>
    <w:p>
      <w:pPr>
        <w:spacing w:after="0" w:line="66" w:lineRule="exact"/>
        <w:rPr>
          <w:sz w:val="20"/>
          <w:szCs w:val="20"/>
          <w:color w:val="auto"/>
        </w:rPr>
      </w:pPr>
    </w:p>
    <w:p>
      <w:pPr>
        <w:jc w:val="both"/>
        <w:ind w:left="40" w:right="200"/>
        <w:spacing w:after="0" w:line="260" w:lineRule="auto"/>
        <w:rPr>
          <w:sz w:val="20"/>
          <w:szCs w:val="20"/>
          <w:color w:val="auto"/>
        </w:rPr>
      </w:pPr>
      <w:r>
        <w:rPr>
          <w:rFonts w:ascii="Times New Roman" w:cs="Times New Roman" w:eastAsia="Times New Roman" w:hAnsi="Times New Roman"/>
          <w:sz w:val="17"/>
          <w:szCs w:val="17"/>
          <w:color w:val="auto"/>
        </w:rPr>
        <w:t>*** Represents the maximum number of shares that may be sold pursuant to the 10b5-1 arrangement. The actual number of shares sold will be dependent on the satisfaction of certain conditions as set forth in the written plan and, with respect to Ms. Bawa’s and Mr. Yuan’s plans, any shares sold to cover income tax withholding and remittance obligations in connection with the settlement of the equity award.</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Represents the adoption of a Rule 10b5-1 trading plan by a trust affiliated with Aparna Bawa.</w:t>
      </w:r>
    </w:p>
    <w:p>
      <w:pPr>
        <w:ind w:left="40"/>
        <w:spacing w:after="0"/>
        <w:rPr>
          <w:sz w:val="20"/>
          <w:szCs w:val="20"/>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Represents the adoption of a Rule 10b5-1 trading plan by a trust affiliated with Eric Yuan.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4440" w:type="dxa"/>
            <w:vAlign w:val="bottom"/>
            <w:gridSpan w:val="11"/>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6"/>
                <w:szCs w:val="16"/>
                <w:color w:val="auto"/>
              </w:rPr>
            </w:pPr>
          </w:p>
        </w:tc>
        <w:tc>
          <w:tcPr>
            <w:tcW w:w="444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4720" w:type="dxa"/>
            <w:vAlign w:val="bottom"/>
            <w:gridSpan w:val="12"/>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Amended and Restated Certificate of Incorporation of Zoom</w:t>
              </w:r>
            </w:hyperlink>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020" w:type="dxa"/>
            <w:vAlign w:val="bottom"/>
            <w:tcBorders>
              <w:top w:val="single" w:sz="8" w:color="0000FF"/>
              <w:bottom w:val="single" w:sz="8" w:color="0000FF"/>
            </w:tcBorders>
            <w:gridSpan w:val="2"/>
          </w:tcPr>
          <w:p>
            <w:pPr>
              <w:spacing w:after="0" w:line="176"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Video Communications, Inc.</w:t>
              </w:r>
            </w:hyperlink>
          </w:p>
        </w:tc>
        <w:tc>
          <w:tcPr>
            <w:tcW w:w="222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4720" w:type="dxa"/>
            <w:vAlign w:val="bottom"/>
            <w:gridSpan w:val="12"/>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Amended and Restated Bylaws of Zoom Video Communications,</w:t>
              </w:r>
            </w:hyperlink>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80" w:type="dxa"/>
            <w:vAlign w:val="bottom"/>
            <w:tcBorders>
              <w:top w:val="single" w:sz="8" w:color="0000FF"/>
              <w:bottom w:val="single" w:sz="8" w:color="0000FF"/>
            </w:tcBorders>
          </w:tcPr>
          <w:p>
            <w:pPr>
              <w:spacing w:after="0" w:line="176" w:lineRule="exact"/>
              <w:rPr>
                <w:rFonts w:ascii="Times New Roman" w:cs="Times New Roman" w:eastAsia="Times New Roman" w:hAnsi="Times New Roman"/>
                <w:sz w:val="17"/>
                <w:szCs w:val="17"/>
                <w:color w:val="0000FF"/>
                <w:w w:val="99"/>
              </w:rPr>
            </w:pPr>
            <w:hyperlink r:id="rId92">
              <w:r>
                <w:rPr>
                  <w:rFonts w:ascii="Times New Roman" w:cs="Times New Roman" w:eastAsia="Times New Roman" w:hAnsi="Times New Roman"/>
                  <w:sz w:val="17"/>
                  <w:szCs w:val="17"/>
                  <w:color w:val="0000FF"/>
                  <w:w w:val="99"/>
                </w:rPr>
                <w:t>Inc.</w:t>
              </w:r>
            </w:hyperlink>
          </w:p>
        </w:tc>
        <w:tc>
          <w:tcPr>
            <w:tcW w:w="43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Exchange Act</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9"/>
          </w:tcPr>
          <w:p>
            <w:pPr>
              <w:spacing w:after="0" w:line="150" w:lineRule="exact"/>
              <w:rPr>
                <w:sz w:val="20"/>
                <w:szCs w:val="20"/>
                <w:color w:val="auto"/>
              </w:rPr>
            </w:pPr>
            <w:r>
              <w:rPr>
                <w:rFonts w:ascii="Times New Roman" w:cs="Times New Roman" w:eastAsia="Times New Roman" w:hAnsi="Times New Roman"/>
                <w:sz w:val="17"/>
                <w:szCs w:val="17"/>
                <w:color w:val="0000FF"/>
              </w:rPr>
              <w:t>Rules 13a-14(a) and 15d-14(a), as adopted pursuant to Section 302</w:t>
            </w: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2500" w:type="dxa"/>
            <w:vAlign w:val="bottom"/>
            <w:tcBorders>
              <w:bottom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20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Exchange Act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tcPr>
          <w:p>
            <w:pPr>
              <w:spacing w:after="0"/>
              <w:rPr>
                <w:sz w:val="13"/>
                <w:szCs w:val="13"/>
                <w:color w:val="auto"/>
              </w:rPr>
            </w:pPr>
          </w:p>
        </w:tc>
        <w:tc>
          <w:tcPr>
            <w:tcW w:w="4720" w:type="dxa"/>
            <w:vAlign w:val="bottom"/>
            <w:gridSpan w:val="12"/>
          </w:tcPr>
          <w:p>
            <w:pPr>
              <w:spacing w:after="0" w:line="150" w:lineRule="exact"/>
              <w:rPr>
                <w:sz w:val="20"/>
                <w:szCs w:val="20"/>
                <w:color w:val="auto"/>
              </w:rPr>
            </w:pPr>
            <w:r>
              <w:rPr>
                <w:rFonts w:ascii="Times New Roman" w:cs="Times New Roman" w:eastAsia="Times New Roman" w:hAnsi="Times New Roman"/>
                <w:sz w:val="17"/>
                <w:szCs w:val="17"/>
                <w:color w:val="0000FF"/>
              </w:rPr>
              <w:t>Rules 13a-14(a) and 15d-14(a), as adopted pursuant to Section 302</w:t>
            </w: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2500" w:type="dxa"/>
            <w:vAlign w:val="bottom"/>
            <w:tcBorders>
              <w:top w:val="single" w:sz="8" w:color="0000FF"/>
              <w:bottom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2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Certifications of Chief Executive Officer and Chief Financial</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tcPr>
          <w:p>
            <w:pPr>
              <w:spacing w:after="0"/>
              <w:rPr>
                <w:sz w:val="13"/>
                <w:szCs w:val="13"/>
                <w:color w:val="auto"/>
              </w:rPr>
            </w:pPr>
          </w:p>
        </w:tc>
        <w:tc>
          <w:tcPr>
            <w:tcW w:w="4720" w:type="dxa"/>
            <w:vAlign w:val="bottom"/>
            <w:gridSpan w:val="12"/>
          </w:tcPr>
          <w:p>
            <w:pPr>
              <w:spacing w:after="0" w:line="150" w:lineRule="exact"/>
              <w:rPr>
                <w:sz w:val="20"/>
                <w:szCs w:val="20"/>
                <w:color w:val="auto"/>
              </w:rPr>
            </w:pPr>
            <w:r>
              <w:rPr>
                <w:rFonts w:ascii="Times New Roman" w:cs="Times New Roman" w:eastAsia="Times New Roman" w:hAnsi="Times New Roman"/>
                <w:sz w:val="17"/>
                <w:szCs w:val="17"/>
                <w:color w:val="0000FF"/>
              </w:rPr>
              <w:t>Officer pursuant to 18 U.S.C. Section 1350, as adopted pursuant to</w:t>
            </w:r>
          </w:p>
        </w:tc>
        <w:tc>
          <w:tcPr>
            <w:tcW w:w="0" w:type="dxa"/>
            <w:vAlign w:val="bottom"/>
          </w:tcPr>
          <w:p>
            <w:pPr>
              <w:spacing w:after="0"/>
              <w:rPr>
                <w:sz w:val="1"/>
                <w:szCs w:val="1"/>
                <w:color w:val="auto"/>
              </w:rPr>
            </w:pPr>
          </w:p>
        </w:tc>
      </w:tr>
      <w:tr>
        <w:trPr>
          <w:trHeight w:val="163"/>
        </w:trPr>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101.INS*</w:t>
            </w:r>
          </w:p>
        </w:tc>
        <w:tc>
          <w:tcPr>
            <w:tcW w:w="4680" w:type="dxa"/>
            <w:vAlign w:val="bottom"/>
            <w:tcBorders>
              <w:top w:val="single" w:sz="8" w:color="0000FF"/>
            </w:tcBorders>
            <w:gridSpan w:val="10"/>
          </w:tcPr>
          <w:p>
            <w:pPr>
              <w:spacing w:after="0" w:line="163"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vMerge w:val="continue"/>
          </w:tcPr>
          <w:p>
            <w:pPr>
              <w:spacing w:after="0"/>
              <w:rPr>
                <w:sz w:val="19"/>
                <w:szCs w:val="19"/>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Instance Document (the instance document does not appear</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 the Interactive Data File because its XBRL tags are embedded</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within the Inline EXBRL document)</w:t>
            </w: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472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0" w:type="dxa"/>
            <w:vAlign w:val="bottom"/>
          </w:tcPr>
          <w:p>
            <w:pPr>
              <w:spacing w:after="0"/>
              <w:rPr>
                <w:sz w:val="1"/>
                <w:szCs w:val="1"/>
                <w:color w:val="auto"/>
              </w:rPr>
            </w:pPr>
          </w:p>
        </w:tc>
      </w:tr>
    </w:tbl>
    <w:p>
      <w:pPr>
        <w:ind w:left="1180" w:right="60" w:hanging="1158"/>
        <w:spacing w:after="0" w:line="235" w:lineRule="auto"/>
        <w:tabs>
          <w:tab w:leader="none" w:pos="11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from the Registrant’s Quarterly Report on Form 10-Q for the quarter ended October 31, 2023, has been formatted in Inline XBRL)</w:t>
      </w:r>
    </w:p>
    <w:p>
      <w:pPr>
        <w:spacing w:after="0" w:line="18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400" w:type="dxa"/>
            <w:vAlign w:val="bottom"/>
          </w:tcPr>
          <w:p>
            <w:pPr>
              <w:jc w:val="right"/>
              <w:ind w:right="339"/>
              <w:spacing w:after="0"/>
              <w:rPr>
                <w:sz w:val="20"/>
                <w:szCs w:val="20"/>
                <w:color w:val="auto"/>
              </w:rPr>
            </w:pPr>
            <w:r>
              <w:rPr>
                <w:rFonts w:ascii="Times New Roman" w:cs="Times New Roman" w:eastAsia="Times New Roman" w:hAnsi="Times New Roman"/>
                <w:sz w:val="17"/>
                <w:szCs w:val="17"/>
                <w:color w:val="auto"/>
              </w:rPr>
              <w:t>001-38865</w:t>
            </w:r>
          </w:p>
        </w:tc>
        <w:tc>
          <w:tcPr>
            <w:tcW w:w="1160" w:type="dxa"/>
            <w:vAlign w:val="bottom"/>
          </w:tcPr>
          <w:p>
            <w:pPr>
              <w:jc w:val="right"/>
              <w:ind w:right="579"/>
              <w:spacing w:after="0"/>
              <w:rPr>
                <w:sz w:val="20"/>
                <w:szCs w:val="20"/>
                <w:color w:val="auto"/>
              </w:rPr>
            </w:pPr>
            <w:r>
              <w:rPr>
                <w:rFonts w:ascii="Times New Roman" w:cs="Times New Roman" w:eastAsia="Times New Roman" w:hAnsi="Times New Roman"/>
                <w:sz w:val="17"/>
                <w:szCs w:val="17"/>
                <w:color w:val="auto"/>
              </w:rPr>
              <w:t>3.1</w:t>
            </w:r>
          </w:p>
        </w:tc>
        <w:tc>
          <w:tcPr>
            <w:tcW w:w="1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April 23, 2019</w:t>
            </w:r>
          </w:p>
        </w:tc>
      </w:tr>
      <w:tr>
        <w:trPr>
          <w:trHeight w:val="45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10-K</w:t>
            </w:r>
          </w:p>
        </w:tc>
        <w:tc>
          <w:tcPr>
            <w:tcW w:w="1400" w:type="dxa"/>
            <w:vAlign w:val="bottom"/>
          </w:tcPr>
          <w:p>
            <w:pPr>
              <w:jc w:val="right"/>
              <w:ind w:right="339"/>
              <w:spacing w:after="0"/>
              <w:rPr>
                <w:sz w:val="20"/>
                <w:szCs w:val="20"/>
                <w:color w:val="auto"/>
              </w:rPr>
            </w:pPr>
            <w:r>
              <w:rPr>
                <w:rFonts w:ascii="Times New Roman" w:cs="Times New Roman" w:eastAsia="Times New Roman" w:hAnsi="Times New Roman"/>
                <w:sz w:val="17"/>
                <w:szCs w:val="17"/>
                <w:color w:val="auto"/>
              </w:rPr>
              <w:t>001-38865</w:t>
            </w:r>
          </w:p>
        </w:tc>
        <w:tc>
          <w:tcPr>
            <w:tcW w:w="1160" w:type="dxa"/>
            <w:vAlign w:val="bottom"/>
          </w:tcPr>
          <w:p>
            <w:pPr>
              <w:jc w:val="right"/>
              <w:ind w:right="579"/>
              <w:spacing w:after="0"/>
              <w:rPr>
                <w:sz w:val="20"/>
                <w:szCs w:val="20"/>
                <w:color w:val="auto"/>
              </w:rPr>
            </w:pPr>
            <w:r>
              <w:rPr>
                <w:rFonts w:ascii="Times New Roman" w:cs="Times New Roman" w:eastAsia="Times New Roman" w:hAnsi="Times New Roman"/>
                <w:sz w:val="17"/>
                <w:szCs w:val="17"/>
                <w:color w:val="auto"/>
              </w:rPr>
              <w:t>3.2</w:t>
            </w:r>
          </w:p>
        </w:tc>
        <w:tc>
          <w:tcPr>
            <w:tcW w:w="1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March 3, 2023</w:t>
            </w:r>
          </w:p>
        </w:tc>
      </w:tr>
    </w:tbl>
    <w:p>
      <w:pPr>
        <w:spacing w:after="0" w:line="4870" w:lineRule="exact"/>
        <w:rPr>
          <w:sz w:val="20"/>
          <w:szCs w:val="20"/>
          <w:color w:val="auto"/>
        </w:rPr>
      </w:pPr>
    </w:p>
    <w:p>
      <w:pPr>
        <w:sectPr>
          <w:pgSz w:w="11900" w:h="16838" w:orient="portrait"/>
          <w:cols w:equalWidth="0" w:num="2">
            <w:col w:w="5860" w:space="140"/>
            <w:col w:w="5240"/>
          </w:cols>
          <w:pgMar w:left="320" w:top="121" w:right="339" w:bottom="1440" w:gutter="0" w:footer="0" w:header="0"/>
        </w:sectPr>
      </w:pPr>
    </w:p>
    <w:p>
      <w:pPr>
        <w:spacing w:after="0" w:line="155" w:lineRule="exact"/>
        <w:rPr>
          <w:sz w:val="20"/>
          <w:szCs w:val="20"/>
          <w:color w:val="auto"/>
        </w:rPr>
      </w:pPr>
    </w:p>
    <w:p>
      <w:pPr>
        <w:ind w:left="640" w:hanging="635"/>
        <w:spacing w:after="0" w:line="276" w:lineRule="auto"/>
        <w:tabs>
          <w:tab w:leader="none" w:pos="37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7040" w:type="dxa"/>
            <w:vAlign w:val="bottom"/>
            <w:gridSpan w:val="2"/>
          </w:tcPr>
          <w:p>
            <w:pPr>
              <w:ind w:left="258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72"/>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23, 2024</w:t>
            </w:r>
          </w:p>
        </w:tc>
        <w:tc>
          <w:tcPr>
            <w:tcW w:w="310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Eric S. Yuan</w:t>
            </w:r>
          </w:p>
        </w:tc>
      </w:tr>
      <w:tr>
        <w:trPr>
          <w:trHeight w:val="211"/>
        </w:trPr>
        <w:tc>
          <w:tcPr>
            <w:tcW w:w="4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Eric S. Yuan</w:t>
            </w:r>
          </w:p>
        </w:tc>
      </w:tr>
      <w:tr>
        <w:trPr>
          <w:trHeight w:val="221"/>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30"/>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72"/>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23, 2024</w:t>
            </w:r>
          </w:p>
        </w:tc>
        <w:tc>
          <w:tcPr>
            <w:tcW w:w="310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Kelly Steckelberg</w:t>
            </w:r>
          </w:p>
        </w:tc>
      </w:tr>
      <w:tr>
        <w:trPr>
          <w:trHeight w:val="221"/>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Kelly Steckelberg</w:t>
            </w:r>
          </w:p>
        </w:tc>
      </w:tr>
    </w:tbl>
    <w:p>
      <w:pPr>
        <w:ind w:left="73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86"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7"/>
          <w:szCs w:val="17"/>
          <w:color w:val="auto"/>
        </w:rPr>
        <w:t>CERTIFICATION OF CHIEF EXECUTIVE OFFICER PURSUANT TO EXCHANGE ACT RULES 13a-14(a) AND 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Eric S. Yuan, certify that:</w:t>
      </w:r>
    </w:p>
    <w:p>
      <w:pPr>
        <w:spacing w:after="0" w:line="184" w:lineRule="exact"/>
        <w:rPr>
          <w:sz w:val="20"/>
          <w:szCs w:val="20"/>
          <w:color w:val="auto"/>
        </w:rPr>
      </w:pPr>
    </w:p>
    <w:p>
      <w:pPr>
        <w:ind w:left="1260" w:hanging="626"/>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Zoom Video Communications, Inc.;</w:t>
      </w:r>
    </w:p>
    <w:p>
      <w:pPr>
        <w:spacing w:after="0" w:line="184" w:lineRule="exact"/>
        <w:rPr>
          <w:rFonts w:ascii="Times New Roman" w:cs="Times New Roman" w:eastAsia="Times New Roman" w:hAnsi="Times New Roman"/>
          <w:sz w:val="17"/>
          <w:szCs w:val="17"/>
          <w:color w:val="auto"/>
        </w:rPr>
      </w:pPr>
    </w:p>
    <w:p>
      <w:pPr>
        <w:jc w:val="both"/>
        <w:ind w:left="1260" w:right="80" w:hanging="626"/>
        <w:spacing w:after="0" w:line="276"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7"/>
          <w:szCs w:val="17"/>
          <w:color w:val="auto"/>
        </w:rPr>
      </w:pPr>
    </w:p>
    <w:p>
      <w:pPr>
        <w:ind w:left="1260" w:right="40" w:hanging="626"/>
        <w:spacing w:after="0" w:line="296"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jc w:val="both"/>
        <w:ind w:left="1260" w:hanging="626"/>
        <w:spacing w:after="0" w:line="268"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1900" w:right="40" w:hanging="638"/>
        <w:spacing w:after="0" w:line="276" w:lineRule="auto"/>
        <w:tabs>
          <w:tab w:leader="none" w:pos="189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7"/>
          <w:szCs w:val="17"/>
          <w:color w:val="auto"/>
        </w:rPr>
      </w:pPr>
    </w:p>
    <w:p>
      <w:pPr>
        <w:ind w:left="1900" w:right="100" w:hanging="638"/>
        <w:spacing w:after="0" w:line="276" w:lineRule="auto"/>
        <w:tabs>
          <w:tab w:leader="none" w:pos="190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7"/>
          <w:szCs w:val="17"/>
          <w:color w:val="auto"/>
        </w:rPr>
      </w:pPr>
    </w:p>
    <w:p>
      <w:pPr>
        <w:ind w:left="1900" w:right="200" w:hanging="638"/>
        <w:spacing w:after="0" w:line="276" w:lineRule="auto"/>
        <w:tabs>
          <w:tab w:leader="none" w:pos="189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7"/>
          <w:szCs w:val="17"/>
          <w:color w:val="auto"/>
        </w:rPr>
      </w:pPr>
    </w:p>
    <w:p>
      <w:pPr>
        <w:ind w:left="1900" w:right="300" w:hanging="638"/>
        <w:spacing w:after="0" w:line="276" w:lineRule="auto"/>
        <w:tabs>
          <w:tab w:leader="none" w:pos="190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7"/>
          <w:szCs w:val="17"/>
          <w:color w:val="auto"/>
        </w:rPr>
      </w:pPr>
    </w:p>
    <w:p>
      <w:pPr>
        <w:ind w:left="1260" w:right="480" w:hanging="626"/>
        <w:spacing w:after="0" w:line="276"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7"/>
          <w:szCs w:val="17"/>
          <w:color w:val="auto"/>
        </w:rPr>
      </w:pPr>
    </w:p>
    <w:p>
      <w:pPr>
        <w:ind w:left="1900" w:right="160" w:hanging="638"/>
        <w:spacing w:after="0" w:line="296" w:lineRule="auto"/>
        <w:tabs>
          <w:tab w:leader="none" w:pos="189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7"/>
          <w:szCs w:val="17"/>
          <w:color w:val="auto"/>
        </w:rPr>
      </w:pPr>
    </w:p>
    <w:p>
      <w:pPr>
        <w:ind w:left="1900" w:right="420" w:hanging="638"/>
        <w:spacing w:after="0" w:line="296" w:lineRule="auto"/>
        <w:tabs>
          <w:tab w:leader="none" w:pos="190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20320</wp:posOffset>
            </wp:positionV>
            <wp:extent cx="22288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 w:lineRule="exact"/>
        <w:rPr>
          <w:sz w:val="20"/>
          <w:szCs w:val="20"/>
          <w:color w:val="auto"/>
        </w:rPr>
      </w:pPr>
    </w:p>
    <w:p>
      <w:pPr>
        <w:ind w:left="960"/>
        <w:spacing w:after="0"/>
        <w:tabs>
          <w:tab w:leader="none" w:pos="6760" w:val="left"/>
        </w:tabs>
        <w:rPr>
          <w:sz w:val="20"/>
          <w:szCs w:val="20"/>
          <w:color w:val="auto"/>
        </w:rPr>
      </w:pPr>
      <w:r>
        <w:rPr>
          <w:rFonts w:ascii="Times New Roman" w:cs="Times New Roman" w:eastAsia="Times New Roman" w:hAnsi="Times New Roman"/>
          <w:sz w:val="17"/>
          <w:szCs w:val="17"/>
          <w:color w:val="auto"/>
        </w:rPr>
        <w:t>Date: August 23, 2024</w:t>
      </w:r>
      <w:r>
        <w:rPr>
          <w:sz w:val="20"/>
          <w:szCs w:val="20"/>
          <w:color w:val="auto"/>
        </w:rPr>
        <w:tab/>
      </w:r>
      <w:r>
        <w:rPr>
          <w:rFonts w:ascii="Times New Roman" w:cs="Times New Roman" w:eastAsia="Times New Roman" w:hAnsi="Times New Roman"/>
          <w:sz w:val="17"/>
          <w:szCs w:val="17"/>
          <w:color w:val="auto"/>
        </w:rPr>
        <w:t>Eric S. Yuan</w:t>
      </w:r>
    </w:p>
    <w:p>
      <w:pPr>
        <w:spacing w:after="0" w:line="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6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9"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7"/>
          <w:szCs w:val="17"/>
          <w:color w:val="auto"/>
        </w:rPr>
        <w:t>CERTIFICATION OF CHIEF FINANCIAL OFFICER PURSUANT TO EXCHANGE ACT RULES 13a-14(a) AND 15d-14(a)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Kelly Steckelberg, certify that:</w:t>
      </w:r>
    </w:p>
    <w:p>
      <w:pPr>
        <w:spacing w:after="0" w:line="184" w:lineRule="exact"/>
        <w:rPr>
          <w:sz w:val="20"/>
          <w:szCs w:val="20"/>
          <w:color w:val="auto"/>
        </w:rPr>
      </w:pPr>
    </w:p>
    <w:p>
      <w:pPr>
        <w:ind w:left="1260" w:hanging="626"/>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Zoom Video Communications, Inc.;</w:t>
      </w:r>
    </w:p>
    <w:p>
      <w:pPr>
        <w:spacing w:after="0" w:line="197" w:lineRule="exact"/>
        <w:rPr>
          <w:rFonts w:ascii="Times New Roman" w:cs="Times New Roman" w:eastAsia="Times New Roman" w:hAnsi="Times New Roman"/>
          <w:sz w:val="17"/>
          <w:szCs w:val="17"/>
          <w:color w:val="auto"/>
        </w:rPr>
      </w:pPr>
    </w:p>
    <w:p>
      <w:pPr>
        <w:jc w:val="both"/>
        <w:ind w:left="1260" w:right="80" w:hanging="626"/>
        <w:spacing w:after="0" w:line="276"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7"/>
          <w:szCs w:val="17"/>
          <w:color w:val="auto"/>
        </w:rPr>
      </w:pPr>
    </w:p>
    <w:p>
      <w:pPr>
        <w:ind w:left="1260" w:right="40" w:hanging="626"/>
        <w:spacing w:after="0" w:line="296"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jc w:val="both"/>
        <w:ind w:left="1260" w:hanging="626"/>
        <w:spacing w:after="0" w:line="268"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900" w:right="40" w:hanging="638"/>
        <w:spacing w:after="0" w:line="276" w:lineRule="auto"/>
        <w:tabs>
          <w:tab w:leader="none" w:pos="189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7"/>
          <w:szCs w:val="17"/>
          <w:color w:val="auto"/>
        </w:rPr>
      </w:pPr>
    </w:p>
    <w:p>
      <w:pPr>
        <w:ind w:left="1900" w:right="100" w:hanging="638"/>
        <w:spacing w:after="0" w:line="276" w:lineRule="auto"/>
        <w:tabs>
          <w:tab w:leader="none" w:pos="19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7"/>
          <w:szCs w:val="17"/>
          <w:color w:val="auto"/>
        </w:rPr>
      </w:pPr>
    </w:p>
    <w:p>
      <w:pPr>
        <w:ind w:left="1900" w:right="200" w:hanging="638"/>
        <w:spacing w:after="0" w:line="276" w:lineRule="auto"/>
        <w:tabs>
          <w:tab w:leader="none" w:pos="189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7"/>
          <w:szCs w:val="17"/>
          <w:color w:val="auto"/>
        </w:rPr>
      </w:pPr>
    </w:p>
    <w:p>
      <w:pPr>
        <w:ind w:left="1900" w:right="300" w:hanging="638"/>
        <w:spacing w:after="0" w:line="276" w:lineRule="auto"/>
        <w:tabs>
          <w:tab w:leader="none" w:pos="19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7"/>
          <w:szCs w:val="17"/>
          <w:color w:val="auto"/>
        </w:rPr>
      </w:pPr>
    </w:p>
    <w:p>
      <w:pPr>
        <w:ind w:left="1260" w:right="480" w:hanging="626"/>
        <w:spacing w:after="0" w:line="276"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7"/>
          <w:szCs w:val="17"/>
          <w:color w:val="auto"/>
        </w:rPr>
      </w:pPr>
    </w:p>
    <w:p>
      <w:pPr>
        <w:ind w:left="1900" w:right="160" w:hanging="638"/>
        <w:spacing w:after="0" w:line="296" w:lineRule="auto"/>
        <w:tabs>
          <w:tab w:leader="none" w:pos="189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Times New Roman" w:cs="Times New Roman" w:eastAsia="Times New Roman" w:hAnsi="Times New Roman"/>
          <w:sz w:val="17"/>
          <w:szCs w:val="17"/>
          <w:color w:val="auto"/>
        </w:rPr>
      </w:pPr>
    </w:p>
    <w:p>
      <w:pPr>
        <w:ind w:left="1900" w:right="420" w:hanging="638"/>
        <w:spacing w:after="0" w:line="296" w:lineRule="auto"/>
        <w:tabs>
          <w:tab w:leader="none" w:pos="19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20320</wp:posOffset>
            </wp:positionV>
            <wp:extent cx="22288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 w:lineRule="exact"/>
        <w:rPr>
          <w:sz w:val="20"/>
          <w:szCs w:val="20"/>
          <w:color w:val="auto"/>
        </w:rPr>
      </w:pPr>
    </w:p>
    <w:p>
      <w:pPr>
        <w:ind w:left="960"/>
        <w:spacing w:after="0"/>
        <w:tabs>
          <w:tab w:leader="none" w:pos="6900" w:val="left"/>
        </w:tabs>
        <w:rPr>
          <w:sz w:val="20"/>
          <w:szCs w:val="20"/>
          <w:color w:val="auto"/>
        </w:rPr>
      </w:pPr>
      <w:r>
        <w:rPr>
          <w:rFonts w:ascii="Times New Roman" w:cs="Times New Roman" w:eastAsia="Times New Roman" w:hAnsi="Times New Roman"/>
          <w:sz w:val="17"/>
          <w:szCs w:val="17"/>
          <w:color w:val="auto"/>
        </w:rPr>
        <w:t>Date: August 23, 2024</w:t>
      </w:r>
      <w:r>
        <w:rPr>
          <w:sz w:val="20"/>
          <w:szCs w:val="20"/>
          <w:color w:val="auto"/>
        </w:rPr>
        <w:tab/>
      </w:r>
      <w:r>
        <w:rPr>
          <w:rFonts w:ascii="Times New Roman" w:cs="Times New Roman" w:eastAsia="Times New Roman" w:hAnsi="Times New Roman"/>
          <w:sz w:val="17"/>
          <w:szCs w:val="17"/>
          <w:color w:val="auto"/>
        </w:rPr>
        <w:t>Kelly Steckelberg</w:t>
      </w:r>
    </w:p>
    <w:p>
      <w:pPr>
        <w:spacing w:after="0" w:line="3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40"/>
          </w:cols>
          <w:pgMar w:left="320" w:top="1036"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 SECTION 906 OF THE SARBANES-OXLEY ACT OF 2002</w:t>
      </w:r>
    </w:p>
    <w:p>
      <w:pPr>
        <w:spacing w:after="0" w:line="200" w:lineRule="exact"/>
        <w:rPr>
          <w:sz w:val="20"/>
          <w:szCs w:val="20"/>
          <w:color w:val="auto"/>
        </w:rPr>
      </w:pPr>
    </w:p>
    <w:p>
      <w:pPr>
        <w:spacing w:after="0" w:line="2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July 31, 2024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38" w:lineRule="exact"/>
        <w:rPr>
          <w:sz w:val="20"/>
          <w:szCs w:val="20"/>
          <w:color w:val="auto"/>
        </w:rPr>
      </w:pPr>
    </w:p>
    <w:p>
      <w:pPr>
        <w:ind w:left="20"/>
        <w:spacing w:after="0"/>
        <w:tabs>
          <w:tab w:leader="none" w:pos="6700" w:val="left"/>
          <w:tab w:leader="none" w:pos="7160" w:val="left"/>
        </w:tabs>
        <w:rPr>
          <w:sz w:val="20"/>
          <w:szCs w:val="20"/>
          <w:color w:val="auto"/>
        </w:rPr>
      </w:pPr>
      <w:r>
        <w:rPr>
          <w:rFonts w:ascii="Times New Roman" w:cs="Times New Roman" w:eastAsia="Times New Roman" w:hAnsi="Times New Roman"/>
          <w:sz w:val="17"/>
          <w:szCs w:val="17"/>
          <w:color w:val="auto"/>
        </w:rPr>
        <w:t>Date: August 23, 2024</w:t>
      </w:r>
      <w:r>
        <w:rPr>
          <w:sz w:val="20"/>
          <w:szCs w:val="20"/>
          <w:color w:val="auto"/>
        </w:rPr>
        <w:tab/>
      </w:r>
      <w:r>
        <w:rPr>
          <w:rFonts w:ascii="Times New Roman" w:cs="Times New Roman" w:eastAsia="Times New Roman" w:hAnsi="Times New Roman"/>
          <w:sz w:val="17"/>
          <w:szCs w:val="17"/>
          <w:color w:val="auto"/>
        </w:rPr>
        <w:t>By:</w:t>
        <w:tab/>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20320</wp:posOffset>
            </wp:positionV>
            <wp:extent cx="25038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Eric S. Yuan</w:t>
      </w:r>
    </w:p>
    <w:p>
      <w:pPr>
        <w:spacing w:after="0" w:line="3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July 31, 2024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40" w:lineRule="exact"/>
        <w:rPr>
          <w:sz w:val="20"/>
          <w:szCs w:val="20"/>
          <w:color w:val="auto"/>
        </w:rPr>
      </w:pPr>
    </w:p>
    <w:p>
      <w:pPr>
        <w:ind w:left="20"/>
        <w:spacing w:after="0"/>
        <w:tabs>
          <w:tab w:leader="none" w:pos="6700" w:val="left"/>
          <w:tab w:leader="none" w:pos="7160" w:val="left"/>
        </w:tabs>
        <w:rPr>
          <w:sz w:val="20"/>
          <w:szCs w:val="20"/>
          <w:color w:val="auto"/>
        </w:rPr>
      </w:pPr>
      <w:r>
        <w:rPr>
          <w:rFonts w:ascii="Times New Roman" w:cs="Times New Roman" w:eastAsia="Times New Roman" w:hAnsi="Times New Roman"/>
          <w:sz w:val="17"/>
          <w:szCs w:val="17"/>
          <w:color w:val="auto"/>
        </w:rPr>
        <w:t>Date: August 23, 2024</w:t>
      </w:r>
      <w:r>
        <w:rPr>
          <w:sz w:val="20"/>
          <w:szCs w:val="20"/>
          <w:color w:val="auto"/>
        </w:rPr>
        <w:tab/>
      </w:r>
      <w:r>
        <w:rPr>
          <w:rFonts w:ascii="Times New Roman" w:cs="Times New Roman" w:eastAsia="Times New Roman" w:hAnsi="Times New Roman"/>
          <w:sz w:val="17"/>
          <w:szCs w:val="17"/>
          <w:color w:val="auto"/>
        </w:rPr>
        <w:t>By:</w:t>
        <w:tab/>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20320</wp:posOffset>
            </wp:positionV>
            <wp:extent cx="25038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Kelly Steckelberg</w:t>
      </w:r>
    </w:p>
    <w:p>
      <w:pPr>
        <w:spacing w:after="0" w:line="3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Roman"/>
      <w:start w:val="3"/>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1" Type="http://schemas.openxmlformats.org/officeDocument/2006/relationships/hyperlink" Target="https://www.sec.gov/Archives/edgar/data/1585521/000119312519115111/d736915dex31.htm" TargetMode="External"/><Relationship Id="rId92" Type="http://schemas.openxmlformats.org/officeDocument/2006/relationships/hyperlink" Target="https://www.sec.gov/Archives/edgar/data/1585521/000158552123000035/zoom-amendedandrestate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2024-08-23T15:19:17Z</dcterms:created>
  <dcterms:modified xsi:type="dcterms:W3CDTF">2024-08-23T15:19:17Z</dcterms:modified>
</cp:coreProperties>
</file>