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386080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411480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6"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___________________________________________________________________</w:t>
      </w:r>
    </w:p>
    <w:p>
      <w:pPr>
        <w:spacing w:after="0" w:line="8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FORM 10-Q</w:t>
      </w:r>
    </w:p>
    <w:p>
      <w:pPr>
        <w:spacing w:after="0" w:line="27"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___________________________________________________________________</w:t>
      </w: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40" w:lineRule="exact"/>
        <w:rPr>
          <w:sz w:val="24"/>
          <w:szCs w:val="24"/>
          <w:color w:val="auto"/>
        </w:rPr>
      </w:pPr>
    </w:p>
    <w:p>
      <w:pPr>
        <w:ind w:left="560" w:right="540" w:hanging="534"/>
        <w:spacing w:after="0" w:line="238" w:lineRule="auto"/>
        <w:tabs>
          <w:tab w:leader="none" w:pos="5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October 31, 2022</w:t>
      </w:r>
    </w:p>
    <w:p>
      <w:pPr>
        <w:spacing w:after="0" w:line="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0" w:lineRule="exact"/>
        <w:rPr>
          <w:sz w:val="24"/>
          <w:szCs w:val="24"/>
          <w:color w:val="auto"/>
        </w:rPr>
      </w:pPr>
    </w:p>
    <w:p>
      <w:pPr>
        <w:ind w:left="580" w:right="500" w:hanging="534"/>
        <w:spacing w:after="0" w:line="238" w:lineRule="auto"/>
        <w:tabs>
          <w:tab w:leader="none" w:pos="58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28" w:lineRule="exact"/>
        <w:rPr>
          <w:sz w:val="24"/>
          <w:szCs w:val="24"/>
          <w:color w:val="auto"/>
        </w:rPr>
      </w:pPr>
    </w:p>
    <w:tbl>
      <w:tblPr>
        <w:tblLayout w:type="fixed"/>
        <w:tblInd w:w="40" w:type="dxa"/>
        <w:tblCellMar>
          <w:top w:w="0" w:type="dxa"/>
          <w:left w:w="0" w:type="dxa"/>
          <w:bottom w:w="0" w:type="dxa"/>
          <w:right w:w="0" w:type="dxa"/>
        </w:tblCellMar>
      </w:tblPr>
      <w:tr>
        <w:trPr>
          <w:trHeight w:val="238"/>
        </w:trPr>
        <w:tc>
          <w:tcPr>
            <w:tcW w:w="7480" w:type="dxa"/>
            <w:vAlign w:val="bottom"/>
            <w:gridSpan w:val="6"/>
          </w:tcPr>
          <w:p>
            <w:pPr>
              <w:ind w:left="342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3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w:t>
            </w:r>
          </w:p>
        </w:tc>
      </w:tr>
      <w:tr>
        <w:trPr>
          <w:trHeight w:val="232"/>
        </w:trPr>
        <w:tc>
          <w:tcPr>
            <w:tcW w:w="3880" w:type="dxa"/>
            <w:vAlign w:val="bottom"/>
          </w:tcPr>
          <w:p>
            <w:pPr>
              <w:spacing w:after="0"/>
              <w:rPr>
                <w:sz w:val="20"/>
                <w:szCs w:val="20"/>
                <w:color w:val="auto"/>
              </w:rPr>
            </w:pPr>
          </w:p>
        </w:tc>
        <w:tc>
          <w:tcPr>
            <w:tcW w:w="360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Commission File Number 001-38865</w:t>
            </w:r>
          </w:p>
        </w:tc>
        <w:tc>
          <w:tcPr>
            <w:tcW w:w="3700" w:type="dxa"/>
            <w:vAlign w:val="bottom"/>
          </w:tcPr>
          <w:p>
            <w:pPr>
              <w:spacing w:after="0"/>
              <w:rPr>
                <w:sz w:val="20"/>
                <w:szCs w:val="20"/>
                <w:color w:val="auto"/>
              </w:rPr>
            </w:pPr>
          </w:p>
        </w:tc>
      </w:tr>
      <w:tr>
        <w:trPr>
          <w:trHeight w:val="190"/>
        </w:trPr>
        <w:tc>
          <w:tcPr>
            <w:tcW w:w="1118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___________________________________________________________________</w:t>
            </w:r>
          </w:p>
        </w:tc>
      </w:tr>
      <w:tr>
        <w:trPr>
          <w:trHeight w:val="485"/>
        </w:trPr>
        <w:tc>
          <w:tcPr>
            <w:tcW w:w="11180" w:type="dxa"/>
            <w:vAlign w:val="bottom"/>
            <w:gridSpan w:val="7"/>
          </w:tcPr>
          <w:p>
            <w:pPr>
              <w:jc w:val="center"/>
              <w:spacing w:after="0"/>
              <w:rPr>
                <w:sz w:val="20"/>
                <w:szCs w:val="20"/>
                <w:color w:val="auto"/>
              </w:rPr>
            </w:pPr>
            <w:r>
              <w:rPr>
                <w:rFonts w:ascii="Times New Roman" w:cs="Times New Roman" w:eastAsia="Times New Roman" w:hAnsi="Times New Roman"/>
                <w:sz w:val="38"/>
                <w:szCs w:val="38"/>
                <w:b w:val="1"/>
                <w:bCs w:val="1"/>
                <w:color w:val="auto"/>
                <w:w w:val="99"/>
              </w:rPr>
              <w:t>Zoom Video Communications, Inc.</w:t>
            </w:r>
          </w:p>
        </w:tc>
      </w:tr>
      <w:tr>
        <w:trPr>
          <w:trHeight w:val="175"/>
        </w:trPr>
        <w:tc>
          <w:tcPr>
            <w:tcW w:w="3880" w:type="dxa"/>
            <w:vAlign w:val="bottom"/>
          </w:tcPr>
          <w:p>
            <w:pPr>
              <w:spacing w:after="0"/>
              <w:rPr>
                <w:sz w:val="15"/>
                <w:szCs w:val="15"/>
                <w:color w:val="auto"/>
              </w:rPr>
            </w:pPr>
          </w:p>
        </w:tc>
        <w:tc>
          <w:tcPr>
            <w:tcW w:w="360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3700" w:type="dxa"/>
            <w:vAlign w:val="bottom"/>
          </w:tcPr>
          <w:p>
            <w:pPr>
              <w:spacing w:after="0"/>
              <w:rPr>
                <w:sz w:val="15"/>
                <w:szCs w:val="15"/>
                <w:color w:val="auto"/>
              </w:rPr>
            </w:pPr>
          </w:p>
        </w:tc>
      </w:tr>
      <w:tr>
        <w:trPr>
          <w:trHeight w:val="190"/>
        </w:trPr>
        <w:tc>
          <w:tcPr>
            <w:tcW w:w="1118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___________________________________________________________________</w:t>
            </w:r>
          </w:p>
        </w:tc>
      </w:tr>
      <w:tr>
        <w:trPr>
          <w:trHeight w:val="255"/>
        </w:trPr>
        <w:tc>
          <w:tcPr>
            <w:tcW w:w="3880" w:type="dxa"/>
            <w:vAlign w:val="bottom"/>
          </w:tcPr>
          <w:p>
            <w:pPr>
              <w:jc w:val="center"/>
              <w:ind w:left="159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70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rPr>
              <w:t>61-1648780</w:t>
            </w:r>
          </w:p>
        </w:tc>
      </w:tr>
      <w:tr>
        <w:trPr>
          <w:trHeight w:val="146"/>
        </w:trPr>
        <w:tc>
          <w:tcPr>
            <w:tcW w:w="3880" w:type="dxa"/>
            <w:vAlign w:val="bottom"/>
          </w:tcPr>
          <w:p>
            <w:pPr>
              <w:jc w:val="center"/>
              <w:ind w:left="1592"/>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700" w:type="dxa"/>
            <w:vAlign w:val="bottom"/>
          </w:tcPr>
          <w:p>
            <w:pPr>
              <w:jc w:val="center"/>
              <w:ind w:right="1819"/>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880" w:type="dxa"/>
            <w:vAlign w:val="bottom"/>
          </w:tcPr>
          <w:p>
            <w:pPr>
              <w:jc w:val="center"/>
              <w:ind w:left="1592"/>
              <w:spacing w:after="0"/>
              <w:rPr>
                <w:sz w:val="20"/>
                <w:szCs w:val="20"/>
                <w:color w:val="auto"/>
              </w:rPr>
            </w:pPr>
            <w:r>
              <w:rPr>
                <w:rFonts w:ascii="Times New Roman" w:cs="Times New Roman" w:eastAsia="Times New Roman" w:hAnsi="Times New Roman"/>
                <w:sz w:val="14"/>
                <w:szCs w:val="14"/>
                <w:b w:val="1"/>
                <w:bCs w:val="1"/>
                <w:color w:val="auto"/>
              </w:rPr>
              <w:t>of incorporation or organization)</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700" w:type="dxa"/>
            <w:vAlign w:val="bottom"/>
          </w:tcPr>
          <w:p>
            <w:pPr>
              <w:jc w:val="center"/>
              <w:ind w:right="1819"/>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41"/>
        </w:trPr>
        <w:tc>
          <w:tcPr>
            <w:tcW w:w="3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60" w:type="dxa"/>
            <w:vAlign w:val="bottom"/>
            <w:gridSpan w:val="4"/>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55 Almaden Boulevard, 6</w:t>
            </w:r>
            <w:r>
              <w:rPr>
                <w:rFonts w:ascii="Times New Roman" w:cs="Times New Roman" w:eastAsia="Times New Roman" w:hAnsi="Times New Roman"/>
                <w:sz w:val="16"/>
                <w:szCs w:val="16"/>
                <w:b w:val="1"/>
                <w:bCs w:val="1"/>
                <w:color w:val="auto"/>
              </w:rPr>
              <w:t>th</w:t>
            </w:r>
            <w:r>
              <w:rPr>
                <w:rFonts w:ascii="Times New Roman" w:cs="Times New Roman" w:eastAsia="Times New Roman" w:hAnsi="Times New Roman"/>
                <w:sz w:val="18"/>
                <w:szCs w:val="18"/>
                <w:b w:val="1"/>
                <w:bCs w:val="1"/>
                <w:color w:val="auto"/>
              </w:rPr>
              <w:t xml:space="preserve"> Floor</w:t>
            </w:r>
          </w:p>
        </w:tc>
        <w:tc>
          <w:tcPr>
            <w:tcW w:w="3700" w:type="dxa"/>
            <w:vAlign w:val="bottom"/>
          </w:tcPr>
          <w:p>
            <w:pPr>
              <w:spacing w:after="0"/>
              <w:rPr>
                <w:sz w:val="24"/>
                <w:szCs w:val="24"/>
                <w:color w:val="auto"/>
              </w:rPr>
            </w:pPr>
          </w:p>
        </w:tc>
      </w:tr>
      <w:tr>
        <w:trPr>
          <w:trHeight w:val="212"/>
        </w:trPr>
        <w:tc>
          <w:tcPr>
            <w:tcW w:w="3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60" w:type="dxa"/>
            <w:vAlign w:val="bottom"/>
            <w:gridSpan w:val="3"/>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9"/>
              </w:rPr>
              <w:t>San Jose, California 95113</w:t>
            </w:r>
          </w:p>
        </w:tc>
        <w:tc>
          <w:tcPr>
            <w:tcW w:w="3700" w:type="dxa"/>
            <w:vAlign w:val="bottom"/>
          </w:tcPr>
          <w:p>
            <w:pPr>
              <w:spacing w:after="0"/>
              <w:rPr>
                <w:sz w:val="18"/>
                <w:szCs w:val="18"/>
                <w:color w:val="auto"/>
              </w:rPr>
            </w:pPr>
          </w:p>
        </w:tc>
      </w:tr>
      <w:tr>
        <w:trPr>
          <w:trHeight w:val="192"/>
        </w:trPr>
        <w:tc>
          <w:tcPr>
            <w:tcW w:w="3880" w:type="dxa"/>
            <w:vAlign w:val="bottom"/>
          </w:tcPr>
          <w:p>
            <w:pPr>
              <w:spacing w:after="0"/>
              <w:rPr>
                <w:sz w:val="16"/>
                <w:szCs w:val="16"/>
                <w:color w:val="auto"/>
              </w:rPr>
            </w:pPr>
          </w:p>
        </w:tc>
        <w:tc>
          <w:tcPr>
            <w:tcW w:w="360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i w:val="1"/>
                <w:iCs w:val="1"/>
                <w:color w:val="auto"/>
              </w:rPr>
              <w:t>(Address of principal executive offices and Zip Code)</w:t>
            </w:r>
          </w:p>
        </w:tc>
        <w:tc>
          <w:tcPr>
            <w:tcW w:w="3700" w:type="dxa"/>
            <w:vAlign w:val="bottom"/>
          </w:tcPr>
          <w:p>
            <w:pPr>
              <w:spacing w:after="0"/>
              <w:rPr>
                <w:sz w:val="16"/>
                <w:szCs w:val="16"/>
                <w:color w:val="auto"/>
              </w:rPr>
            </w:pPr>
          </w:p>
        </w:tc>
      </w:tr>
      <w:tr>
        <w:trPr>
          <w:trHeight w:val="280"/>
        </w:trPr>
        <w:tc>
          <w:tcPr>
            <w:tcW w:w="3880" w:type="dxa"/>
            <w:vAlign w:val="bottom"/>
          </w:tcPr>
          <w:p>
            <w:pPr>
              <w:spacing w:after="0"/>
              <w:rPr>
                <w:sz w:val="24"/>
                <w:szCs w:val="24"/>
                <w:color w:val="auto"/>
              </w:rPr>
            </w:pPr>
          </w:p>
        </w:tc>
        <w:tc>
          <w:tcPr>
            <w:tcW w:w="2960" w:type="dxa"/>
            <w:vAlign w:val="bottom"/>
            <w:gridSpan w:val="3"/>
          </w:tcPr>
          <w:p>
            <w:pPr>
              <w:jc w:val="center"/>
              <w:ind w:left="361"/>
              <w:spacing w:after="0"/>
              <w:rPr>
                <w:sz w:val="20"/>
                <w:szCs w:val="20"/>
                <w:color w:val="auto"/>
              </w:rPr>
            </w:pPr>
            <w:r>
              <w:rPr>
                <w:rFonts w:ascii="Times New Roman" w:cs="Times New Roman" w:eastAsia="Times New Roman" w:hAnsi="Times New Roman"/>
                <w:sz w:val="18"/>
                <w:szCs w:val="18"/>
                <w:b w:val="1"/>
                <w:bCs w:val="1"/>
                <w:color w:val="auto"/>
                <w:w w:val="99"/>
              </w:rPr>
              <w:t>(888) 799-9666</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178"/>
        </w:trPr>
        <w:tc>
          <w:tcPr>
            <w:tcW w:w="3880" w:type="dxa"/>
            <w:vAlign w:val="bottom"/>
          </w:tcPr>
          <w:p>
            <w:pPr>
              <w:spacing w:after="0"/>
              <w:rPr>
                <w:sz w:val="15"/>
                <w:szCs w:val="15"/>
                <w:color w:val="auto"/>
              </w:rPr>
            </w:pPr>
          </w:p>
        </w:tc>
        <w:tc>
          <w:tcPr>
            <w:tcW w:w="360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i w:val="1"/>
                <w:iCs w:val="1"/>
                <w:color w:val="auto"/>
              </w:rPr>
              <w:t>(Registrant’s telephone number, including area code)</w:t>
            </w:r>
          </w:p>
        </w:tc>
        <w:tc>
          <w:tcPr>
            <w:tcW w:w="3700" w:type="dxa"/>
            <w:vAlign w:val="bottom"/>
          </w:tcPr>
          <w:p>
            <w:pPr>
              <w:spacing w:after="0"/>
              <w:rPr>
                <w:sz w:val="15"/>
                <w:szCs w:val="15"/>
                <w:color w:val="auto"/>
              </w:rPr>
            </w:pPr>
          </w:p>
        </w:tc>
      </w:tr>
      <w:tr>
        <w:trPr>
          <w:trHeight w:val="190"/>
        </w:trPr>
        <w:tc>
          <w:tcPr>
            <w:tcW w:w="1118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___________________________________________________________________</w:t>
            </w:r>
          </w:p>
        </w:tc>
      </w:tr>
      <w:tr>
        <w:trPr>
          <w:trHeight w:val="260"/>
        </w:trPr>
        <w:tc>
          <w:tcPr>
            <w:tcW w:w="7480" w:type="dxa"/>
            <w:vAlign w:val="bottom"/>
            <w:gridSpan w:val="6"/>
          </w:tcPr>
          <w:p>
            <w:pPr>
              <w:jc w:val="center"/>
              <w:ind w:left="3612"/>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700" w:type="dxa"/>
            <w:vAlign w:val="bottom"/>
          </w:tcPr>
          <w:p>
            <w:pPr>
              <w:spacing w:after="0"/>
              <w:rPr>
                <w:sz w:val="22"/>
                <w:szCs w:val="22"/>
                <w:color w:val="auto"/>
              </w:rPr>
            </w:pPr>
          </w:p>
        </w:tc>
      </w:tr>
      <w:tr>
        <w:trPr>
          <w:trHeight w:val="233"/>
        </w:trPr>
        <w:tc>
          <w:tcPr>
            <w:tcW w:w="3880" w:type="dxa"/>
            <w:vAlign w:val="bottom"/>
          </w:tcPr>
          <w:p>
            <w:pPr>
              <w:jc w:val="center"/>
              <w:ind w:left="232"/>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60" w:type="dxa"/>
            <w:vAlign w:val="bottom"/>
            <w:gridSpan w:val="3"/>
          </w:tcPr>
          <w:p>
            <w:pPr>
              <w:jc w:val="center"/>
              <w:ind w:right="640"/>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3700" w:type="dxa"/>
            <w:vAlign w:val="bottom"/>
          </w:tcPr>
          <w:p>
            <w:pPr>
              <w:jc w:val="center"/>
              <w:ind w:right="459"/>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3880" w:type="dxa"/>
            <w:vAlign w:val="bottom"/>
            <w:tcBorders>
              <w:top w:val="single" w:sz="8" w:color="auto"/>
            </w:tcBorders>
          </w:tcPr>
          <w:p>
            <w:pPr>
              <w:jc w:val="center"/>
              <w:ind w:left="232"/>
              <w:spacing w:after="0"/>
              <w:rPr>
                <w:sz w:val="20"/>
                <w:szCs w:val="20"/>
                <w:color w:val="auto"/>
              </w:rPr>
            </w:pPr>
            <w:r>
              <w:rPr>
                <w:rFonts w:ascii="Times New Roman" w:cs="Times New Roman" w:eastAsia="Times New Roman" w:hAnsi="Times New Roman"/>
                <w:sz w:val="16"/>
                <w:szCs w:val="16"/>
                <w:color w:val="auto"/>
              </w:rPr>
              <w:t>Class A Common Stock, $0.001 par value per share</w:t>
            </w:r>
          </w:p>
        </w:tc>
        <w:tc>
          <w:tcPr>
            <w:tcW w:w="3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ZM</w:t>
            </w:r>
          </w:p>
        </w:tc>
        <w:tc>
          <w:tcPr>
            <w:tcW w:w="10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3700" w:type="dxa"/>
            <w:vAlign w:val="bottom"/>
            <w:tcBorders>
              <w:top w:val="single" w:sz="8" w:color="auto"/>
            </w:tcBorders>
          </w:tcPr>
          <w:p>
            <w:pPr>
              <w:jc w:val="center"/>
              <w:ind w:right="459"/>
              <w:spacing w:after="0"/>
              <w:rPr>
                <w:sz w:val="20"/>
                <w:szCs w:val="20"/>
                <w:color w:val="auto"/>
              </w:rPr>
            </w:pPr>
            <w:r>
              <w:rPr>
                <w:rFonts w:ascii="Times New Roman" w:cs="Times New Roman" w:eastAsia="Times New Roman" w:hAnsi="Times New Roman"/>
                <w:sz w:val="16"/>
                <w:szCs w:val="16"/>
                <w:color w:val="auto"/>
              </w:rPr>
              <w:t>The Nasdaq Global Select Market</w:t>
            </w:r>
          </w:p>
        </w:tc>
      </w:tr>
    </w:tbl>
    <w:p>
      <w:pPr>
        <w:spacing w:after="0" w:line="140" w:lineRule="exact"/>
        <w:rPr>
          <w:sz w:val="24"/>
          <w:szCs w:val="24"/>
          <w:color w:val="auto"/>
        </w:rPr>
      </w:pPr>
    </w:p>
    <w:p>
      <w:pPr>
        <w:jc w:val="both"/>
        <w:spacing w:after="0" w:line="20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 w:lineRule="exact"/>
        <w:rPr>
          <w:sz w:val="24"/>
          <w:szCs w:val="24"/>
          <w:color w:val="auto"/>
        </w:rPr>
      </w:pPr>
    </w:p>
    <w:p>
      <w:pPr>
        <w:jc w:val="both"/>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 w:lineRule="exact"/>
        <w:rPr>
          <w:sz w:val="24"/>
          <w:szCs w:val="24"/>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1"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2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4900" w:type="dxa"/>
            <w:vAlign w:val="bottom"/>
          </w:tcPr>
          <w:p>
            <w:pPr>
              <w:ind w:left="2700"/>
              <w:spacing w:after="0"/>
              <w:rPr>
                <w:sz w:val="20"/>
                <w:szCs w:val="20"/>
                <w:color w:val="auto"/>
              </w:rPr>
            </w:pPr>
            <w:r>
              <w:rPr>
                <w:rFonts w:ascii="Times New Roman" w:cs="Times New Roman" w:eastAsia="Times New Roman" w:hAnsi="Times New Roman"/>
                <w:sz w:val="16"/>
                <w:szCs w:val="16"/>
                <w:color w:val="auto"/>
              </w:rPr>
              <w:t>Accelerated filer</w:t>
            </w:r>
          </w:p>
        </w:tc>
        <w:tc>
          <w:tcPr>
            <w:tcW w:w="560" w:type="dxa"/>
            <w:vAlign w:val="bottom"/>
          </w:tcPr>
          <w:p>
            <w:pPr>
              <w:ind w:left="4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2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4900" w:type="dxa"/>
            <w:vAlign w:val="bottom"/>
          </w:tcPr>
          <w:p>
            <w:pPr>
              <w:ind w:left="27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60" w:type="dxa"/>
            <w:vAlign w:val="bottom"/>
          </w:tcPr>
          <w:p>
            <w:pPr>
              <w:ind w:left="4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9"/>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2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4900" w:type="dxa"/>
            <w:vAlign w:val="bottom"/>
          </w:tcPr>
          <w:p>
            <w:pPr>
              <w:spacing w:after="0"/>
              <w:rPr>
                <w:sz w:val="19"/>
                <w:szCs w:val="19"/>
                <w:color w:val="auto"/>
              </w:rPr>
            </w:pPr>
          </w:p>
        </w:tc>
        <w:tc>
          <w:tcPr>
            <w:tcW w:w="560" w:type="dxa"/>
            <w:vAlign w:val="bottom"/>
          </w:tcPr>
          <w:p>
            <w:pPr>
              <w:spacing w:after="0"/>
              <w:rPr>
                <w:sz w:val="19"/>
                <w:szCs w:val="19"/>
                <w:color w:val="auto"/>
              </w:rPr>
            </w:pPr>
          </w:p>
        </w:tc>
      </w:tr>
    </w:tbl>
    <w:p>
      <w:pPr>
        <w:spacing w:after="0" w:line="141" w:lineRule="exact"/>
        <w:rPr>
          <w:sz w:val="24"/>
          <w:szCs w:val="24"/>
          <w:color w:val="auto"/>
        </w:rPr>
      </w:pPr>
    </w:p>
    <w:p>
      <w:pPr>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84" w:lineRule="exact"/>
        <w:tabs>
          <w:tab w:leader="none" w:pos="7500" w:val="left"/>
          <w:tab w:leader="none" w:pos="814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51" w:lineRule="exact"/>
        <w:rPr>
          <w:sz w:val="24"/>
          <w:szCs w:val="24"/>
          <w:color w:val="auto"/>
        </w:rPr>
      </w:pPr>
    </w:p>
    <w:p>
      <w:pPr>
        <w:spacing w:after="0" w:line="257" w:lineRule="auto"/>
        <w:rPr>
          <w:sz w:val="20"/>
          <w:szCs w:val="20"/>
          <w:color w:val="auto"/>
        </w:rPr>
      </w:pPr>
      <w:r>
        <w:rPr>
          <w:rFonts w:ascii="Times New Roman" w:cs="Times New Roman" w:eastAsia="Times New Roman" w:hAnsi="Times New Roman"/>
          <w:sz w:val="16"/>
          <w:szCs w:val="16"/>
          <w:color w:val="auto"/>
        </w:rPr>
        <w:t>As of November 11, 2022, the number of shares of the registrant’s Class A common stock outstanding was 245,652,118 and the number of shares of the registrant’s Class B common stock outstanding was 46,670,111.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814705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29845</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55880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7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66"/>
        </w:trPr>
        <w:tc>
          <w:tcPr>
            <w:tcW w:w="94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0" w:type="dxa"/>
            <w:vAlign w:val="bottom"/>
            <w:gridSpan w:val="11"/>
          </w:tcPr>
          <w:p>
            <w:pPr>
              <w:jc w:val="center"/>
              <w:ind w:right="1880"/>
              <w:spacing w:after="0"/>
              <w:rPr>
                <w:sz w:val="20"/>
                <w:szCs w:val="20"/>
                <w:color w:val="auto"/>
              </w:rPr>
            </w:pPr>
            <w:r>
              <w:rPr>
                <w:rFonts w:ascii="Times New Roman" w:cs="Times New Roman" w:eastAsia="Times New Roman" w:hAnsi="Times New Roman"/>
                <w:sz w:val="18"/>
                <w:szCs w:val="18"/>
                <w:b w:val="1"/>
                <w:bCs w:val="1"/>
                <w:color w:val="auto"/>
                <w:w w:val="99"/>
              </w:rPr>
              <w:t>Zoom Video Communications, Inc.</w:t>
            </w: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0" w:type="dxa"/>
            <w:vAlign w:val="bottom"/>
            <w:gridSpan w:val="11"/>
          </w:tcPr>
          <w:p>
            <w:pPr>
              <w:jc w:val="center"/>
              <w:ind w:right="1880"/>
              <w:spacing w:after="0"/>
              <w:rPr>
                <w:sz w:val="20"/>
                <w:szCs w:val="20"/>
                <w:color w:val="auto"/>
              </w:rPr>
            </w:pPr>
            <w:r>
              <w:rPr>
                <w:rFonts w:ascii="Times New Roman" w:cs="Times New Roman" w:eastAsia="Times New Roman" w:hAnsi="Times New Roman"/>
                <w:sz w:val="18"/>
                <w:szCs w:val="18"/>
                <w:b w:val="1"/>
                <w:bCs w:val="1"/>
                <w:color w:val="auto"/>
                <w:w w:val="99"/>
              </w:rPr>
              <w:t>Quarterly Report on Form 10-Q</w:t>
            </w: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0" w:type="dxa"/>
            <w:vAlign w:val="bottom"/>
            <w:gridSpan w:val="11"/>
          </w:tcPr>
          <w:p>
            <w:pPr>
              <w:jc w:val="center"/>
              <w:ind w:right="1860"/>
              <w:spacing w:after="0"/>
              <w:rPr>
                <w:sz w:val="20"/>
                <w:szCs w:val="20"/>
                <w:color w:val="auto"/>
              </w:rPr>
            </w:pPr>
            <w:r>
              <w:rPr>
                <w:rFonts w:ascii="Times New Roman" w:cs="Times New Roman" w:eastAsia="Times New Roman" w:hAnsi="Times New Roman"/>
                <w:sz w:val="18"/>
                <w:szCs w:val="18"/>
                <w:b w:val="1"/>
                <w:bCs w:val="1"/>
                <w:color w:val="auto"/>
                <w:w w:val="99"/>
              </w:rPr>
              <w:t>For the Quarterly Period Ended October 31, 2022</w:t>
            </w: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0" w:type="dxa"/>
            <w:vAlign w:val="bottom"/>
            <w:gridSpan w:val="11"/>
          </w:tcPr>
          <w:p>
            <w:pPr>
              <w:jc w:val="center"/>
              <w:ind w:right="18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940" w:type="dxa"/>
            <w:vAlign w:val="bottom"/>
          </w:tcPr>
          <w:p>
            <w:pPr>
              <w:spacing w:after="0"/>
              <w:rPr>
                <w:sz w:val="22"/>
                <w:szCs w:val="22"/>
                <w:color w:val="auto"/>
              </w:rPr>
            </w:pPr>
          </w:p>
        </w:tc>
        <w:tc>
          <w:tcPr>
            <w:tcW w:w="3880" w:type="dxa"/>
            <w:vAlign w:val="bottom"/>
            <w:gridSpan w:val="15"/>
            <w:vMerge w:val="restart"/>
          </w:tcPr>
          <w:p>
            <w:pPr>
              <w:spacing w:after="0"/>
              <w:rPr>
                <w:sz w:val="20"/>
                <w:szCs w:val="20"/>
                <w:color w:val="auto"/>
              </w:rPr>
            </w:pPr>
            <w:r>
              <w:rPr>
                <w:rFonts w:ascii="Times New Roman" w:cs="Times New Roman" w:eastAsia="Times New Roman" w:hAnsi="Times New Roman"/>
                <w:sz w:val="18"/>
                <w:szCs w:val="18"/>
                <w:color w:val="0000FF"/>
                <w:w w:val="99"/>
              </w:rPr>
              <w:t>Special Note Regarding Forward-Looking Statements</w:t>
            </w:r>
          </w:p>
        </w:tc>
        <w:tc>
          <w:tcPr>
            <w:tcW w:w="4940" w:type="dxa"/>
            <w:vAlign w:val="bottom"/>
            <w:gridSpan w:val="10"/>
            <w:vMerge w:val="restart"/>
          </w:tcPr>
          <w:p>
            <w:pPr>
              <w:spacing w:after="0"/>
              <w:rPr>
                <w:sz w:val="22"/>
                <w:szCs w:val="22"/>
                <w:color w:val="auto"/>
              </w:rPr>
            </w:pPr>
          </w:p>
        </w:tc>
        <w:tc>
          <w:tcPr>
            <w:tcW w:w="14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174"/>
        </w:trPr>
        <w:tc>
          <w:tcPr>
            <w:tcW w:w="940" w:type="dxa"/>
            <w:vAlign w:val="bottom"/>
          </w:tcPr>
          <w:p>
            <w:pPr>
              <w:spacing w:after="0"/>
              <w:rPr>
                <w:sz w:val="14"/>
                <w:szCs w:val="14"/>
                <w:color w:val="auto"/>
              </w:rPr>
            </w:pPr>
          </w:p>
        </w:tc>
        <w:tc>
          <w:tcPr>
            <w:tcW w:w="3880" w:type="dxa"/>
            <w:vAlign w:val="bottom"/>
            <w:tcBorders>
              <w:bottom w:val="single" w:sz="8" w:color="0000FF"/>
            </w:tcBorders>
            <w:gridSpan w:val="15"/>
            <w:vMerge w:val="continue"/>
          </w:tcPr>
          <w:p>
            <w:pPr>
              <w:spacing w:after="0"/>
              <w:rPr>
                <w:sz w:val="14"/>
                <w:szCs w:val="14"/>
                <w:color w:val="auto"/>
              </w:rPr>
            </w:pPr>
          </w:p>
        </w:tc>
        <w:tc>
          <w:tcPr>
            <w:tcW w:w="4940" w:type="dxa"/>
            <w:vAlign w:val="bottom"/>
            <w:gridSpan w:val="10"/>
            <w:vMerge w:val="continue"/>
          </w:tcPr>
          <w:p>
            <w:pPr>
              <w:spacing w:after="0"/>
              <w:rPr>
                <w:sz w:val="14"/>
                <w:szCs w:val="14"/>
                <w:color w:val="auto"/>
              </w:rPr>
            </w:pPr>
          </w:p>
        </w:tc>
        <w:tc>
          <w:tcPr>
            <w:tcW w:w="1440" w:type="dxa"/>
            <w:vAlign w:val="bottom"/>
            <w:tcBorders>
              <w:top w:val="single" w:sz="8" w:color="auto"/>
            </w:tcBorders>
          </w:tcPr>
          <w:p>
            <w:pPr>
              <w:jc w:val="center"/>
              <w:spacing w:after="0" w:line="156" w:lineRule="exact"/>
              <w:rPr>
                <w:sz w:val="20"/>
                <w:szCs w:val="20"/>
                <w:color w:val="auto"/>
              </w:rPr>
            </w:pPr>
            <w:r>
              <w:rPr>
                <w:rFonts w:ascii="Times New Roman" w:cs="Times New Roman" w:eastAsia="Times New Roman" w:hAnsi="Times New Roman"/>
                <w:sz w:val="18"/>
                <w:szCs w:val="18"/>
                <w:color w:val="auto"/>
                <w:w w:val="88"/>
              </w:rPr>
              <w:t>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940" w:type="dxa"/>
            <w:vAlign w:val="bottom"/>
          </w:tcPr>
          <w:p>
            <w:pPr>
              <w:spacing w:after="0"/>
              <w:rPr>
                <w:sz w:val="19"/>
                <w:szCs w:val="19"/>
                <w:color w:val="auto"/>
              </w:rPr>
            </w:pPr>
          </w:p>
        </w:tc>
        <w:tc>
          <w:tcPr>
            <w:tcW w:w="88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Summary Risk Factors</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40" w:type="dxa"/>
            <w:vAlign w:val="bottom"/>
          </w:tcPr>
          <w:p>
            <w:pPr>
              <w:spacing w:after="0"/>
              <w:rPr>
                <w:sz w:val="22"/>
                <w:szCs w:val="22"/>
                <w:color w:val="auto"/>
              </w:rPr>
            </w:pPr>
          </w:p>
        </w:tc>
        <w:tc>
          <w:tcPr>
            <w:tcW w:w="88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PART I – Financial Information</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Item 1.</w:t>
            </w:r>
          </w:p>
        </w:tc>
        <w:tc>
          <w:tcPr>
            <w:tcW w:w="24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6400" w:type="dxa"/>
            <w:vAlign w:val="bottom"/>
            <w:gridSpan w:val="11"/>
          </w:tcPr>
          <w:p>
            <w:pPr>
              <w:spacing w:after="0"/>
              <w:rPr>
                <w:sz w:val="22"/>
                <w:szCs w:val="22"/>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88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October 31, 2022 and January 31, 2022</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940" w:type="dxa"/>
            <w:vAlign w:val="bottom"/>
          </w:tcPr>
          <w:p>
            <w:pPr>
              <w:spacing w:after="0"/>
              <w:rPr>
                <w:sz w:val="24"/>
                <w:szCs w:val="24"/>
                <w:color w:val="auto"/>
              </w:rPr>
            </w:pPr>
          </w:p>
        </w:tc>
        <w:tc>
          <w:tcPr>
            <w:tcW w:w="88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for the Three and Nine Months Ended October 31, 2022 and 2021</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940" w:type="dxa"/>
            <w:vAlign w:val="bottom"/>
          </w:tcPr>
          <w:p>
            <w:pPr>
              <w:spacing w:after="0"/>
              <w:rPr>
                <w:sz w:val="24"/>
                <w:szCs w:val="24"/>
                <w:color w:val="auto"/>
              </w:rPr>
            </w:pPr>
          </w:p>
        </w:tc>
        <w:tc>
          <w:tcPr>
            <w:tcW w:w="88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for the Three and Nine Months Ended October 31, 2022</w:t>
            </w: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8660" w:type="dxa"/>
            <w:vAlign w:val="bottom"/>
            <w:tcBorders>
              <w:top w:val="single" w:sz="8" w:color="0000FF"/>
            </w:tcBorders>
            <w:gridSpan w:val="23"/>
          </w:tcPr>
          <w:p>
            <w:pPr>
              <w:spacing w:after="0" w:line="169" w:lineRule="exact"/>
              <w:rPr>
                <w:sz w:val="20"/>
                <w:szCs w:val="20"/>
                <w:color w:val="auto"/>
              </w:rPr>
            </w:pPr>
            <w:r>
              <w:rPr>
                <w:rFonts w:ascii="Times New Roman" w:cs="Times New Roman" w:eastAsia="Times New Roman" w:hAnsi="Times New Roman"/>
                <w:sz w:val="18"/>
                <w:szCs w:val="18"/>
                <w:color w:val="0000FF"/>
              </w:rPr>
              <w:t>and 2021</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940" w:type="dxa"/>
            <w:vAlign w:val="bottom"/>
          </w:tcPr>
          <w:p>
            <w:pPr>
              <w:spacing w:after="0"/>
              <w:rPr>
                <w:sz w:val="24"/>
                <w:szCs w:val="24"/>
                <w:color w:val="auto"/>
              </w:rPr>
            </w:pPr>
          </w:p>
        </w:tc>
        <w:tc>
          <w:tcPr>
            <w:tcW w:w="88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 for the Three and Nine Months Ended October 31, 2022 and</w:t>
            </w: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360" w:type="dxa"/>
            <w:vAlign w:val="bottom"/>
            <w:tcBorders>
              <w:top w:val="single" w:sz="8" w:color="0000FF"/>
              <w:bottom w:val="single" w:sz="8" w:color="0000FF"/>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FF"/>
                <w:w w:val="94"/>
              </w:rPr>
              <w:t>2021</w:t>
            </w:r>
          </w:p>
        </w:tc>
        <w:tc>
          <w:tcPr>
            <w:tcW w:w="30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146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84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1280" w:type="dxa"/>
            <w:vAlign w:val="bottom"/>
            <w:tcBorders>
              <w:top w:val="single" w:sz="8" w:color="0000FF"/>
            </w:tcBorders>
          </w:tcPr>
          <w:p>
            <w:pPr>
              <w:spacing w:after="0"/>
              <w:rPr>
                <w:sz w:val="14"/>
                <w:szCs w:val="14"/>
                <w:color w:val="auto"/>
              </w:rPr>
            </w:pPr>
          </w:p>
        </w:tc>
        <w:tc>
          <w:tcPr>
            <w:tcW w:w="70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940" w:type="dxa"/>
            <w:vAlign w:val="bottom"/>
          </w:tcPr>
          <w:p>
            <w:pPr>
              <w:spacing w:after="0"/>
              <w:rPr>
                <w:sz w:val="18"/>
                <w:szCs w:val="18"/>
                <w:color w:val="auto"/>
              </w:rPr>
            </w:pPr>
          </w:p>
        </w:tc>
        <w:tc>
          <w:tcPr>
            <w:tcW w:w="774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for the Nine Months Ended October 31, 2022 and 2021</w:t>
            </w:r>
          </w:p>
        </w:tc>
        <w:tc>
          <w:tcPr>
            <w:tcW w:w="1080" w:type="dxa"/>
            <w:vAlign w:val="bottom"/>
            <w:gridSpan w:val="4"/>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400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4820" w:type="dxa"/>
            <w:vAlign w:val="bottom"/>
            <w:gridSpan w:val="9"/>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360" w:type="dxa"/>
            <w:vAlign w:val="bottom"/>
            <w:gridSpan w:val="5"/>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460" w:type="dxa"/>
            <w:vAlign w:val="bottom"/>
            <w:gridSpan w:val="7"/>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7040" w:type="dxa"/>
            <w:vAlign w:val="bottom"/>
            <w:gridSpan w:val="15"/>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940" w:type="dxa"/>
            <w:vAlign w:val="bottom"/>
          </w:tcPr>
          <w:p>
            <w:pPr>
              <w:spacing w:after="0"/>
              <w:rPr>
                <w:sz w:val="22"/>
                <w:szCs w:val="22"/>
                <w:color w:val="auto"/>
              </w:rPr>
            </w:pPr>
          </w:p>
        </w:tc>
        <w:tc>
          <w:tcPr>
            <w:tcW w:w="88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PART II – Other Information</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740" w:type="dxa"/>
            <w:vAlign w:val="bottom"/>
            <w:tcBorders>
              <w:top w:val="single" w:sz="8" w:color="0000FF"/>
            </w:tcBorders>
            <w:gridSpan w:val="4"/>
          </w:tcPr>
          <w:p>
            <w:pPr>
              <w:spacing w:after="0"/>
              <w:rPr>
                <w:sz w:val="22"/>
                <w:szCs w:val="22"/>
                <w:color w:val="auto"/>
              </w:rPr>
            </w:pPr>
          </w:p>
        </w:tc>
        <w:tc>
          <w:tcPr>
            <w:tcW w:w="6740" w:type="dxa"/>
            <w:vAlign w:val="bottom"/>
            <w:gridSpan w:val="14"/>
          </w:tcPr>
          <w:p>
            <w:pPr>
              <w:spacing w:after="0"/>
              <w:rPr>
                <w:sz w:val="22"/>
                <w:szCs w:val="22"/>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Item 1A</w:t>
            </w:r>
          </w:p>
        </w:tc>
        <w:tc>
          <w:tcPr>
            <w:tcW w:w="88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66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480" w:type="dxa"/>
            <w:vAlign w:val="bottom"/>
            <w:gridSpan w:val="8"/>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Item 2.</w:t>
            </w:r>
          </w:p>
        </w:tc>
        <w:tc>
          <w:tcPr>
            <w:tcW w:w="88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4480" w:type="dxa"/>
            <w:vAlign w:val="bottom"/>
            <w:gridSpan w:val="8"/>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Item 4.</w:t>
            </w:r>
          </w:p>
        </w:tc>
        <w:tc>
          <w:tcPr>
            <w:tcW w:w="232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6500" w:type="dxa"/>
            <w:vAlign w:val="bottom"/>
            <w:gridSpan w:val="12"/>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tcBorders>
              <w:top w:val="single" w:sz="8" w:color="0000FF"/>
            </w:tcBorders>
            <w:gridSpan w:val="3"/>
          </w:tcPr>
          <w:p>
            <w:pPr>
              <w:spacing w:after="0"/>
              <w:rPr>
                <w:sz w:val="18"/>
                <w:szCs w:val="18"/>
                <w:color w:val="auto"/>
              </w:rPr>
            </w:pPr>
          </w:p>
        </w:tc>
        <w:tc>
          <w:tcPr>
            <w:tcW w:w="7060" w:type="dxa"/>
            <w:vAlign w:val="bottom"/>
            <w:gridSpan w:val="16"/>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Item 6.</w:t>
            </w:r>
          </w:p>
        </w:tc>
        <w:tc>
          <w:tcPr>
            <w:tcW w:w="6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Exhibits</w:t>
            </w:r>
          </w:p>
        </w:tc>
        <w:tc>
          <w:tcPr>
            <w:tcW w:w="8160" w:type="dxa"/>
            <w:vAlign w:val="bottom"/>
            <w:gridSpan w:val="22"/>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7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8060" w:type="dxa"/>
            <w:vAlign w:val="bottom"/>
            <w:gridSpan w:val="21"/>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28"/>
        </w:trPr>
        <w:tc>
          <w:tcPr>
            <w:tcW w:w="940" w:type="dxa"/>
            <w:vAlign w:val="bottom"/>
          </w:tcPr>
          <w:p>
            <w:pPr>
              <w:spacing w:after="0"/>
              <w:rPr>
                <w:sz w:val="24"/>
                <w:szCs w:val="24"/>
                <w:color w:val="auto"/>
              </w:rPr>
            </w:pPr>
          </w:p>
        </w:tc>
        <w:tc>
          <w:tcPr>
            <w:tcW w:w="6200" w:type="dxa"/>
            <w:vAlign w:val="bottom"/>
            <w:gridSpan w:val="19"/>
          </w:tcPr>
          <w:p>
            <w:pPr>
              <w:jc w:val="center"/>
              <w:ind w:left="3070"/>
              <w:spacing w:after="0"/>
              <w:rPr>
                <w:sz w:val="20"/>
                <w:szCs w:val="20"/>
                <w:color w:val="auto"/>
              </w:rPr>
            </w:pPr>
            <w:r>
              <w:rPr>
                <w:rFonts w:ascii="Times New Roman" w:cs="Times New Roman" w:eastAsia="Times New Roman" w:hAnsi="Times New Roman"/>
                <w:sz w:val="18"/>
                <w:szCs w:val="18"/>
                <w:color w:val="auto"/>
                <w:w w:val="88"/>
              </w:rPr>
              <w:t>2</w:t>
            </w: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21"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Section 27A of the Securities Act of 1933, as amended (the “Securities Act”), and Section 21E of the Securities Exchange Act of 1934, as amended (the “Exchange Act”), which statements involve substantial risks and uncertainties. All statements other than statements of historical facts contained in this Quarterly Report on Form 10-Q, including statements regarding our future results of operations or financial condition; business strategy and plans; and objectives of management for future operations, including our statements regarding the benefits and timing of the roll out of new technology,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Forward-looking statements contained in this Quarterly Report on Form 10-Q include, but are not limited to, statements about: our future financial performance, including our revenue, cost of revenue, gross profit, margins, and operating expenses; trends in our key business metrics; the sufficiency of our cash and cash equivalents, investments, and cash provided by sales of our products and services to meet our liquidity needs; market trends; our market position and opportunity; our growth strategy and business aspirations for our communications platform; our product strategy; our efforts to enhance the security and privacy of our platform; the potential impacts of the COVID-19 pandemic recovery and related public health measures on our business, the business of our customers, suppliers and channel partners, and the economy; our ability to operate our business and effectively manage our growth under evolving macroeconomic conditions, such as high inflation, recessionary environments and fluctuations in foreign currency exchange rates; our ability to become the ubiquitous platform for communications; our ability to attract new customers and retain existing customers; our ability to successfully expand into our existing markets and into new markets; our ability to effectively manage our growth and future expenses; and the impact of recent accounting pronouncements on our unaudited condensed consolidated financial statements.</w:t>
      </w:r>
    </w:p>
    <w:p>
      <w:pPr>
        <w:spacing w:after="0" w:line="8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You should not rely 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spacing w:after="0" w:line="8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on information available to us as of the date of this Quarterly Report on Form 10-Q. While we believe that such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7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7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You should read this Quarterly Report on Form 10-Q and the documents that we reference in this Quarterly Report on Form 10-Q and have filed with the Securities and Exchange Commission as exhibits to this Quarterly Report on Form 10-Q with the understanding that our actual future results, levels of activity, performance, and events and circumstances may be materially different from what we expect.</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Investing in our Class A common stock involves numerous risks, including the risks described in “Part II—Other Information, Item 1A. Risk Factors” of this Quarterly Report on Form 10-Q. Below are some of these risks, any one of which could materially adversely affect our business, financial condition, results of operations, and prospects.</w:t>
      </w:r>
    </w:p>
    <w:p>
      <w:pPr>
        <w:spacing w:after="0" w:line="68" w:lineRule="exact"/>
        <w:rPr>
          <w:sz w:val="20"/>
          <w:szCs w:val="20"/>
          <w:color w:val="auto"/>
        </w:rPr>
      </w:pPr>
    </w:p>
    <w:p>
      <w:pPr>
        <w:ind w:left="660" w:hanging="166"/>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on our ability to attract new customers, retain and upsell additional products and new product categories to existing customers, and upgrade free users to our paid offerings. Any decline in new customers, renewals, or upgrades would harm our business.</w:t>
      </w:r>
    </w:p>
    <w:p>
      <w:pPr>
        <w:spacing w:after="0" w:line="53" w:lineRule="exact"/>
        <w:rPr>
          <w:rFonts w:ascii="Times New Roman" w:cs="Times New Roman" w:eastAsia="Times New Roman" w:hAnsi="Times New Roman"/>
          <w:sz w:val="18"/>
          <w:szCs w:val="18"/>
          <w:color w:val="auto"/>
        </w:rPr>
      </w:pPr>
    </w:p>
    <w:p>
      <w:pPr>
        <w:jc w:val="both"/>
        <w:ind w:left="660" w:right="20" w:hanging="166"/>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we continue to add paid users to our customer base, we expect our user growth rate to continue to slow or decline as the impact of the COVID-19 pandemic continues to taper, particularly as users return to work or school or are otherwise no longer subject to limitations on in-person meetings.</w:t>
      </w:r>
    </w:p>
    <w:p>
      <w:pPr>
        <w:spacing w:after="0" w:line="6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revenue growth rate has declined, and we expect our revenue growth rate to generally decline in future periods.</w:t>
      </w:r>
    </w:p>
    <w:p>
      <w:pPr>
        <w:spacing w:after="0" w:line="117" w:lineRule="exact"/>
        <w:rPr>
          <w:rFonts w:ascii="Times New Roman" w:cs="Times New Roman" w:eastAsia="Times New Roman" w:hAnsi="Times New Roman"/>
          <w:sz w:val="18"/>
          <w:szCs w:val="18"/>
          <w:color w:val="auto"/>
        </w:rPr>
      </w:pPr>
    </w:p>
    <w:p>
      <w:pPr>
        <w:ind w:left="660" w:hanging="166"/>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delays, or outages in service from our co-located data centers and a variety of other factors would impair the delivery of our services, require us to issue credits or pay penalties, and harm our business.</w:t>
      </w:r>
    </w:p>
    <w:p>
      <w:pPr>
        <w:spacing w:after="0" w:line="53" w:lineRule="exact"/>
        <w:rPr>
          <w:rFonts w:ascii="Times New Roman" w:cs="Times New Roman" w:eastAsia="Times New Roman" w:hAnsi="Times New Roman"/>
          <w:sz w:val="18"/>
          <w:szCs w:val="18"/>
          <w:color w:val="auto"/>
        </w:rPr>
      </w:pPr>
    </w:p>
    <w:p>
      <w:pPr>
        <w:jc w:val="both"/>
        <w:ind w:left="660" w:hanging="166"/>
        <w:spacing w:after="0" w:line="25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competitive markets, and we must continue to compete effectively. Many of our actual and potential competitors benefit from competitive advantages over us, such as greater name recognition; longer operating histories; more varied products and services; larger marketing budgets; more established marketing relationships; more third-party integration; greater accessibility across devices or applications; greater access to larger user bases; major distribution agreements with hardware manufacturers and resellers; and greater financial, technical, and other resources. In addition, as we introduce new products and services, and with the introduction of new technologies and market entrants, we expect competition to intensify in the future.</w:t>
      </w:r>
    </w:p>
    <w:p>
      <w:pPr>
        <w:spacing w:after="0" w:line="79" w:lineRule="exact"/>
        <w:rPr>
          <w:rFonts w:ascii="Times New Roman" w:cs="Times New Roman" w:eastAsia="Times New Roman" w:hAnsi="Times New Roman"/>
          <w:sz w:val="18"/>
          <w:szCs w:val="18"/>
          <w:color w:val="auto"/>
        </w:rPr>
      </w:pPr>
    </w:p>
    <w:p>
      <w:pPr>
        <w:ind w:left="660" w:hanging="166"/>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Failures in internet infrastructure or interference with broadband access could cause current or potential users to believe that our systems are unreliable, possibly leading our customers and hosts to switch to our competitors, or to cancel their subscriptions to our platform.</w:t>
      </w:r>
    </w:p>
    <w:p>
      <w:pPr>
        <w:spacing w:after="0" w:line="5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we increase sales to large organizations, our sales cycles could lengthen, and we could experience greater deployment challenges.</w:t>
      </w:r>
    </w:p>
    <w:p>
      <w:pPr>
        <w:spacing w:after="0" w:line="117" w:lineRule="exact"/>
        <w:rPr>
          <w:rFonts w:ascii="Times New Roman" w:cs="Times New Roman" w:eastAsia="Times New Roman" w:hAnsi="Times New Roman"/>
          <w:sz w:val="18"/>
          <w:szCs w:val="18"/>
          <w:color w:val="auto"/>
        </w:rPr>
      </w:pPr>
    </w:p>
    <w:p>
      <w:pPr>
        <w:ind w:left="660" w:hanging="166"/>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generate revenue from sales of subscriptions to our platform, and any decline in demand for our platform or for communications and collaboration technologies in general would harm our business.</w:t>
      </w:r>
    </w:p>
    <w:p>
      <w:pPr>
        <w:spacing w:after="0" w:line="5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continue to increase our expenses in the future, which could decrease our profitability or prevent us from maintaining profitability.</w:t>
      </w:r>
    </w:p>
    <w:p>
      <w:pPr>
        <w:spacing w:after="0" w:line="11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respond to rapid technological changes, extend our platform or develop new features.</w:t>
      </w:r>
    </w:p>
    <w:p>
      <w:pPr>
        <w:spacing w:after="0" w:line="117" w:lineRule="exact"/>
        <w:rPr>
          <w:rFonts w:ascii="Times New Roman" w:cs="Times New Roman" w:eastAsia="Times New Roman" w:hAnsi="Times New Roman"/>
          <w:sz w:val="18"/>
          <w:szCs w:val="18"/>
          <w:color w:val="auto"/>
        </w:rPr>
      </w:pPr>
    </w:p>
    <w:p>
      <w:pPr>
        <w:jc w:val="both"/>
        <w:ind w:left="660" w:hanging="166"/>
        <w:spacing w:after="0" w:line="26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security measures have been compromised in the past and may be compromised in the future. If our security measures are compromised in the future or if our information technology fails, this could harm our reputation, expose us to significant fines and liability, impair our sales, and harm our business. In addition, our products and services may be perceived as not being secure. This perception may result in customers and hosts curtailing or ceasing their use of our products, our incurring significant liabilities, and our business being harmed.</w:t>
      </w:r>
    </w:p>
    <w:p>
      <w:pPr>
        <w:spacing w:after="0" w:line="71" w:lineRule="exact"/>
        <w:rPr>
          <w:rFonts w:ascii="Times New Roman" w:cs="Times New Roman" w:eastAsia="Times New Roman" w:hAnsi="Times New Roman"/>
          <w:sz w:val="18"/>
          <w:szCs w:val="18"/>
          <w:color w:val="auto"/>
        </w:rPr>
      </w:pPr>
    </w:p>
    <w:p>
      <w:pPr>
        <w:ind w:left="660" w:hanging="166"/>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at the current scale of our business, which makes it difficult to evaluate our prospects and future results of operations.</w:t>
      </w:r>
    </w:p>
    <w:p>
      <w:pPr>
        <w:spacing w:after="0" w:line="53" w:lineRule="exact"/>
        <w:rPr>
          <w:rFonts w:ascii="Times New Roman" w:cs="Times New Roman" w:eastAsia="Times New Roman" w:hAnsi="Times New Roman"/>
          <w:sz w:val="18"/>
          <w:szCs w:val="18"/>
          <w:color w:val="auto"/>
        </w:rPr>
      </w:pPr>
    </w:p>
    <w:p>
      <w:pPr>
        <w:jc w:val="both"/>
        <w:ind w:left="660" w:hanging="166"/>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actual or perceived failure by us, our customers, partners, or vendors to comply with stringent and evolving privacy, data protection, and information security laws, regulations, standards, policies, and contractual obligations could harm our reputation and business or subject us to significant fines and liability.</w:t>
      </w:r>
    </w:p>
    <w:p>
      <w:pPr>
        <w:spacing w:after="0" w:line="67" w:lineRule="exact"/>
        <w:rPr>
          <w:rFonts w:ascii="Times New Roman" w:cs="Times New Roman" w:eastAsia="Times New Roman" w:hAnsi="Times New Roman"/>
          <w:sz w:val="18"/>
          <w:szCs w:val="18"/>
          <w:color w:val="auto"/>
        </w:rPr>
      </w:pPr>
    </w:p>
    <w:p>
      <w:pPr>
        <w:ind w:left="660" w:right="20" w:hanging="166"/>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were to lose the services of our Chief Executive Officer or other members of our senior management team, we may not be able to execute our business strategy.</w:t>
      </w:r>
    </w:p>
    <w:p>
      <w:pPr>
        <w:spacing w:after="0" w:line="53" w:lineRule="exact"/>
        <w:rPr>
          <w:rFonts w:ascii="Times New Roman" w:cs="Times New Roman" w:eastAsia="Times New Roman" w:hAnsi="Times New Roman"/>
          <w:sz w:val="18"/>
          <w:szCs w:val="18"/>
          <w:color w:val="auto"/>
        </w:rPr>
      </w:pPr>
    </w:p>
    <w:p>
      <w:pPr>
        <w:ind w:left="660" w:hanging="166"/>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significant and expanding operations outside the United States, which may subject us to increased business, regulatory and economic risks that could harm our business.</w:t>
      </w:r>
    </w:p>
    <w:p>
      <w:pPr>
        <w:spacing w:after="0" w:line="53" w:lineRule="exact"/>
        <w:rPr>
          <w:rFonts w:ascii="Times New Roman" w:cs="Times New Roman" w:eastAsia="Times New Roman" w:hAnsi="Times New Roman"/>
          <w:sz w:val="18"/>
          <w:szCs w:val="18"/>
          <w:color w:val="auto"/>
        </w:rPr>
      </w:pPr>
    </w:p>
    <w:p>
      <w:pPr>
        <w:jc w:val="both"/>
        <w:ind w:left="660" w:hanging="166"/>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or assist law enforcement with enforcement of, a variety of U.S. and international laws that could result in claims, increase the cost of operations, or otherwise harm our business due to changes in the laws, changes in the interpretations of the laws, greater enforcement of the laws, or investigations into compliance with the laws.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660" w:hanging="166"/>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Zoom Phone is subject to U.S. federal and international regulation, and other products we may introduce in the future may also be subject to U.S. federal, state, or international laws, rules, and regulations. Any failure to comply with such laws, rules, and regulations could harm our business and expose us to liability.</w:t>
      </w:r>
    </w:p>
    <w:p>
      <w:pPr>
        <w:spacing w:after="0" w:line="67" w:lineRule="exact"/>
        <w:rPr>
          <w:rFonts w:ascii="Times New Roman" w:cs="Times New Roman" w:eastAsia="Times New Roman" w:hAnsi="Times New Roman"/>
          <w:sz w:val="18"/>
          <w:szCs w:val="18"/>
          <w:color w:val="auto"/>
        </w:rPr>
      </w:pPr>
    </w:p>
    <w:p>
      <w:pPr>
        <w:jc w:val="both"/>
        <w:ind w:left="660" w:hanging="166"/>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dual class structure of our common stock as contained in our amended and restated certificate of incorporation has the effect of concentrating voting control with those stockholders who held our stock prior to our initial public offering, including our executive officers, employees, and directors and their affiliates, limiting your ability to influence corporate matters.</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If we are unable to adequately address these and other risks we face, our business may be harmed.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8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ZOOM VIDEO COMMUNICATIONS,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60" w:type="dxa"/>
            <w:vAlign w:val="bottom"/>
            <w:gridSpan w:val="3"/>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7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7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60" w:type="dxa"/>
            <w:vAlign w:val="bottom"/>
            <w:gridSpan w:val="2"/>
          </w:tcPr>
          <w:p>
            <w:pPr>
              <w:jc w:val="center"/>
              <w:ind w:right="380"/>
              <w:spacing w:after="0" w:line="129" w:lineRule="exact"/>
              <w:rPr>
                <w:sz w:val="20"/>
                <w:szCs w:val="20"/>
                <w:color w:val="auto"/>
              </w:rPr>
            </w:pPr>
            <w:r>
              <w:rPr>
                <w:rFonts w:ascii="Times New Roman" w:cs="Times New Roman" w:eastAsia="Times New Roman" w:hAnsi="Times New Roman"/>
                <w:sz w:val="14"/>
                <w:szCs w:val="14"/>
                <w:b w:val="1"/>
                <w:bCs w:val="1"/>
                <w:color w:val="auto"/>
              </w:rPr>
              <w:t>October 31,</w:t>
            </w:r>
          </w:p>
        </w:tc>
        <w:tc>
          <w:tcPr>
            <w:tcW w:w="300" w:type="dxa"/>
            <w:vAlign w:val="bottom"/>
          </w:tcPr>
          <w:p>
            <w:pPr>
              <w:spacing w:after="0"/>
              <w:rPr>
                <w:sz w:val="11"/>
                <w:szCs w:val="11"/>
                <w:color w:val="auto"/>
              </w:rPr>
            </w:pPr>
          </w:p>
        </w:tc>
        <w:tc>
          <w:tcPr>
            <w:tcW w:w="1360" w:type="dxa"/>
            <w:vAlign w:val="bottom"/>
          </w:tcPr>
          <w:p>
            <w:pPr>
              <w:jc w:val="right"/>
              <w:ind w:right="380"/>
              <w:spacing w:after="0" w:line="129" w:lineRule="exact"/>
              <w:rPr>
                <w:sz w:val="20"/>
                <w:szCs w:val="20"/>
                <w:color w:val="auto"/>
              </w:rPr>
            </w:pPr>
            <w:r>
              <w:rPr>
                <w:rFonts w:ascii="Times New Roman" w:cs="Times New Roman" w:eastAsia="Times New Roman" w:hAnsi="Times New Roman"/>
                <w:sz w:val="14"/>
                <w:szCs w:val="14"/>
                <w:b w:val="1"/>
                <w:bCs w:val="1"/>
                <w:color w:val="auto"/>
              </w:rPr>
              <w:t>January 31,</w:t>
            </w:r>
          </w:p>
        </w:tc>
        <w:tc>
          <w:tcPr>
            <w:tcW w:w="0" w:type="dxa"/>
            <w:vAlign w:val="bottom"/>
          </w:tcPr>
          <w:p>
            <w:pPr>
              <w:spacing w:after="0"/>
              <w:rPr>
                <w:sz w:val="1"/>
                <w:szCs w:val="1"/>
                <w:color w:val="auto"/>
              </w:rPr>
            </w:pPr>
          </w:p>
        </w:tc>
      </w:tr>
      <w:tr>
        <w:trPr>
          <w:trHeight w:val="196"/>
        </w:trPr>
        <w:tc>
          <w:tcPr>
            <w:tcW w:w="77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rPr>
              <w:t>(unaudited)</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1,096,174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1,062,820</w:t>
            </w:r>
          </w:p>
        </w:tc>
        <w:tc>
          <w:tcPr>
            <w:tcW w:w="0" w:type="dxa"/>
            <w:vAlign w:val="bottom"/>
          </w:tcPr>
          <w:p>
            <w:pPr>
              <w:spacing w:after="0"/>
              <w:rPr>
                <w:sz w:val="1"/>
                <w:szCs w:val="1"/>
                <w:color w:val="auto"/>
              </w:rPr>
            </w:pPr>
          </w:p>
        </w:tc>
      </w:tr>
      <w:tr>
        <w:trPr>
          <w:trHeight w:val="213"/>
        </w:trPr>
        <w:tc>
          <w:tcPr>
            <w:tcW w:w="7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Marketable securities</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4,068,818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4,356,446</w:t>
            </w:r>
          </w:p>
        </w:tc>
        <w:tc>
          <w:tcPr>
            <w:tcW w:w="0" w:type="dxa"/>
            <w:vAlign w:val="bottom"/>
          </w:tcPr>
          <w:p>
            <w:pPr>
              <w:spacing w:after="0"/>
              <w:rPr>
                <w:sz w:val="1"/>
                <w:szCs w:val="1"/>
                <w:color w:val="auto"/>
              </w:rPr>
            </w:pPr>
          </w:p>
        </w:tc>
      </w:tr>
      <w:tr>
        <w:trPr>
          <w:trHeight w:val="165"/>
        </w:trPr>
        <w:tc>
          <w:tcPr>
            <w:tcW w:w="7780" w:type="dxa"/>
            <w:vAlign w:val="bottom"/>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Accounts receivable, net of allowances of $35,033 and $24,696 as of October 31, 2022 and January 31, 2022,</w:t>
            </w:r>
          </w:p>
        </w:tc>
        <w:tc>
          <w:tcPr>
            <w:tcW w:w="28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589,573</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419,673</w:t>
            </w: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respectively</w:t>
            </w:r>
          </w:p>
        </w:tc>
        <w:tc>
          <w:tcPr>
            <w:tcW w:w="28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contract acquisition costs, current</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221,871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199,266</w:t>
            </w: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165,661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145,602</w:t>
            </w:r>
          </w:p>
        </w:tc>
        <w:tc>
          <w:tcPr>
            <w:tcW w:w="0" w:type="dxa"/>
            <w:vAlign w:val="bottom"/>
          </w:tcPr>
          <w:p>
            <w:pPr>
              <w:spacing w:after="0"/>
              <w:rPr>
                <w:sz w:val="1"/>
                <w:szCs w:val="1"/>
                <w:color w:val="auto"/>
              </w:rPr>
            </w:pPr>
          </w:p>
        </w:tc>
      </w:tr>
      <w:tr>
        <w:trPr>
          <w:trHeight w:val="207"/>
        </w:trPr>
        <w:tc>
          <w:tcPr>
            <w:tcW w:w="77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current assets</w:t>
            </w: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6,142,097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6,183,807</w:t>
            </w: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contract acquisition costs, noncurrent</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173,305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164,714</w:t>
            </w:r>
          </w:p>
        </w:tc>
        <w:tc>
          <w:tcPr>
            <w:tcW w:w="0" w:type="dxa"/>
            <w:vAlign w:val="bottom"/>
          </w:tcPr>
          <w:p>
            <w:pPr>
              <w:spacing w:after="0"/>
              <w:rPr>
                <w:sz w:val="1"/>
                <w:szCs w:val="1"/>
                <w:color w:val="auto"/>
              </w:rPr>
            </w:pPr>
          </w:p>
        </w:tc>
      </w:tr>
      <w:tr>
        <w:trPr>
          <w:trHeight w:val="213"/>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250,843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222,354</w:t>
            </w: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90,981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95,965</w:t>
            </w:r>
          </w:p>
        </w:tc>
        <w:tc>
          <w:tcPr>
            <w:tcW w:w="0" w:type="dxa"/>
            <w:vAlign w:val="bottom"/>
          </w:tcPr>
          <w:p>
            <w:pPr>
              <w:spacing w:after="0"/>
              <w:rPr>
                <w:sz w:val="1"/>
                <w:szCs w:val="1"/>
                <w:color w:val="auto"/>
              </w:rPr>
            </w:pPr>
          </w:p>
        </w:tc>
      </w:tr>
      <w:tr>
        <w:trPr>
          <w:trHeight w:val="213"/>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Strategic investments</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354,549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367,814</w:t>
            </w: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122,556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27,607</w:t>
            </w:r>
          </w:p>
        </w:tc>
        <w:tc>
          <w:tcPr>
            <w:tcW w:w="0" w:type="dxa"/>
            <w:vAlign w:val="bottom"/>
          </w:tcPr>
          <w:p>
            <w:pPr>
              <w:spacing w:after="0"/>
              <w:rPr>
                <w:sz w:val="1"/>
                <w:szCs w:val="1"/>
                <w:color w:val="auto"/>
              </w:rPr>
            </w:pPr>
          </w:p>
        </w:tc>
      </w:tr>
      <w:tr>
        <w:trPr>
          <w:trHeight w:val="213"/>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assets</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550,539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382,296</w:t>
            </w: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 noncurrent</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152,308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106,761</w:t>
            </w:r>
          </w:p>
        </w:tc>
        <w:tc>
          <w:tcPr>
            <w:tcW w:w="0" w:type="dxa"/>
            <w:vAlign w:val="bottom"/>
          </w:tcPr>
          <w:p>
            <w:pPr>
              <w:spacing w:after="0"/>
              <w:rPr>
                <w:sz w:val="1"/>
                <w:szCs w:val="1"/>
                <w:color w:val="auto"/>
              </w:rPr>
            </w:pPr>
          </w:p>
        </w:tc>
      </w:tr>
      <w:tr>
        <w:trPr>
          <w:trHeight w:val="207"/>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7,837,178</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7,551,318</w:t>
            </w:r>
          </w:p>
        </w:tc>
        <w:tc>
          <w:tcPr>
            <w:tcW w:w="0" w:type="dxa"/>
            <w:vAlign w:val="bottom"/>
          </w:tcPr>
          <w:p>
            <w:pPr>
              <w:spacing w:after="0"/>
              <w:rPr>
                <w:sz w:val="1"/>
                <w:szCs w:val="1"/>
                <w:color w:val="auto"/>
              </w:rPr>
            </w:pP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7,841</w:t>
            </w:r>
          </w:p>
        </w:tc>
        <w:tc>
          <w:tcPr>
            <w:tcW w:w="0" w:type="dxa"/>
            <w:vAlign w:val="bottom"/>
          </w:tcPr>
          <w:p>
            <w:pPr>
              <w:spacing w:after="0"/>
              <w:rPr>
                <w:sz w:val="1"/>
                <w:szCs w:val="1"/>
                <w:color w:val="auto"/>
              </w:rPr>
            </w:pPr>
          </w:p>
        </w:tc>
      </w:tr>
      <w:tr>
        <w:trPr>
          <w:trHeight w:val="213"/>
        </w:trPr>
        <w:tc>
          <w:tcPr>
            <w:tcW w:w="7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561,300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430,415</w:t>
            </w: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revenue, current</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1,307,763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1,141,435</w:t>
            </w:r>
          </w:p>
        </w:tc>
        <w:tc>
          <w:tcPr>
            <w:tcW w:w="0" w:type="dxa"/>
            <w:vAlign w:val="bottom"/>
          </w:tcPr>
          <w:p>
            <w:pPr>
              <w:spacing w:after="0"/>
              <w:rPr>
                <w:sz w:val="1"/>
                <w:szCs w:val="1"/>
                <w:color w:val="auto"/>
              </w:rPr>
            </w:pPr>
          </w:p>
        </w:tc>
      </w:tr>
      <w:tr>
        <w:trPr>
          <w:trHeight w:val="207"/>
        </w:trPr>
        <w:tc>
          <w:tcPr>
            <w:tcW w:w="77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1,896,310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1,579,691</w:t>
            </w: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revenue, noncurrent</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46,460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38,481</w:t>
            </w:r>
          </w:p>
        </w:tc>
        <w:tc>
          <w:tcPr>
            <w:tcW w:w="0" w:type="dxa"/>
            <w:vAlign w:val="bottom"/>
          </w:tcPr>
          <w:p>
            <w:pPr>
              <w:spacing w:after="0"/>
              <w:rPr>
                <w:sz w:val="1"/>
                <w:szCs w:val="1"/>
                <w:color w:val="auto"/>
              </w:rPr>
            </w:pPr>
          </w:p>
        </w:tc>
      </w:tr>
      <w:tr>
        <w:trPr>
          <w:trHeight w:val="213"/>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liabilities, noncurrent</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78,128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85,018</w:t>
            </w: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liabilities, noncurrent</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60,468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68,110</w:t>
            </w:r>
          </w:p>
        </w:tc>
        <w:tc>
          <w:tcPr>
            <w:tcW w:w="0" w:type="dxa"/>
            <w:vAlign w:val="bottom"/>
          </w:tcPr>
          <w:p>
            <w:pPr>
              <w:spacing w:after="0"/>
              <w:rPr>
                <w:sz w:val="1"/>
                <w:szCs w:val="1"/>
                <w:color w:val="auto"/>
              </w:rPr>
            </w:pPr>
          </w:p>
        </w:tc>
      </w:tr>
      <w:tr>
        <w:trPr>
          <w:trHeight w:val="207"/>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2,081,366</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1,771,300</w:t>
            </w:r>
          </w:p>
        </w:tc>
        <w:tc>
          <w:tcPr>
            <w:tcW w:w="0" w:type="dxa"/>
            <w:vAlign w:val="bottom"/>
          </w:tcPr>
          <w:p>
            <w:pPr>
              <w:spacing w:after="0"/>
              <w:rPr>
                <w:sz w:val="1"/>
                <w:szCs w:val="1"/>
                <w:color w:val="auto"/>
              </w:rPr>
            </w:pPr>
          </w:p>
        </w:tc>
      </w:tr>
      <w:tr>
        <w:trPr>
          <w:trHeight w:val="19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7)</w:t>
            </w: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7780" w:type="dxa"/>
            <w:vAlign w:val="bottom"/>
            <w:shd w:val="clear" w:color="auto" w:fill="CCEEFF"/>
          </w:tcPr>
          <w:p>
            <w:pPr>
              <w:ind w:left="340"/>
              <w:spacing w:after="0" w:line="165" w:lineRule="exact"/>
              <w:rPr>
                <w:sz w:val="20"/>
                <w:szCs w:val="20"/>
                <w:color w:val="auto"/>
              </w:rPr>
            </w:pPr>
            <w:r>
              <w:rPr>
                <w:rFonts w:ascii="Times New Roman" w:cs="Times New Roman" w:eastAsia="Times New Roman" w:hAnsi="Times New Roman"/>
                <w:sz w:val="16"/>
                <w:szCs w:val="16"/>
                <w:color w:val="auto"/>
              </w:rPr>
              <w:t>Preferred stock, $0.001 par value per share, 200,000,000 shares authorized as of October 31, 2022 and January 31,</w:t>
            </w:r>
          </w:p>
        </w:tc>
        <w:tc>
          <w:tcPr>
            <w:tcW w:w="280" w:type="dxa"/>
            <w:vAlign w:val="bottom"/>
            <w:shd w:val="clear" w:color="auto" w:fill="CCEEFF"/>
          </w:tcPr>
          <w:p>
            <w:pPr>
              <w:spacing w:after="0"/>
              <w:rPr>
                <w:sz w:val="14"/>
                <w:szCs w:val="14"/>
                <w:color w:val="auto"/>
              </w:rPr>
            </w:pPr>
          </w:p>
        </w:tc>
        <w:tc>
          <w:tcPr>
            <w:tcW w:w="14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2022; zero shares issued and outstanding as of October 31, 2022 and January 31, 2022</w:t>
            </w:r>
          </w:p>
        </w:tc>
        <w:tc>
          <w:tcPr>
            <w:tcW w:w="280" w:type="dxa"/>
            <w:vAlign w:val="bottom"/>
            <w:shd w:val="clear" w:color="auto" w:fill="CCEEFF"/>
          </w:tcPr>
          <w:p>
            <w:pPr>
              <w:spacing w:after="0"/>
              <w:rPr>
                <w:sz w:val="18"/>
                <w:szCs w:val="18"/>
                <w:color w:val="auto"/>
              </w:rPr>
            </w:pPr>
          </w:p>
        </w:tc>
        <w:tc>
          <w:tcPr>
            <w:tcW w:w="146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780" w:type="dxa"/>
            <w:vAlign w:val="bottom"/>
          </w:tcPr>
          <w:p>
            <w:pPr>
              <w:ind w:left="340"/>
              <w:spacing w:after="0" w:line="162" w:lineRule="exact"/>
              <w:rPr>
                <w:sz w:val="20"/>
                <w:szCs w:val="20"/>
                <w:color w:val="auto"/>
              </w:rPr>
            </w:pPr>
            <w:r>
              <w:rPr>
                <w:rFonts w:ascii="Times New Roman" w:cs="Times New Roman" w:eastAsia="Times New Roman" w:hAnsi="Times New Roman"/>
                <w:sz w:val="16"/>
                <w:szCs w:val="16"/>
                <w:color w:val="auto"/>
              </w:rPr>
              <w:t>Common stock, $0.001 par value per share, 2,000,000,000 Class A shares authorized as of October 31, 2022 and</w:t>
            </w: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80" w:type="dxa"/>
            <w:vAlign w:val="bottom"/>
          </w:tcPr>
          <w:p>
            <w:pPr>
              <w:ind w:left="340"/>
              <w:spacing w:after="0" w:line="162" w:lineRule="exact"/>
              <w:rPr>
                <w:sz w:val="20"/>
                <w:szCs w:val="20"/>
                <w:color w:val="auto"/>
              </w:rPr>
            </w:pPr>
            <w:r>
              <w:rPr>
                <w:rFonts w:ascii="Times New Roman" w:cs="Times New Roman" w:eastAsia="Times New Roman" w:hAnsi="Times New Roman"/>
                <w:sz w:val="16"/>
                <w:szCs w:val="16"/>
                <w:color w:val="auto"/>
              </w:rPr>
              <w:t>January 31, 2022; 246,009,355 and 247,044,454 shares issued and outstanding as of October 31, 2022 and</w:t>
            </w: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80" w:type="dxa"/>
            <w:vAlign w:val="bottom"/>
          </w:tcPr>
          <w:p>
            <w:pPr>
              <w:ind w:left="340"/>
              <w:spacing w:after="0" w:line="162" w:lineRule="exact"/>
              <w:rPr>
                <w:sz w:val="20"/>
                <w:szCs w:val="20"/>
                <w:color w:val="auto"/>
              </w:rPr>
            </w:pPr>
            <w:r>
              <w:rPr>
                <w:rFonts w:ascii="Times New Roman" w:cs="Times New Roman" w:eastAsia="Times New Roman" w:hAnsi="Times New Roman"/>
                <w:sz w:val="16"/>
                <w:szCs w:val="16"/>
                <w:color w:val="auto"/>
              </w:rPr>
              <w:t>January 31, 2022, respectively; 300,000,000 Class B shares authorized as of October 31, 2022 and January 31,</w:t>
            </w: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80" w:type="dxa"/>
            <w:vAlign w:val="bottom"/>
          </w:tcPr>
          <w:p>
            <w:pPr>
              <w:ind w:left="340"/>
              <w:spacing w:after="0" w:line="162" w:lineRule="exact"/>
              <w:rPr>
                <w:sz w:val="20"/>
                <w:szCs w:val="20"/>
                <w:color w:val="auto"/>
              </w:rPr>
            </w:pPr>
            <w:r>
              <w:rPr>
                <w:rFonts w:ascii="Times New Roman" w:cs="Times New Roman" w:eastAsia="Times New Roman" w:hAnsi="Times New Roman"/>
                <w:sz w:val="16"/>
                <w:szCs w:val="16"/>
                <w:color w:val="auto"/>
              </w:rPr>
              <w:t>2022; 46,309,998 and 51,993,351 shares issued and outstanding as of October 31, 2022 and January 31, 2022,</w:t>
            </w:r>
          </w:p>
        </w:tc>
        <w:tc>
          <w:tcPr>
            <w:tcW w:w="28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0" w:type="dxa"/>
            <w:vAlign w:val="bottom"/>
          </w:tcPr>
          <w:p>
            <w:pPr>
              <w:spacing w:after="0"/>
              <w:rPr>
                <w:sz w:val="1"/>
                <w:szCs w:val="1"/>
                <w:color w:val="auto"/>
              </w:rPr>
            </w:pPr>
          </w:p>
        </w:tc>
      </w:tr>
      <w:tr>
        <w:trPr>
          <w:trHeight w:val="213"/>
        </w:trPr>
        <w:tc>
          <w:tcPr>
            <w:tcW w:w="77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respectively</w:t>
            </w:r>
          </w:p>
        </w:tc>
        <w:tc>
          <w:tcPr>
            <w:tcW w:w="28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3,572,368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3,749,514</w:t>
            </w:r>
          </w:p>
        </w:tc>
        <w:tc>
          <w:tcPr>
            <w:tcW w:w="0" w:type="dxa"/>
            <w:vAlign w:val="bottom"/>
          </w:tcPr>
          <w:p>
            <w:pPr>
              <w:spacing w:after="0"/>
              <w:rPr>
                <w:sz w:val="1"/>
                <w:szCs w:val="1"/>
                <w:color w:val="auto"/>
              </w:rPr>
            </w:pPr>
          </w:p>
        </w:tc>
      </w:tr>
      <w:tr>
        <w:trPr>
          <w:trHeight w:val="213"/>
        </w:trPr>
        <w:tc>
          <w:tcPr>
            <w:tcW w:w="77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(72,716)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(17,902)</w:t>
            </w: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Retained earnings</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2,255,868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2,048,107</w:t>
            </w:r>
          </w:p>
        </w:tc>
        <w:tc>
          <w:tcPr>
            <w:tcW w:w="0" w:type="dxa"/>
            <w:vAlign w:val="bottom"/>
          </w:tcPr>
          <w:p>
            <w:pPr>
              <w:spacing w:after="0"/>
              <w:rPr>
                <w:sz w:val="1"/>
                <w:szCs w:val="1"/>
                <w:color w:val="auto"/>
              </w:rPr>
            </w:pPr>
          </w:p>
        </w:tc>
      </w:tr>
      <w:tr>
        <w:trPr>
          <w:trHeight w:val="207"/>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5,755,812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5,780,018</w:t>
            </w:r>
          </w:p>
        </w:tc>
        <w:tc>
          <w:tcPr>
            <w:tcW w:w="0" w:type="dxa"/>
            <w:vAlign w:val="bottom"/>
          </w:tcPr>
          <w:p>
            <w:pPr>
              <w:spacing w:after="0"/>
              <w:rPr>
                <w:sz w:val="1"/>
                <w:szCs w:val="1"/>
                <w:color w:val="auto"/>
              </w:rPr>
            </w:pPr>
          </w:p>
        </w:tc>
      </w:tr>
      <w:tr>
        <w:trPr>
          <w:trHeight w:val="235"/>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7,837,178</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7,551,318</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ZOOM VIDEO COMMUNICATIONS, INC.</w:t>
      </w:r>
    </w:p>
    <w:p>
      <w:pPr>
        <w:spacing w:after="0" w:line="31"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8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380" w:type="dxa"/>
            <w:vAlign w:val="bottom"/>
          </w:tcPr>
          <w:p>
            <w:pPr>
              <w:spacing w:after="0"/>
              <w:rPr>
                <w:sz w:val="16"/>
                <w:szCs w:val="16"/>
                <w:color w:val="auto"/>
              </w:rPr>
            </w:pPr>
          </w:p>
        </w:tc>
        <w:tc>
          <w:tcPr>
            <w:tcW w:w="3020" w:type="dxa"/>
            <w:vAlign w:val="bottom"/>
            <w:gridSpan w:val="4"/>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0" w:type="dxa"/>
            <w:vAlign w:val="bottom"/>
          </w:tcPr>
          <w:p>
            <w:pPr>
              <w:spacing w:after="0"/>
              <w:rPr>
                <w:sz w:val="1"/>
                <w:szCs w:val="1"/>
                <w:color w:val="auto"/>
              </w:rPr>
            </w:pPr>
          </w:p>
        </w:tc>
      </w:tr>
      <w:tr>
        <w:trPr>
          <w:trHeight w:val="23"/>
        </w:trPr>
        <w:tc>
          <w:tcPr>
            <w:tcW w:w="43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36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1,101,899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1,050,756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3,275,157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3,028,488</w:t>
            </w:r>
          </w:p>
        </w:tc>
        <w:tc>
          <w:tcPr>
            <w:tcW w:w="0" w:type="dxa"/>
            <w:vAlign w:val="bottom"/>
          </w:tcPr>
          <w:p>
            <w:pPr>
              <w:spacing w:after="0"/>
              <w:rPr>
                <w:sz w:val="1"/>
                <w:szCs w:val="1"/>
                <w:color w:val="auto"/>
              </w:rPr>
            </w:pPr>
          </w:p>
        </w:tc>
      </w:tr>
      <w:tr>
        <w:trPr>
          <w:trHeight w:val="229"/>
        </w:trPr>
        <w:tc>
          <w:tcPr>
            <w:tcW w:w="4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270,665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270,957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806,097</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797,207</w:t>
            </w:r>
          </w:p>
        </w:tc>
        <w:tc>
          <w:tcPr>
            <w:tcW w:w="0" w:type="dxa"/>
            <w:vAlign w:val="bottom"/>
          </w:tcPr>
          <w:p>
            <w:pPr>
              <w:spacing w:after="0"/>
              <w:rPr>
                <w:sz w:val="1"/>
                <w:szCs w:val="1"/>
                <w:color w:val="auto"/>
              </w:rPr>
            </w:pPr>
          </w:p>
        </w:tc>
      </w:tr>
      <w:tr>
        <w:trPr>
          <w:trHeight w:val="223"/>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831,234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779,799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2,469,060</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2,231,281</w:t>
            </w:r>
          </w:p>
        </w:tc>
        <w:tc>
          <w:tcPr>
            <w:tcW w:w="0" w:type="dxa"/>
            <w:vAlign w:val="bottom"/>
          </w:tcPr>
          <w:p>
            <w:pPr>
              <w:spacing w:after="0"/>
              <w:rPr>
                <w:sz w:val="1"/>
                <w:szCs w:val="1"/>
                <w:color w:val="auto"/>
              </w:rPr>
            </w:pPr>
          </w:p>
        </w:tc>
      </w:tr>
      <w:tr>
        <w:trPr>
          <w:trHeight w:val="209"/>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195,946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98,508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512,801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245,994</w:t>
            </w:r>
          </w:p>
        </w:tc>
        <w:tc>
          <w:tcPr>
            <w:tcW w:w="0" w:type="dxa"/>
            <w:vAlign w:val="bottom"/>
          </w:tcPr>
          <w:p>
            <w:pPr>
              <w:spacing w:after="0"/>
              <w:rPr>
                <w:sz w:val="1"/>
                <w:szCs w:val="1"/>
                <w:color w:val="auto"/>
              </w:rPr>
            </w:pPr>
          </w:p>
        </w:tc>
      </w:tr>
      <w:tr>
        <w:trPr>
          <w:trHeight w:val="230"/>
        </w:trPr>
        <w:tc>
          <w:tcPr>
            <w:tcW w:w="4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Sales and marketing</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427,747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293,698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1,191,004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810,544</w:t>
            </w: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141,033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96,736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389,939</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362,971</w:t>
            </w:r>
          </w:p>
        </w:tc>
        <w:tc>
          <w:tcPr>
            <w:tcW w:w="0" w:type="dxa"/>
            <w:vAlign w:val="bottom"/>
          </w:tcPr>
          <w:p>
            <w:pPr>
              <w:spacing w:after="0"/>
              <w:rPr>
                <w:sz w:val="1"/>
                <w:szCs w:val="1"/>
                <w:color w:val="auto"/>
              </w:rPr>
            </w:pPr>
          </w:p>
        </w:tc>
      </w:tr>
      <w:tr>
        <w:trPr>
          <w:trHeight w:val="223"/>
        </w:trPr>
        <w:tc>
          <w:tcPr>
            <w:tcW w:w="436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764,726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488,942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2,093,744</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1,419,509</w:t>
            </w:r>
          </w:p>
        </w:tc>
        <w:tc>
          <w:tcPr>
            <w:tcW w:w="0" w:type="dxa"/>
            <w:vAlign w:val="bottom"/>
          </w:tcPr>
          <w:p>
            <w:pPr>
              <w:spacing w:after="0"/>
              <w:rPr>
                <w:sz w:val="1"/>
                <w:szCs w:val="1"/>
                <w:color w:val="auto"/>
              </w:rPr>
            </w:pPr>
          </w:p>
        </w:tc>
      </w:tr>
      <w:tr>
        <w:trPr>
          <w:trHeight w:val="223"/>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66,508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290,857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375,316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811,772</w:t>
            </w: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(Losses) gains on strategic investments, net</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122,421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(78,014)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154,497</w:t>
            </w: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(8,482)</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(3,171)</w:t>
            </w:r>
          </w:p>
        </w:tc>
        <w:tc>
          <w:tcPr>
            <w:tcW w:w="0" w:type="dxa"/>
            <w:vAlign w:val="bottom"/>
          </w:tcPr>
          <w:p>
            <w:pPr>
              <w:spacing w:after="0"/>
              <w:rPr>
                <w:sz w:val="1"/>
                <w:szCs w:val="1"/>
                <w:color w:val="auto"/>
              </w:rPr>
            </w:pPr>
          </w:p>
        </w:tc>
      </w:tr>
      <w:tr>
        <w:trPr>
          <w:trHeight w:val="223"/>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54,749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410,283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288,820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963,098</w:t>
            </w: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69,900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81,059</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78,100</w:t>
            </w:r>
          </w:p>
        </w:tc>
        <w:tc>
          <w:tcPr>
            <w:tcW w:w="0" w:type="dxa"/>
            <w:vAlign w:val="bottom"/>
          </w:tcPr>
          <w:p>
            <w:pPr>
              <w:spacing w:after="0"/>
              <w:rPr>
                <w:sz w:val="1"/>
                <w:szCs w:val="1"/>
                <w:color w:val="auto"/>
              </w:rPr>
            </w:pPr>
          </w:p>
        </w:tc>
      </w:tr>
      <w:tr>
        <w:trPr>
          <w:trHeight w:val="223"/>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48,353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340,383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207,761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884,998</w:t>
            </w:r>
          </w:p>
        </w:tc>
        <w:tc>
          <w:tcPr>
            <w:tcW w:w="0" w:type="dxa"/>
            <w:vAlign w:val="bottom"/>
          </w:tcPr>
          <w:p>
            <w:pPr>
              <w:spacing w:after="0"/>
              <w:rPr>
                <w:sz w:val="1"/>
                <w:szCs w:val="1"/>
                <w:color w:val="auto"/>
              </w:rPr>
            </w:pPr>
          </w:p>
        </w:tc>
      </w:tr>
      <w:tr>
        <w:trPr>
          <w:trHeight w:val="175"/>
        </w:trPr>
        <w:tc>
          <w:tcPr>
            <w:tcW w:w="43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Undistributed earnings attributable to participating</w:t>
            </w: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w:t>
            </w:r>
          </w:p>
        </w:tc>
        <w:tc>
          <w:tcPr>
            <w:tcW w:w="40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0" w:type="dxa"/>
            <w:vAlign w:val="bottom"/>
          </w:tcPr>
          <w:p>
            <w:pPr>
              <w:spacing w:after="0"/>
              <w:rPr>
                <w:sz w:val="1"/>
                <w:szCs w:val="1"/>
                <w:color w:val="auto"/>
              </w:rPr>
            </w:pPr>
          </w:p>
        </w:tc>
      </w:tr>
      <w:tr>
        <w:trPr>
          <w:trHeight w:val="223"/>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48,353</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340,271</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207,744</w:t>
            </w:r>
          </w:p>
        </w:tc>
        <w:tc>
          <w:tcPr>
            <w:tcW w:w="1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884,568</w:t>
            </w:r>
          </w:p>
        </w:tc>
        <w:tc>
          <w:tcPr>
            <w:tcW w:w="0" w:type="dxa"/>
            <w:vAlign w:val="bottom"/>
          </w:tcPr>
          <w:p>
            <w:pPr>
              <w:spacing w:after="0"/>
              <w:rPr>
                <w:sz w:val="1"/>
                <w:szCs w:val="1"/>
                <w:color w:val="auto"/>
              </w:rPr>
            </w:pP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360" w:type="dxa"/>
            <w:vAlign w:val="bottom"/>
            <w:tcBorders>
              <w:bottom w:val="single" w:sz="8" w:color="CCEEFF"/>
            </w:tcBorders>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color w:val="auto"/>
              </w:rPr>
              <w:t>Net income per share attributable to common stockholders:</w:t>
            </w:r>
          </w:p>
        </w:tc>
        <w:tc>
          <w:tcPr>
            <w:tcW w:w="4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0" w:type="dxa"/>
            <w:vAlign w:val="bottom"/>
          </w:tcPr>
          <w:p>
            <w:pPr>
              <w:spacing w:after="0"/>
              <w:rPr>
                <w:sz w:val="1"/>
                <w:szCs w:val="1"/>
                <w:color w:val="auto"/>
              </w:rPr>
            </w:pP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3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Times New Roman" w:cs="Times New Roman" w:eastAsia="Times New Roman" w:hAnsi="Times New Roman"/>
                <w:sz w:val="18"/>
                <w:szCs w:val="18"/>
                <w:color w:val="auto"/>
              </w:rPr>
              <w:t>Weighted-average shares used in computing net income per</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36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 attributable to common stockholders:</w:t>
            </w:r>
          </w:p>
        </w:tc>
        <w:tc>
          <w:tcPr>
            <w:tcW w:w="4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43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40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295,537,026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297,375,011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297,765,848</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295,647,626</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bottom w:val="single" w:sz="8" w:color="CCEEFF"/>
            </w:tcBorders>
            <w:vMerge w:val="restart"/>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60" w:type="dxa"/>
            <w:vAlign w:val="bottom"/>
            <w:vMerge w:val="continue"/>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301,986,341</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305,939,624</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305,273,812</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305,726,733</w:t>
            </w:r>
          </w:p>
        </w:tc>
        <w:tc>
          <w:tcPr>
            <w:tcW w:w="0" w:type="dxa"/>
            <w:vAlign w:val="bottom"/>
          </w:tcPr>
          <w:p>
            <w:pPr>
              <w:spacing w:after="0"/>
              <w:rPr>
                <w:sz w:val="1"/>
                <w:szCs w:val="1"/>
                <w:color w:val="auto"/>
              </w:rPr>
            </w:pPr>
          </w:p>
        </w:tc>
      </w:tr>
      <w:tr>
        <w:trPr>
          <w:trHeight w:val="21"/>
        </w:trPr>
        <w:tc>
          <w:tcPr>
            <w:tcW w:w="43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ZOOM VIDEO COMMUNICATIONS,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80" w:type="dxa"/>
            <w:vAlign w:val="bottom"/>
          </w:tcPr>
          <w:p>
            <w:pPr>
              <w:spacing w:after="0"/>
              <w:rPr>
                <w:sz w:val="16"/>
                <w:szCs w:val="16"/>
                <w:color w:val="auto"/>
              </w:rPr>
            </w:pPr>
          </w:p>
        </w:tc>
        <w:tc>
          <w:tcPr>
            <w:tcW w:w="27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98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r>
      <w:tr>
        <w:trPr>
          <w:trHeight w:val="23"/>
        </w:trPr>
        <w:tc>
          <w:tcPr>
            <w:tcW w:w="43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0"/>
        </w:trPr>
        <w:tc>
          <w:tcPr>
            <w:tcW w:w="438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8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48,353</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340,383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207,761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884,998</w:t>
            </w:r>
          </w:p>
        </w:tc>
      </w:tr>
      <w:tr>
        <w:trPr>
          <w:trHeight w:val="229"/>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9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176"/>
        </w:trPr>
        <w:tc>
          <w:tcPr>
            <w:tcW w:w="438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Unrealized loss on available-for-sale marketable</w:t>
            </w:r>
          </w:p>
        </w:tc>
        <w:tc>
          <w:tcPr>
            <w:tcW w:w="9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243"/>
        </w:trPr>
        <w:tc>
          <w:tcPr>
            <w:tcW w:w="4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securities, net of tax</w:t>
            </w:r>
          </w:p>
        </w:tc>
        <w:tc>
          <w:tcPr>
            <w:tcW w:w="98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(24,555)</w:t>
            </w:r>
          </w:p>
        </w:tc>
        <w:tc>
          <w:tcPr>
            <w:tcW w:w="100" w:type="dxa"/>
            <w:vAlign w:val="bottom"/>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(5,275)</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(54,814)</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(5,967)</w:t>
            </w:r>
          </w:p>
        </w:tc>
      </w:tr>
      <w:tr>
        <w:trPr>
          <w:trHeight w:val="223"/>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98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23,798</w:t>
            </w:r>
          </w:p>
        </w:tc>
        <w:tc>
          <w:tcPr>
            <w:tcW w:w="100" w:type="dxa"/>
            <w:vAlign w:val="bottom"/>
          </w:tcPr>
          <w:p>
            <w:pPr>
              <w:spacing w:after="0"/>
              <w:rPr>
                <w:sz w:val="19"/>
                <w:szCs w:val="19"/>
                <w:color w:val="auto"/>
              </w:rPr>
            </w:pPr>
          </w:p>
        </w:tc>
        <w:tc>
          <w:tcPr>
            <w:tcW w:w="98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335,108</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152,947</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879,031</w:t>
            </w:r>
          </w:p>
        </w:tc>
      </w:tr>
      <w:tr>
        <w:trPr>
          <w:trHeight w:val="20"/>
        </w:trPr>
        <w:tc>
          <w:tcPr>
            <w:tcW w:w="43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ZOOM VIDEO COMMUNICATIONS,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0" w:type="dxa"/>
            <w:vAlign w:val="bottom"/>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October 31, 2022</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1"/>
                <w:szCs w:val="11"/>
                <w:color w:val="auto"/>
              </w:rPr>
            </w:pPr>
          </w:p>
        </w:tc>
        <w:tc>
          <w:tcPr>
            <w:tcW w:w="130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vMerge w:val="restart"/>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4120" w:type="dxa"/>
            <w:vAlign w:val="bottom"/>
          </w:tcPr>
          <w:p>
            <w:pPr>
              <w:spacing w:after="0"/>
              <w:rPr>
                <w:sz w:val="12"/>
                <w:szCs w:val="12"/>
                <w:color w:val="auto"/>
              </w:rPr>
            </w:pPr>
          </w:p>
        </w:tc>
        <w:tc>
          <w:tcPr>
            <w:tcW w:w="2120" w:type="dxa"/>
            <w:vAlign w:val="bottom"/>
            <w:gridSpan w:val="5"/>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4120" w:type="dxa"/>
            <w:vAlign w:val="bottom"/>
          </w:tcPr>
          <w:p>
            <w:pPr>
              <w:spacing w:after="0"/>
              <w:rPr>
                <w:sz w:val="9"/>
                <w:szCs w:val="9"/>
                <w:color w:val="auto"/>
              </w:rPr>
            </w:pPr>
          </w:p>
        </w:tc>
        <w:tc>
          <w:tcPr>
            <w:tcW w:w="212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gridSpan w:val="2"/>
            <w:vMerge w:val="restart"/>
          </w:tcPr>
          <w:p>
            <w:pPr>
              <w:ind w:left="140"/>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9"/>
                <w:szCs w:val="9"/>
                <w:color w:val="auto"/>
              </w:rPr>
            </w:pPr>
          </w:p>
        </w:tc>
        <w:tc>
          <w:tcPr>
            <w:tcW w:w="1300" w:type="dxa"/>
            <w:vAlign w:val="bottom"/>
            <w:gridSpan w:val="2"/>
            <w:vMerge w:val="restart"/>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20" w:type="dxa"/>
            <w:vAlign w:val="bottom"/>
          </w:tcPr>
          <w:p>
            <w:pPr>
              <w:spacing w:after="0"/>
              <w:rPr>
                <w:sz w:val="9"/>
                <w:szCs w:val="9"/>
                <w:color w:val="auto"/>
              </w:rPr>
            </w:pPr>
          </w:p>
        </w:tc>
        <w:tc>
          <w:tcPr>
            <w:tcW w:w="1020" w:type="dxa"/>
            <w:vAlign w:val="bottom"/>
            <w:gridSpan w:val="2"/>
            <w:vMerge w:val="restart"/>
          </w:tcPr>
          <w:p>
            <w:pPr>
              <w:ind w:left="60"/>
              <w:spacing w:after="0" w:line="12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9"/>
                <w:szCs w:val="9"/>
                <w:color w:val="auto"/>
              </w:rPr>
            </w:pPr>
          </w:p>
        </w:tc>
        <w:tc>
          <w:tcPr>
            <w:tcW w:w="1120" w:type="dxa"/>
            <w:vAlign w:val="bottom"/>
            <w:vMerge w:val="restart"/>
          </w:tcPr>
          <w:p>
            <w:pPr>
              <w:jc w:val="center"/>
              <w:ind w:right="88"/>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4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4120" w:type="dxa"/>
            <w:vAlign w:val="bottom"/>
          </w:tcPr>
          <w:p>
            <w:pPr>
              <w:spacing w:after="0"/>
              <w:rPr>
                <w:sz w:val="16"/>
                <w:szCs w:val="16"/>
                <w:color w:val="auto"/>
              </w:rPr>
            </w:pPr>
          </w:p>
        </w:tc>
        <w:tc>
          <w:tcPr>
            <w:tcW w:w="116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9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20" w:type="dxa"/>
            <w:vAlign w:val="bottom"/>
          </w:tcPr>
          <w:p>
            <w:pPr>
              <w:spacing w:after="0"/>
              <w:rPr>
                <w:sz w:val="16"/>
                <w:szCs w:val="16"/>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Pr>
          <w:p>
            <w:pPr>
              <w:spacing w:after="0"/>
              <w:rPr>
                <w:sz w:val="16"/>
                <w:szCs w:val="16"/>
                <w:color w:val="auto"/>
              </w:rPr>
            </w:pPr>
          </w:p>
        </w:tc>
        <w:tc>
          <w:tcPr>
            <w:tcW w:w="112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01"/>
        </w:trPr>
        <w:tc>
          <w:tcPr>
            <w:tcW w:w="4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July 31, 2022</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298,086,507</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3,830,745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(48,161)</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2,207,515</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5,990,397</w:t>
            </w:r>
          </w:p>
        </w:tc>
        <w:tc>
          <w:tcPr>
            <w:tcW w:w="0" w:type="dxa"/>
            <w:vAlign w:val="bottom"/>
          </w:tcPr>
          <w:p>
            <w:pPr>
              <w:spacing w:after="0"/>
              <w:rPr>
                <w:sz w:val="1"/>
                <w:szCs w:val="1"/>
                <w:color w:val="auto"/>
              </w:rPr>
            </w:pPr>
          </w:p>
        </w:tc>
      </w:tr>
      <w:tr>
        <w:trPr>
          <w:trHeight w:val="195"/>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upon exercise of stock options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229,183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1,809</w:t>
            </w: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upon release of restricted stock units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959,192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(6,955,529)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(564,825)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(564,832)</w:t>
            </w: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304,640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304,640</w:t>
            </w:r>
          </w:p>
        </w:tc>
        <w:tc>
          <w:tcPr>
            <w:tcW w:w="0" w:type="dxa"/>
            <w:vAlign w:val="bottom"/>
          </w:tcPr>
          <w:p>
            <w:pPr>
              <w:spacing w:after="0"/>
              <w:rPr>
                <w:sz w:val="1"/>
                <w:szCs w:val="1"/>
                <w:color w:val="auto"/>
              </w:rPr>
            </w:pPr>
          </w:p>
        </w:tc>
      </w:tr>
      <w:tr>
        <w:trPr>
          <w:trHeight w:val="195"/>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(24,555)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(24,555)</w:t>
            </w: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48,353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48,353</w:t>
            </w:r>
          </w:p>
        </w:tc>
        <w:tc>
          <w:tcPr>
            <w:tcW w:w="0" w:type="dxa"/>
            <w:vAlign w:val="bottom"/>
          </w:tcPr>
          <w:p>
            <w:pPr>
              <w:spacing w:after="0"/>
              <w:rPr>
                <w:sz w:val="1"/>
                <w:szCs w:val="1"/>
                <w:color w:val="auto"/>
              </w:rPr>
            </w:pPr>
          </w:p>
        </w:tc>
      </w:tr>
      <w:tr>
        <w:trPr>
          <w:trHeight w:val="189"/>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as of October 31, 2022</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292,319,353</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3,572,368</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(72,716)</w:t>
            </w:r>
          </w:p>
        </w:tc>
        <w:tc>
          <w:tcPr>
            <w:tcW w:w="12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2,255,868</w:t>
            </w: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5,755,812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4"/>
        </w:trPr>
        <w:tc>
          <w:tcPr>
            <w:tcW w:w="4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October 31, 2021</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4120" w:type="dxa"/>
            <w:vAlign w:val="bottom"/>
          </w:tcPr>
          <w:p>
            <w:pPr>
              <w:spacing w:after="0"/>
              <w:rPr>
                <w:sz w:val="24"/>
                <w:szCs w:val="24"/>
                <w:color w:val="auto"/>
              </w:rPr>
            </w:pPr>
          </w:p>
        </w:tc>
        <w:tc>
          <w:tcPr>
            <w:tcW w:w="2120" w:type="dxa"/>
            <w:vAlign w:val="bottom"/>
            <w:gridSpan w:val="5"/>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24"/>
                <w:szCs w:val="24"/>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2"/>
        </w:trPr>
        <w:tc>
          <w:tcPr>
            <w:tcW w:w="4120" w:type="dxa"/>
            <w:vAlign w:val="bottom"/>
          </w:tcPr>
          <w:p>
            <w:pPr>
              <w:spacing w:after="0"/>
              <w:rPr>
                <w:sz w:val="9"/>
                <w:szCs w:val="9"/>
                <w:color w:val="auto"/>
              </w:rPr>
            </w:pPr>
          </w:p>
        </w:tc>
        <w:tc>
          <w:tcPr>
            <w:tcW w:w="212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gridSpan w:val="2"/>
            <w:vMerge w:val="restart"/>
          </w:tcPr>
          <w:p>
            <w:pPr>
              <w:ind w:left="140"/>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9"/>
                <w:szCs w:val="9"/>
                <w:color w:val="auto"/>
              </w:rPr>
            </w:pPr>
          </w:p>
        </w:tc>
        <w:tc>
          <w:tcPr>
            <w:tcW w:w="1300" w:type="dxa"/>
            <w:vAlign w:val="bottom"/>
            <w:gridSpan w:val="2"/>
            <w:vMerge w:val="restart"/>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20" w:type="dxa"/>
            <w:vAlign w:val="bottom"/>
          </w:tcPr>
          <w:p>
            <w:pPr>
              <w:spacing w:after="0"/>
              <w:rPr>
                <w:sz w:val="9"/>
                <w:szCs w:val="9"/>
                <w:color w:val="auto"/>
              </w:rPr>
            </w:pPr>
          </w:p>
        </w:tc>
        <w:tc>
          <w:tcPr>
            <w:tcW w:w="1020" w:type="dxa"/>
            <w:vAlign w:val="bottom"/>
            <w:gridSpan w:val="2"/>
            <w:vMerge w:val="restart"/>
          </w:tcPr>
          <w:p>
            <w:pPr>
              <w:ind w:left="60"/>
              <w:spacing w:after="0" w:line="12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9"/>
                <w:szCs w:val="9"/>
                <w:color w:val="auto"/>
              </w:rPr>
            </w:pPr>
          </w:p>
        </w:tc>
        <w:tc>
          <w:tcPr>
            <w:tcW w:w="1120" w:type="dxa"/>
            <w:vAlign w:val="bottom"/>
            <w:vMerge w:val="restart"/>
          </w:tcPr>
          <w:p>
            <w:pPr>
              <w:jc w:val="center"/>
              <w:ind w:right="88"/>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4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120" w:type="dxa"/>
            <w:vAlign w:val="bottom"/>
          </w:tcPr>
          <w:p>
            <w:pPr>
              <w:spacing w:after="0"/>
              <w:rPr>
                <w:sz w:val="16"/>
                <w:szCs w:val="16"/>
                <w:color w:val="auto"/>
              </w:rPr>
            </w:pPr>
          </w:p>
        </w:tc>
        <w:tc>
          <w:tcPr>
            <w:tcW w:w="116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9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20" w:type="dxa"/>
            <w:vAlign w:val="bottom"/>
          </w:tcPr>
          <w:p>
            <w:pPr>
              <w:spacing w:after="0"/>
              <w:rPr>
                <w:sz w:val="16"/>
                <w:szCs w:val="16"/>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Pr>
          <w:p>
            <w:pPr>
              <w:spacing w:after="0"/>
              <w:rPr>
                <w:sz w:val="16"/>
                <w:szCs w:val="16"/>
                <w:color w:val="auto"/>
              </w:rPr>
            </w:pPr>
          </w:p>
        </w:tc>
        <w:tc>
          <w:tcPr>
            <w:tcW w:w="112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02"/>
        </w:trPr>
        <w:tc>
          <w:tcPr>
            <w:tcW w:w="4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July 31, 2021</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297,027,323</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3,440,222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1,217,083</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4,657,748</w:t>
            </w:r>
          </w:p>
        </w:tc>
        <w:tc>
          <w:tcPr>
            <w:tcW w:w="0" w:type="dxa"/>
            <w:vAlign w:val="bottom"/>
          </w:tcPr>
          <w:p>
            <w:pPr>
              <w:spacing w:after="0"/>
              <w:rPr>
                <w:sz w:val="1"/>
                <w:szCs w:val="1"/>
                <w:color w:val="auto"/>
              </w:rPr>
            </w:pPr>
          </w:p>
        </w:tc>
      </w:tr>
      <w:tr>
        <w:trPr>
          <w:trHeight w:val="195"/>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upon exercise of stock options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612,056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3,125</w:t>
            </w: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upon release of restricted stock units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297,578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117,704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117,704</w:t>
            </w: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(5,275)</w:t>
            </w:r>
          </w:p>
        </w:tc>
        <w:tc>
          <w:tcPr>
            <w:tcW w:w="0" w:type="dxa"/>
            <w:vAlign w:val="bottom"/>
          </w:tcPr>
          <w:p>
            <w:pPr>
              <w:spacing w:after="0"/>
              <w:rPr>
                <w:sz w:val="1"/>
                <w:szCs w:val="1"/>
                <w:color w:val="auto"/>
              </w:rPr>
            </w:pPr>
          </w:p>
        </w:tc>
      </w:tr>
      <w:tr>
        <w:trPr>
          <w:trHeight w:val="196"/>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340,383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340,383</w:t>
            </w:r>
          </w:p>
        </w:tc>
        <w:tc>
          <w:tcPr>
            <w:tcW w:w="0" w:type="dxa"/>
            <w:vAlign w:val="bottom"/>
          </w:tcPr>
          <w:p>
            <w:pPr>
              <w:spacing w:after="0"/>
              <w:rPr>
                <w:sz w:val="1"/>
                <w:szCs w:val="1"/>
                <w:color w:val="auto"/>
              </w:rPr>
            </w:pPr>
          </w:p>
        </w:tc>
      </w:tr>
      <w:tr>
        <w:trPr>
          <w:trHeight w:val="221"/>
        </w:trPr>
        <w:tc>
          <w:tcPr>
            <w:tcW w:w="4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October 31, 2021</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297,936,957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3,561,050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1,557,466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5,113,685</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ZOOM VIDEO COMMUNICATIONS,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80" w:type="dxa"/>
            <w:vAlign w:val="bottom"/>
            <w:gridSpan w:val="6"/>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Nine Months Ended October 31, 2022</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1"/>
                <w:szCs w:val="11"/>
                <w:color w:val="auto"/>
              </w:rPr>
            </w:pPr>
          </w:p>
        </w:tc>
        <w:tc>
          <w:tcPr>
            <w:tcW w:w="130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vMerge w:val="restart"/>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4120" w:type="dxa"/>
            <w:vAlign w:val="bottom"/>
          </w:tcPr>
          <w:p>
            <w:pPr>
              <w:spacing w:after="0"/>
              <w:rPr>
                <w:sz w:val="12"/>
                <w:szCs w:val="12"/>
                <w:color w:val="auto"/>
              </w:rPr>
            </w:pPr>
          </w:p>
        </w:tc>
        <w:tc>
          <w:tcPr>
            <w:tcW w:w="2120" w:type="dxa"/>
            <w:vAlign w:val="bottom"/>
            <w:gridSpan w:val="5"/>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4120" w:type="dxa"/>
            <w:vAlign w:val="bottom"/>
          </w:tcPr>
          <w:p>
            <w:pPr>
              <w:spacing w:after="0"/>
              <w:rPr>
                <w:sz w:val="9"/>
                <w:szCs w:val="9"/>
                <w:color w:val="auto"/>
              </w:rPr>
            </w:pPr>
          </w:p>
        </w:tc>
        <w:tc>
          <w:tcPr>
            <w:tcW w:w="212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gridSpan w:val="2"/>
            <w:vMerge w:val="restart"/>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9"/>
                <w:szCs w:val="9"/>
                <w:color w:val="auto"/>
              </w:rPr>
            </w:pPr>
          </w:p>
        </w:tc>
        <w:tc>
          <w:tcPr>
            <w:tcW w:w="1300" w:type="dxa"/>
            <w:vAlign w:val="bottom"/>
            <w:gridSpan w:val="2"/>
            <w:vMerge w:val="restart"/>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0" w:type="dxa"/>
            <w:vAlign w:val="bottom"/>
          </w:tcPr>
          <w:p>
            <w:pPr>
              <w:spacing w:after="0"/>
              <w:rPr>
                <w:sz w:val="9"/>
                <w:szCs w:val="9"/>
                <w:color w:val="auto"/>
              </w:rPr>
            </w:pPr>
          </w:p>
        </w:tc>
        <w:tc>
          <w:tcPr>
            <w:tcW w:w="1040" w:type="dxa"/>
            <w:vAlign w:val="bottom"/>
            <w:gridSpan w:val="2"/>
            <w:vMerge w:val="restart"/>
          </w:tcPr>
          <w:p>
            <w:pPr>
              <w:ind w:left="80"/>
              <w:spacing w:after="0" w:line="12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9"/>
                <w:szCs w:val="9"/>
                <w:color w:val="auto"/>
              </w:rPr>
            </w:pPr>
          </w:p>
        </w:tc>
        <w:tc>
          <w:tcPr>
            <w:tcW w:w="1120" w:type="dxa"/>
            <w:vAlign w:val="bottom"/>
            <w:vMerge w:val="restart"/>
          </w:tcPr>
          <w:p>
            <w:pPr>
              <w:jc w:val="center"/>
              <w:ind w:right="88"/>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4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4120" w:type="dxa"/>
            <w:vAlign w:val="bottom"/>
          </w:tcPr>
          <w:p>
            <w:pPr>
              <w:spacing w:after="0"/>
              <w:rPr>
                <w:sz w:val="16"/>
                <w:szCs w:val="16"/>
                <w:color w:val="auto"/>
              </w:rPr>
            </w:pPr>
          </w:p>
        </w:tc>
        <w:tc>
          <w:tcPr>
            <w:tcW w:w="116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0" w:type="dxa"/>
            <w:vAlign w:val="bottom"/>
          </w:tcPr>
          <w:p>
            <w:pPr>
              <w:spacing w:after="0"/>
              <w:rPr>
                <w:sz w:val="16"/>
                <w:szCs w:val="16"/>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Pr>
          <w:p>
            <w:pPr>
              <w:spacing w:after="0"/>
              <w:rPr>
                <w:sz w:val="16"/>
                <w:szCs w:val="16"/>
                <w:color w:val="auto"/>
              </w:rPr>
            </w:pPr>
          </w:p>
        </w:tc>
        <w:tc>
          <w:tcPr>
            <w:tcW w:w="112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01"/>
        </w:trPr>
        <w:tc>
          <w:tcPr>
            <w:tcW w:w="4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January 31, 2022</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299,037,805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3,749,514</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(17,902)</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2,048,107</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5,780,018</w:t>
            </w:r>
          </w:p>
        </w:tc>
        <w:tc>
          <w:tcPr>
            <w:tcW w:w="0" w:type="dxa"/>
            <w:vAlign w:val="bottom"/>
          </w:tcPr>
          <w:p>
            <w:pPr>
              <w:spacing w:after="0"/>
              <w:rPr>
                <w:sz w:val="1"/>
                <w:szCs w:val="1"/>
                <w:color w:val="auto"/>
              </w:rPr>
            </w:pPr>
          </w:p>
        </w:tc>
      </w:tr>
      <w:tr>
        <w:trPr>
          <w:trHeight w:val="195"/>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upon exercise of stock options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1,087,238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7,051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7,052</w:t>
            </w: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upon release of restricted stock units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2,865,551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for employee stock purchase plan</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373,259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34,604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34,604</w:t>
            </w: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(11,044,500)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(990,767)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(990,778)</w:t>
            </w:r>
          </w:p>
        </w:tc>
        <w:tc>
          <w:tcPr>
            <w:tcW w:w="0" w:type="dxa"/>
            <w:vAlign w:val="bottom"/>
          </w:tcPr>
          <w:p>
            <w:pPr>
              <w:spacing w:after="0"/>
              <w:rPr>
                <w:sz w:val="1"/>
                <w:szCs w:val="1"/>
                <w:color w:val="auto"/>
              </w:rPr>
            </w:pPr>
          </w:p>
        </w:tc>
      </w:tr>
      <w:tr>
        <w:trPr>
          <w:trHeight w:val="195"/>
        </w:trPr>
        <w:tc>
          <w:tcPr>
            <w:tcW w:w="4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771,969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771,969</w:t>
            </w: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(54,814)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(54,814)</w:t>
            </w:r>
          </w:p>
        </w:tc>
        <w:tc>
          <w:tcPr>
            <w:tcW w:w="0" w:type="dxa"/>
            <w:vAlign w:val="bottom"/>
          </w:tcPr>
          <w:p>
            <w:pPr>
              <w:spacing w:after="0"/>
              <w:rPr>
                <w:sz w:val="1"/>
                <w:szCs w:val="1"/>
                <w:color w:val="auto"/>
              </w:rPr>
            </w:pPr>
          </w:p>
        </w:tc>
      </w:tr>
      <w:tr>
        <w:trPr>
          <w:trHeight w:val="196"/>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207,761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207,761</w:t>
            </w:r>
          </w:p>
        </w:tc>
        <w:tc>
          <w:tcPr>
            <w:tcW w:w="0" w:type="dxa"/>
            <w:vAlign w:val="bottom"/>
          </w:tcPr>
          <w:p>
            <w:pPr>
              <w:spacing w:after="0"/>
              <w:rPr>
                <w:sz w:val="1"/>
                <w:szCs w:val="1"/>
                <w:color w:val="auto"/>
              </w:rPr>
            </w:pPr>
          </w:p>
        </w:tc>
      </w:tr>
      <w:tr>
        <w:trPr>
          <w:trHeight w:val="228"/>
        </w:trPr>
        <w:tc>
          <w:tcPr>
            <w:tcW w:w="4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October 31, 2022</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292,319,353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3,572,368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(72,716)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2,255,868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5,755,812</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4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80" w:type="dxa"/>
            <w:vAlign w:val="bottom"/>
            <w:gridSpan w:val="6"/>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Nine Months Ended October 31, 2021</w:t>
            </w: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4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4120" w:type="dxa"/>
            <w:vAlign w:val="bottom"/>
          </w:tcPr>
          <w:p>
            <w:pPr>
              <w:spacing w:after="0"/>
              <w:rPr>
                <w:sz w:val="24"/>
                <w:szCs w:val="24"/>
                <w:color w:val="auto"/>
              </w:rPr>
            </w:pPr>
          </w:p>
        </w:tc>
        <w:tc>
          <w:tcPr>
            <w:tcW w:w="2120" w:type="dxa"/>
            <w:vAlign w:val="bottom"/>
            <w:gridSpan w:val="5"/>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24"/>
                <w:szCs w:val="24"/>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2"/>
        </w:trPr>
        <w:tc>
          <w:tcPr>
            <w:tcW w:w="4120" w:type="dxa"/>
            <w:vAlign w:val="bottom"/>
          </w:tcPr>
          <w:p>
            <w:pPr>
              <w:spacing w:after="0"/>
              <w:rPr>
                <w:sz w:val="9"/>
                <w:szCs w:val="9"/>
                <w:color w:val="auto"/>
              </w:rPr>
            </w:pPr>
          </w:p>
        </w:tc>
        <w:tc>
          <w:tcPr>
            <w:tcW w:w="212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gridSpan w:val="2"/>
            <w:vMerge w:val="restart"/>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9"/>
                <w:szCs w:val="9"/>
                <w:color w:val="auto"/>
              </w:rPr>
            </w:pPr>
          </w:p>
        </w:tc>
        <w:tc>
          <w:tcPr>
            <w:tcW w:w="1300" w:type="dxa"/>
            <w:vAlign w:val="bottom"/>
            <w:gridSpan w:val="2"/>
            <w:vMerge w:val="restart"/>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0" w:type="dxa"/>
            <w:vAlign w:val="bottom"/>
          </w:tcPr>
          <w:p>
            <w:pPr>
              <w:spacing w:after="0"/>
              <w:rPr>
                <w:sz w:val="9"/>
                <w:szCs w:val="9"/>
                <w:color w:val="auto"/>
              </w:rPr>
            </w:pPr>
          </w:p>
        </w:tc>
        <w:tc>
          <w:tcPr>
            <w:tcW w:w="1040" w:type="dxa"/>
            <w:vAlign w:val="bottom"/>
            <w:gridSpan w:val="2"/>
            <w:vMerge w:val="restart"/>
          </w:tcPr>
          <w:p>
            <w:pPr>
              <w:ind w:left="80"/>
              <w:spacing w:after="0" w:line="12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9"/>
                <w:szCs w:val="9"/>
                <w:color w:val="auto"/>
              </w:rPr>
            </w:pPr>
          </w:p>
        </w:tc>
        <w:tc>
          <w:tcPr>
            <w:tcW w:w="1120" w:type="dxa"/>
            <w:vAlign w:val="bottom"/>
            <w:vMerge w:val="restart"/>
          </w:tcPr>
          <w:p>
            <w:pPr>
              <w:jc w:val="center"/>
              <w:ind w:right="88"/>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4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120" w:type="dxa"/>
            <w:vAlign w:val="bottom"/>
          </w:tcPr>
          <w:p>
            <w:pPr>
              <w:spacing w:after="0"/>
              <w:rPr>
                <w:sz w:val="16"/>
                <w:szCs w:val="16"/>
                <w:color w:val="auto"/>
              </w:rPr>
            </w:pPr>
          </w:p>
        </w:tc>
        <w:tc>
          <w:tcPr>
            <w:tcW w:w="116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00" w:type="dxa"/>
            <w:vAlign w:val="bottom"/>
          </w:tcPr>
          <w:p>
            <w:pPr>
              <w:spacing w:after="0"/>
              <w:rPr>
                <w:sz w:val="16"/>
                <w:szCs w:val="16"/>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Pr>
          <w:p>
            <w:pPr>
              <w:spacing w:after="0"/>
              <w:rPr>
                <w:sz w:val="16"/>
                <w:szCs w:val="16"/>
                <w:color w:val="auto"/>
              </w:rPr>
            </w:pPr>
          </w:p>
        </w:tc>
        <w:tc>
          <w:tcPr>
            <w:tcW w:w="112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02"/>
        </w:trPr>
        <w:tc>
          <w:tcPr>
            <w:tcW w:w="412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as of January 31, 2021</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293,549,223</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3,187,168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839</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672,468</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3,860,767</w:t>
            </w:r>
          </w:p>
        </w:tc>
        <w:tc>
          <w:tcPr>
            <w:tcW w:w="0" w:type="dxa"/>
            <w:vAlign w:val="bottom"/>
          </w:tcPr>
          <w:p>
            <w:pPr>
              <w:spacing w:after="0"/>
              <w:rPr>
                <w:sz w:val="1"/>
                <w:szCs w:val="1"/>
                <w:color w:val="auto"/>
              </w:rPr>
            </w:pPr>
          </w:p>
        </w:tc>
      </w:tr>
      <w:tr>
        <w:trPr>
          <w:trHeight w:val="195"/>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upon exercise of stock options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2,205,249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11,359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11,362</w:t>
            </w: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upon release of restricted stock units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1,480,536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5"/>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for employee stock purchase plan</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701,949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37,845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37,846</w:t>
            </w: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324,678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324,678</w:t>
            </w:r>
          </w:p>
        </w:tc>
        <w:tc>
          <w:tcPr>
            <w:tcW w:w="0" w:type="dxa"/>
            <w:vAlign w:val="bottom"/>
          </w:tcPr>
          <w:p>
            <w:pPr>
              <w:spacing w:after="0"/>
              <w:rPr>
                <w:sz w:val="1"/>
                <w:szCs w:val="1"/>
                <w:color w:val="auto"/>
              </w:rPr>
            </w:pPr>
          </w:p>
        </w:tc>
      </w:tr>
      <w:tr>
        <w:trPr>
          <w:trHeight w:val="195"/>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(5,967)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(5,967)</w:t>
            </w:r>
          </w:p>
        </w:tc>
        <w:tc>
          <w:tcPr>
            <w:tcW w:w="0" w:type="dxa"/>
            <w:vAlign w:val="bottom"/>
          </w:tcPr>
          <w:p>
            <w:pPr>
              <w:spacing w:after="0"/>
              <w:rPr>
                <w:sz w:val="1"/>
                <w:szCs w:val="1"/>
                <w:color w:val="auto"/>
              </w:rPr>
            </w:pPr>
          </w:p>
        </w:tc>
      </w:tr>
      <w:tr>
        <w:trPr>
          <w:trHeight w:val="203"/>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884,998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884,998</w:t>
            </w:r>
          </w:p>
        </w:tc>
        <w:tc>
          <w:tcPr>
            <w:tcW w:w="0" w:type="dxa"/>
            <w:vAlign w:val="bottom"/>
          </w:tcPr>
          <w:p>
            <w:pPr>
              <w:spacing w:after="0"/>
              <w:rPr>
                <w:sz w:val="1"/>
                <w:szCs w:val="1"/>
                <w:color w:val="auto"/>
              </w:rPr>
            </w:pPr>
          </w:p>
        </w:tc>
      </w:tr>
      <w:tr>
        <w:trPr>
          <w:trHeight w:val="203"/>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as of October 31, 2021</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297,936,957</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3,561,050</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(5,128)</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1,557,466</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5,113,685</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ZOOM VIDEO COMMUNICATIONS,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60" w:type="dxa"/>
            <w:vAlign w:val="bottom"/>
            <w:gridSpan w:val="4"/>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r>
      <w:tr>
        <w:trPr>
          <w:trHeight w:val="23"/>
        </w:trPr>
        <w:tc>
          <w:tcPr>
            <w:tcW w:w="8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81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9"/>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95"/>
        </w:trPr>
        <w:tc>
          <w:tcPr>
            <w:tcW w:w="8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207,761</w:t>
            </w:r>
          </w:p>
        </w:tc>
        <w:tc>
          <w:tcPr>
            <w:tcW w:w="12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884,998</w:t>
            </w:r>
          </w:p>
        </w:tc>
      </w:tr>
      <w:tr>
        <w:trPr>
          <w:trHeight w:val="21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195"/>
        </w:trPr>
        <w:tc>
          <w:tcPr>
            <w:tcW w:w="81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767,693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315,912</w:t>
            </w:r>
          </w:p>
        </w:tc>
      </w:tr>
      <w:tr>
        <w:trPr>
          <w:trHeight w:val="210"/>
        </w:trPr>
        <w:tc>
          <w:tcPr>
            <w:tcW w:w="8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Amortization of deferred contract acquisition costs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186,626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125,691</w:t>
            </w:r>
          </w:p>
        </w:tc>
      </w:tr>
      <w:tr>
        <w:trPr>
          <w:trHeight w:val="195"/>
        </w:trPr>
        <w:tc>
          <w:tcPr>
            <w:tcW w:w="81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Losses (gains) on strategic investments, net</w:t>
            </w: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78,014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(154,497)</w:t>
            </w:r>
          </w:p>
        </w:tc>
      </w:tr>
      <w:tr>
        <w:trPr>
          <w:trHeight w:val="210"/>
        </w:trPr>
        <w:tc>
          <w:tcPr>
            <w:tcW w:w="8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57,921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35,275</w:t>
            </w:r>
          </w:p>
        </w:tc>
      </w:tr>
      <w:tr>
        <w:trPr>
          <w:trHeight w:val="195"/>
        </w:trPr>
        <w:tc>
          <w:tcPr>
            <w:tcW w:w="81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Provision for accounts receivable allowances</w:t>
            </w: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39,580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23,482</w:t>
            </w:r>
          </w:p>
        </w:tc>
      </w:tr>
      <w:tr>
        <w:trPr>
          <w:trHeight w:val="210"/>
        </w:trPr>
        <w:tc>
          <w:tcPr>
            <w:tcW w:w="8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Non-cash operating lease cost</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16,949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13,131</w:t>
            </w:r>
          </w:p>
        </w:tc>
      </w:tr>
      <w:tr>
        <w:trPr>
          <w:trHeight w:val="195"/>
        </w:trPr>
        <w:tc>
          <w:tcPr>
            <w:tcW w:w="81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Amortization of discount/premium on marketable securities</w:t>
            </w: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4,156</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19,546</w:t>
            </w:r>
          </w:p>
        </w:tc>
      </w:tr>
      <w:tr>
        <w:trPr>
          <w:trHeight w:val="210"/>
        </w:trPr>
        <w:tc>
          <w:tcPr>
            <w:tcW w:w="8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41,928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2,127</w:t>
            </w:r>
          </w:p>
        </w:tc>
      </w:tr>
      <w:tr>
        <w:trPr>
          <w:trHeight w:val="195"/>
        </w:trPr>
        <w:tc>
          <w:tcPr>
            <w:tcW w:w="81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10"/>
        </w:trPr>
        <w:tc>
          <w:tcPr>
            <w:tcW w:w="81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Accounts receivable</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(238,020)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(108,541)</w:t>
            </w:r>
          </w:p>
        </w:tc>
      </w:tr>
      <w:tr>
        <w:trPr>
          <w:trHeight w:val="195"/>
        </w:trPr>
        <w:tc>
          <w:tcPr>
            <w:tcW w:w="81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(163,721)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(71,998)</w:t>
            </w:r>
          </w:p>
        </w:tc>
      </w:tr>
      <w:tr>
        <w:trPr>
          <w:trHeight w:val="210"/>
        </w:trPr>
        <w:tc>
          <w:tcPr>
            <w:tcW w:w="81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Deferred contract acquisition costs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(217,822)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(165,305)</w:t>
            </w:r>
          </w:p>
        </w:tc>
      </w:tr>
      <w:tr>
        <w:trPr>
          <w:trHeight w:val="195"/>
        </w:trPr>
        <w:tc>
          <w:tcPr>
            <w:tcW w:w="81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Accounts payable</w:t>
            </w: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24,561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12,062</w:t>
            </w:r>
          </w:p>
        </w:tc>
      </w:tr>
      <w:tr>
        <w:trPr>
          <w:trHeight w:val="210"/>
        </w:trPr>
        <w:tc>
          <w:tcPr>
            <w:tcW w:w="81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Accrued expenses and other liabilities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116,391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171,914</w:t>
            </w:r>
          </w:p>
        </w:tc>
      </w:tr>
      <w:tr>
        <w:trPr>
          <w:trHeight w:val="195"/>
        </w:trPr>
        <w:tc>
          <w:tcPr>
            <w:tcW w:w="81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Deferred revenue</w:t>
            </w: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174,325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304,513</w:t>
            </w:r>
          </w:p>
        </w:tc>
      </w:tr>
      <w:tr>
        <w:trPr>
          <w:trHeight w:val="210"/>
        </w:trPr>
        <w:tc>
          <w:tcPr>
            <w:tcW w:w="81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Operating lease liabilities, net</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(17,668)</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(12,440)</w:t>
            </w:r>
          </w:p>
        </w:tc>
      </w:tr>
      <w:tr>
        <w:trPr>
          <w:trHeight w:val="189"/>
        </w:trPr>
        <w:tc>
          <w:tcPr>
            <w:tcW w:w="816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1,078,674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1,395,870</w:t>
            </w:r>
          </w:p>
        </w:tc>
      </w:tr>
      <w:tr>
        <w:trPr>
          <w:trHeight w:val="21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195"/>
        </w:trPr>
        <w:tc>
          <w:tcPr>
            <w:tcW w:w="81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Purchases of marketable securities</w:t>
            </w: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(1,927,049)</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(3,446,313)</w:t>
            </w:r>
          </w:p>
        </w:tc>
      </w:tr>
      <w:tr>
        <w:trPr>
          <w:trHeight w:val="210"/>
        </w:trPr>
        <w:tc>
          <w:tcPr>
            <w:tcW w:w="8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Maturities of marketable securities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2,137,875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1,047,545</w:t>
            </w:r>
          </w:p>
        </w:tc>
      </w:tr>
      <w:tr>
        <w:trPr>
          <w:trHeight w:val="195"/>
        </w:trPr>
        <w:tc>
          <w:tcPr>
            <w:tcW w:w="81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Sales of marketable securities</w:t>
            </w:r>
          </w:p>
        </w:tc>
        <w:tc>
          <w:tcPr>
            <w:tcW w:w="32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281,582</w:t>
            </w:r>
          </w:p>
        </w:tc>
      </w:tr>
      <w:tr>
        <w:trPr>
          <w:trHeight w:val="210"/>
        </w:trPr>
        <w:tc>
          <w:tcPr>
            <w:tcW w:w="8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(75,568)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(111,816)</w:t>
            </w:r>
          </w:p>
        </w:tc>
      </w:tr>
      <w:tr>
        <w:trPr>
          <w:trHeight w:val="195"/>
        </w:trPr>
        <w:tc>
          <w:tcPr>
            <w:tcW w:w="81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Purchases of strategic investments</w:t>
            </w: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(65,050)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(126,349)</w:t>
            </w:r>
          </w:p>
        </w:tc>
      </w:tr>
      <w:tr>
        <w:trPr>
          <w:trHeight w:val="210"/>
        </w:trPr>
        <w:tc>
          <w:tcPr>
            <w:tcW w:w="8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Proceeds from strategic investments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81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Cash paid for acquisition, net of cash acquired</w:t>
            </w: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(120,553)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(2,121)</w:t>
            </w:r>
          </w:p>
        </w:tc>
      </w:tr>
      <w:tr>
        <w:trPr>
          <w:trHeight w:val="210"/>
        </w:trPr>
        <w:tc>
          <w:tcPr>
            <w:tcW w:w="8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Purchases of intangible assets</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(10,568)</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(9,626)</w:t>
            </w:r>
          </w:p>
        </w:tc>
      </w:tr>
      <w:tr>
        <w:trPr>
          <w:trHeight w:val="189"/>
        </w:trPr>
        <w:tc>
          <w:tcPr>
            <w:tcW w:w="816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(60,613)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(2,367,098)</w:t>
            </w:r>
          </w:p>
        </w:tc>
      </w:tr>
      <w:tr>
        <w:trPr>
          <w:trHeight w:val="21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195"/>
        </w:trPr>
        <w:tc>
          <w:tcPr>
            <w:tcW w:w="81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Cash paid for repurchases of common stock</w:t>
            </w: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(990,778)</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Proceeds from issuance of common stock for employee stock purchase plan</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34,605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37,846</w:t>
            </w:r>
          </w:p>
        </w:tc>
      </w:tr>
      <w:tr>
        <w:trPr>
          <w:trHeight w:val="195"/>
        </w:trPr>
        <w:tc>
          <w:tcPr>
            <w:tcW w:w="81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Proceeds from employee equity transactions (remitted) to be remitted to employees and tax authorities, net</w:t>
            </w: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(28,342)</w:t>
            </w:r>
          </w:p>
        </w:tc>
      </w:tr>
      <w:tr>
        <w:trPr>
          <w:trHeight w:val="210"/>
        </w:trPr>
        <w:tc>
          <w:tcPr>
            <w:tcW w:w="8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11,044</w:t>
            </w:r>
          </w:p>
        </w:tc>
      </w:tr>
      <w:tr>
        <w:trPr>
          <w:trHeight w:val="196"/>
        </w:trPr>
        <w:tc>
          <w:tcPr>
            <w:tcW w:w="81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w:t>
            </w:r>
          </w:p>
        </w:tc>
        <w:tc>
          <w:tcPr>
            <w:tcW w:w="32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w:t>
            </w:r>
          </w:p>
        </w:tc>
      </w:tr>
      <w:tr>
        <w:trPr>
          <w:trHeight w:val="203"/>
        </w:trPr>
        <w:tc>
          <w:tcPr>
            <w:tcW w:w="8160" w:type="dxa"/>
            <w:vAlign w:val="bottom"/>
            <w:tcBorders>
              <w:top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Net cash (used in) provided by financing activities</w:t>
            </w: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(948,687)</w:t>
            </w:r>
          </w:p>
        </w:tc>
        <w:tc>
          <w:tcPr>
            <w:tcW w:w="120" w:type="dxa"/>
            <w:vAlign w:val="bottom"/>
            <w:tcBorders>
              <w:top w:val="single" w:sz="8" w:color="CCEEFF"/>
              <w:bottom w:val="single" w:sz="8" w:color="auto"/>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20,885</w:t>
            </w:r>
          </w:p>
        </w:tc>
      </w:tr>
      <w:tr>
        <w:trPr>
          <w:trHeight w:val="190"/>
        </w:trPr>
        <w:tc>
          <w:tcPr>
            <w:tcW w:w="8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cash equivalents, and restricted cash</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(36,639)</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 cash equivalents, and restricted cash</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32,735</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(950,343)</w:t>
            </w:r>
          </w:p>
        </w:tc>
      </w:tr>
      <w:tr>
        <w:trPr>
          <w:trHeight w:val="196"/>
        </w:trPr>
        <w:tc>
          <w:tcPr>
            <w:tcW w:w="8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 beginning of period</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1,073,353</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2,293,116</w:t>
            </w:r>
          </w:p>
        </w:tc>
      </w:tr>
      <w:tr>
        <w:trPr>
          <w:trHeight w:val="221"/>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 end of period</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1,106,088</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1,342,773</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61"/>
        </w:trPr>
        <w:tc>
          <w:tcPr>
            <w:tcW w:w="81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tcPr>
          <w:p>
            <w:pPr>
              <w:spacing w:after="0"/>
              <w:rPr>
                <w:sz w:val="5"/>
                <w:szCs w:val="5"/>
                <w:color w:val="auto"/>
              </w:rPr>
            </w:pPr>
          </w:p>
        </w:tc>
      </w:tr>
      <w:tr>
        <w:trPr>
          <w:trHeight w:val="137"/>
        </w:trPr>
        <w:tc>
          <w:tcPr>
            <w:tcW w:w="8160" w:type="dxa"/>
            <w:vAlign w:val="bottom"/>
            <w:shd w:val="clear" w:color="auto" w:fill="CCEEFF"/>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Reconciliation of cash, cash equivalents, and restricted cash within the condensed consolidated balance sheets to the amounts shown</w:t>
            </w:r>
          </w:p>
        </w:tc>
        <w:tc>
          <w:tcPr>
            <w:tcW w:w="3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r>
      <w:tr>
        <w:trPr>
          <w:trHeight w:val="20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 the condensed consolidated statements of cash flows above:</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95"/>
        </w:trPr>
        <w:tc>
          <w:tcPr>
            <w:tcW w:w="81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1,096,174</w:t>
            </w:r>
          </w:p>
        </w:tc>
        <w:tc>
          <w:tcPr>
            <w:tcW w:w="12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1,322,435</w:t>
            </w:r>
          </w:p>
        </w:tc>
      </w:tr>
      <w:tr>
        <w:trPr>
          <w:trHeight w:val="210"/>
        </w:trPr>
        <w:tc>
          <w:tcPr>
            <w:tcW w:w="8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Restricted cash, current included in prepaid expenses and other current assets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9,668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20,041</w:t>
            </w:r>
          </w:p>
        </w:tc>
      </w:tr>
      <w:tr>
        <w:trPr>
          <w:trHeight w:val="196"/>
        </w:trPr>
        <w:tc>
          <w:tcPr>
            <w:tcW w:w="81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Restricted cash, noncurrent included in other assets, noncurrent</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297</w:t>
            </w:r>
          </w:p>
        </w:tc>
      </w:tr>
      <w:tr>
        <w:trPr>
          <w:trHeight w:val="221"/>
        </w:trPr>
        <w:tc>
          <w:tcPr>
            <w:tcW w:w="81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cash, cash equivalents, and restricted cash</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1,106,088</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1,342,773</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ZOOM VIDEO COMMUNICATIONS, INC. NOTES TO CONDENSED CONSOLIDATED FINANCIAL STATEMENTS (unaudited)</w:t>
      </w:r>
    </w:p>
    <w:p>
      <w:pPr>
        <w:spacing w:after="0" w:line="384"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Business and Significant Accounting Policies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Zoom Video Communications, Inc. and its subsidiaries (collectively, “Zoom,” the “Company,” “we,” “us,” or “our”) connect people through our core unified communications offering, which frictionlessly brings together video, phone, chat, webinars events, and contact center, and enables meaningful experiences across disparate devices and locations. We were incorporated in the state of Delaware in April 2011, and are headquartered in San Jose, California.</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Fiscal Year</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fiscal year ends on January 31. References to fiscal year 2023, for example, refer to the fiscal year ending January 31, 2023.</w:t>
      </w:r>
    </w:p>
    <w:p>
      <w:pPr>
        <w:spacing w:after="0" w:line="2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generally accepted accounting principles in the United States of America (“GAAP”) and applicable regulations of the Securities and Exchange Commission (“SEC”) regarding interim financial reporting, and include the accounts of Zoom Video Communications, Inc., its subsidiaries, and variable interest entities for which we are the primary beneficiary. All intercompany balances and transactions have been eliminated in consolidation.</w:t>
      </w:r>
    </w:p>
    <w:p>
      <w:pPr>
        <w:spacing w:after="0" w:line="7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condensed consolidated balance sheet as of January 31, 2022 included herein was derived from the audited financial statements as of that date, but does not include all disclosures, including certain notes required by GAAP on an annual reporting basis. The unaudited condensed consolidated financial statements reflect all normal recurring adjustments necessary to present fairly the balance sheets, statements of operations, statements of comprehensive income, statements of stockholders’ equity, and statements of cash flows for the interim periods, but are not necessarily indicative of the results of operations to be anticipated for the full fiscal year or any future period.</w:t>
      </w:r>
    </w:p>
    <w:p>
      <w:pPr>
        <w:spacing w:after="0" w:line="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unaudited condensed consolidated financial statements should be read in conjunction with the audited consolidated financial statements and notes included in our Annual Report on Form 10-K for the year ended January 31, 2022, filed with the SEC on March 7, 2022.</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GAAP requires management to make estimates and assumptions that affect the reported amounts of assets and liabilities, disclosure of contingent assets and liabilities at the date of the condensed consolidated financial statements, and the reported amounts of revenue and expenses during the reporting period. Significant items subject to such estimates and assumptions include, but are not limited to, the estimated expected benefit period for deferred contract acquisition costs, the useful lives of long-lived assets, the incremental borrowing rate for operating leases, stock-based compensation expense, sales and other tax liabilities, the fair value of marketable securities and strategic investments, acquired intangible assets and goodwill, the valuation of deferred income tax assets and uncertain tax positions, and accruals and contingencies. Actual results could materially differ from those estimates.</w:t>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Summary of Significant Accounting Policies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significant accounting policies are discussed in Note 1. “Summary of Business and Significant Accounting Policies” in the notes to consolidated financial statements included in our Annual Report on Form 10-K for the year ended January 31, 2022, filed with the SEC on March 7, 2022. There have been no significant changes to these policies during the nine months ended October 31, 2022.</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Accounting Pronouncements Not Yet Adopted</w:t>
      </w:r>
    </w:p>
    <w:p>
      <w:pPr>
        <w:spacing w:after="0" w:line="11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In June 2022, the FASB issued ASU No. 2022-03, </w:t>
      </w:r>
      <w:r>
        <w:rPr>
          <w:rFonts w:ascii="Times New Roman" w:cs="Times New Roman" w:eastAsia="Times New Roman" w:hAnsi="Times New Roman"/>
          <w:sz w:val="18"/>
          <w:szCs w:val="18"/>
          <w:i w:val="1"/>
          <w:iCs w:val="1"/>
          <w:color w:val="auto"/>
        </w:rPr>
        <w:t>Fair Value Measurements (Topic 820): Fair Value Measurement of Equity Securities Subject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Contractual Sale Restrictions</w:t>
      </w:r>
      <w:r>
        <w:rPr>
          <w:rFonts w:ascii="Times New Roman" w:cs="Times New Roman" w:eastAsia="Times New Roman" w:hAnsi="Times New Roman"/>
          <w:sz w:val="18"/>
          <w:szCs w:val="18"/>
          <w:color w:val="auto"/>
        </w:rPr>
        <w:t>, which clarifies and amends the guidance of measuring the fair value of equity securities subject to contractual restrictions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prohibit the sale of the equity securities. The guidance will be effective for fiscal years beginning after December 15, 2023 and interim periods within those fiscal years. We do not expect the adoption to have a material impact on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Revenue Recognition</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revenue by region based on the billing address of customers: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5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5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944"/>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964"/>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94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962"/>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137"/>
        </w:trPr>
        <w:tc>
          <w:tcPr>
            <w:tcW w:w="1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jc w:val="right"/>
              <w:ind w:right="84"/>
              <w:spacing w:after="0" w:line="137"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ind w:left="160"/>
              <w:spacing w:after="0" w:line="137"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vMerge w:val="restart"/>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jc w:val="right"/>
              <w:ind w:right="104"/>
              <w:spacing w:after="0" w:line="137"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jc w:val="right"/>
              <w:ind w:right="102"/>
              <w:spacing w:after="0" w:line="137"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95"/>
        </w:trPr>
        <w:tc>
          <w:tcPr>
            <w:tcW w:w="15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218"/>
        </w:trPr>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1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1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773,576</w:t>
            </w: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699,944</w:t>
            </w:r>
          </w:p>
        </w:tc>
        <w:tc>
          <w:tcPr>
            <w:tcW w:w="1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2,264,647</w:t>
            </w:r>
          </w:p>
        </w:tc>
        <w:tc>
          <w:tcPr>
            <w:tcW w:w="1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2,017,143</w:t>
            </w:r>
          </w:p>
        </w:tc>
        <w:tc>
          <w:tcPr>
            <w:tcW w:w="1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0" w:type="dxa"/>
            <w:vAlign w:val="bottom"/>
          </w:tcPr>
          <w:p>
            <w:pPr>
              <w:spacing w:after="0"/>
              <w:rPr>
                <w:sz w:val="1"/>
                <w:szCs w:val="1"/>
                <w:color w:val="auto"/>
              </w:rPr>
            </w:pPr>
          </w:p>
        </w:tc>
      </w:tr>
      <w:tr>
        <w:trPr>
          <w:trHeight w:val="333"/>
        </w:trPr>
        <w:tc>
          <w:tcPr>
            <w:tcW w:w="1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1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(“APAC”)</w:t>
            </w: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146,196</w:t>
            </w:r>
          </w:p>
        </w:tc>
        <w:tc>
          <w:tcPr>
            <w:tcW w:w="1320" w:type="dxa"/>
            <w:vAlign w:val="bottom"/>
            <w:gridSpan w:val="3"/>
          </w:tcPr>
          <w:p>
            <w:pPr>
              <w:jc w:val="right"/>
              <w:ind w:right="144"/>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150,473</w:t>
            </w:r>
          </w:p>
        </w:tc>
        <w:tc>
          <w:tcPr>
            <w:tcW w:w="1340" w:type="dxa"/>
            <w:vAlign w:val="bottom"/>
            <w:gridSpan w:val="3"/>
          </w:tcPr>
          <w:p>
            <w:pPr>
              <w:jc w:val="right"/>
              <w:ind w:right="144"/>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444,372</w:t>
            </w:r>
          </w:p>
        </w:tc>
        <w:tc>
          <w:tcPr>
            <w:tcW w:w="1340" w:type="dxa"/>
            <w:vAlign w:val="bottom"/>
            <w:gridSpan w:val="3"/>
          </w:tcPr>
          <w:p>
            <w:pPr>
              <w:jc w:val="right"/>
              <w:ind w:right="144"/>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409,557</w:t>
            </w:r>
          </w:p>
        </w:tc>
        <w:tc>
          <w:tcPr>
            <w:tcW w:w="1340" w:type="dxa"/>
            <w:vAlign w:val="bottom"/>
            <w:gridSpan w:val="3"/>
          </w:tcPr>
          <w:p>
            <w:pPr>
              <w:jc w:val="right"/>
              <w:ind w:right="142"/>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333"/>
        </w:trPr>
        <w:tc>
          <w:tcPr>
            <w:tcW w:w="1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 Middle</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East, and Africa</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1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182,127</w:t>
            </w:r>
          </w:p>
        </w:tc>
        <w:tc>
          <w:tcPr>
            <w:tcW w:w="1320" w:type="dxa"/>
            <w:vAlign w:val="bottom"/>
            <w:gridSpan w:val="3"/>
            <w:shd w:val="clear" w:color="auto" w:fill="CCEEFF"/>
          </w:tcPr>
          <w:p>
            <w:pPr>
              <w:jc w:val="right"/>
              <w:ind w:right="144"/>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200,339</w:t>
            </w:r>
          </w:p>
        </w:tc>
        <w:tc>
          <w:tcPr>
            <w:tcW w:w="1340" w:type="dxa"/>
            <w:vAlign w:val="bottom"/>
            <w:gridSpan w:val="3"/>
            <w:shd w:val="clear" w:color="auto" w:fill="CCEEFF"/>
          </w:tcPr>
          <w:p>
            <w:pPr>
              <w:jc w:val="right"/>
              <w:ind w:right="144"/>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566,138</w:t>
            </w:r>
          </w:p>
        </w:tc>
        <w:tc>
          <w:tcPr>
            <w:tcW w:w="1340" w:type="dxa"/>
            <w:vAlign w:val="bottom"/>
            <w:gridSpan w:val="3"/>
            <w:shd w:val="clear" w:color="auto" w:fill="CCEEFF"/>
          </w:tcPr>
          <w:p>
            <w:pPr>
              <w:jc w:val="right"/>
              <w:ind w:right="144"/>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601,788</w:t>
            </w:r>
          </w:p>
        </w:tc>
        <w:tc>
          <w:tcPr>
            <w:tcW w:w="1340" w:type="dxa"/>
            <w:vAlign w:val="bottom"/>
            <w:gridSpan w:val="3"/>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3"/>
        </w:trPr>
        <w:tc>
          <w:tcPr>
            <w:tcW w:w="1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1,101,899</w:t>
            </w:r>
          </w:p>
        </w:tc>
        <w:tc>
          <w:tcPr>
            <w:tcW w:w="4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1,050,756</w:t>
            </w:r>
          </w:p>
        </w:tc>
        <w:tc>
          <w:tcPr>
            <w:tcW w:w="4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3,275,157</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3,028,488</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9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receive payments from customers based on a billing schedule as established in our customer contracts. Accounts receivable are recorded when we contractually have the right to consideration. In some arrangements, a right to consideration for our performance under the customer contract may occur before invoicing to the customer, resulting in an unbilled accounts receivable. The amount of unbilled accounts receivable included within accounts receivable, net of allowances on the condensed consolidated balance sheets was $82.4 million and $59.7 million as of October 31, 2022 and January 31, 2022, respectively.</w:t>
      </w:r>
    </w:p>
    <w:p>
      <w:pPr>
        <w:spacing w:after="0" w:line="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Contract liabilities consist of deferred revenue. Revenue is deferred when we have the right to invoice in advance of performance under a customer contract. The current portion of deferred revenue balances is recognized over the next 12 months. The amount of revenue recognized during the three months ended October 31, 2022 and 2021 that was included in deferred revenue at the beginning of each period was $586.1 million and $510.8 million, respectively, and $1,058.7 million and $802.0 million during the nine months ended October 31, 2022 and 2021, respectively.</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terms of our subscription agreements are monthly, annual, and multiyear, and we may bill for the full term in advance or on an annual, quarterly, or monthly basis, depending on the billing terms with customers. As of October 31, 2022, the aggregate amount of the transaction price allocated to our remaining performance obligations was $3,245.9 million, which consists of both billed consideration in the amount of $1,354.2 million and unbilled consideration in the amount of $1,891.7 million that we expect to recognize as revenue. We expect to recognize 59% of our remaining performance obligations as revenue over the next 12 months and the remainder thereafter.</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tab/>
        <w:t>Investments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October 31, 2022 and January 31, 2022, our marketable securities consisted of the following:</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60" w:type="dxa"/>
            <w:vAlign w:val="bottom"/>
            <w:gridSpan w:val="6"/>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As of October 31, 2022</w:t>
            </w: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020" w:type="dxa"/>
            <w:vAlign w:val="bottom"/>
          </w:tcPr>
          <w:p>
            <w:pPr>
              <w:jc w:val="center"/>
              <w:ind w:left="223"/>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1"/>
                <w:szCs w:val="11"/>
                <w:color w:val="auto"/>
              </w:rPr>
            </w:pPr>
          </w:p>
        </w:tc>
        <w:tc>
          <w:tcPr>
            <w:tcW w:w="1100" w:type="dxa"/>
            <w:vAlign w:val="bottom"/>
          </w:tcPr>
          <w:p>
            <w:pPr>
              <w:jc w:val="center"/>
              <w:ind w:right="156"/>
              <w:spacing w:after="0" w:line="131"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6"/>
        </w:trPr>
        <w:tc>
          <w:tcPr>
            <w:tcW w:w="5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20" w:type="dxa"/>
            <w:vAlign w:val="bottom"/>
          </w:tcPr>
          <w:p>
            <w:pPr>
              <w:jc w:val="center"/>
              <w:ind w:left="223"/>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1100" w:type="dxa"/>
            <w:vAlign w:val="bottom"/>
          </w:tcPr>
          <w:p>
            <w:pPr>
              <w:jc w:val="center"/>
              <w:ind w:right="156"/>
              <w:spacing w:after="0" w:line="146"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8"/>
        </w:trPr>
        <w:tc>
          <w:tcPr>
            <w:tcW w:w="55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7"/>
                <w:szCs w:val="17"/>
                <w:color w:val="auto"/>
              </w:rPr>
            </w:pPr>
          </w:p>
        </w:tc>
        <w:tc>
          <w:tcPr>
            <w:tcW w:w="1020" w:type="dxa"/>
            <w:vAlign w:val="bottom"/>
            <w:tcBorders>
              <w:bottom w:val="single" w:sz="8" w:color="auto"/>
            </w:tcBorders>
          </w:tcPr>
          <w:p>
            <w:pPr>
              <w:jc w:val="center"/>
              <w:ind w:left="223"/>
              <w:spacing w:after="0"/>
              <w:rPr>
                <w:sz w:val="20"/>
                <w:szCs w:val="20"/>
                <w:color w:val="auto"/>
              </w:rPr>
            </w:pPr>
            <w:r>
              <w:rPr>
                <w:rFonts w:ascii="Times New Roman" w:cs="Times New Roman" w:eastAsia="Times New Roman" w:hAnsi="Times New Roman"/>
                <w:sz w:val="14"/>
                <w:szCs w:val="14"/>
                <w:b w:val="1"/>
                <w:bCs w:val="1"/>
                <w:color w:val="auto"/>
              </w:rPr>
              <w:t>Gains</w:t>
            </w:r>
          </w:p>
        </w:tc>
        <w:tc>
          <w:tcPr>
            <w:tcW w:w="3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8"/>
        </w:trPr>
        <w:tc>
          <w:tcPr>
            <w:tcW w:w="5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gridSpan w:val="6"/>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5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40,432</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43"/>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40,432</w:t>
            </w:r>
          </w:p>
        </w:tc>
        <w:tc>
          <w:tcPr>
            <w:tcW w:w="0" w:type="dxa"/>
            <w:vAlign w:val="bottom"/>
          </w:tcPr>
          <w:p>
            <w:pPr>
              <w:spacing w:after="0"/>
              <w:rPr>
                <w:sz w:val="1"/>
                <w:szCs w:val="1"/>
                <w:color w:val="auto"/>
              </w:rPr>
            </w:pPr>
          </w:p>
        </w:tc>
      </w:tr>
      <w:tr>
        <w:trPr>
          <w:trHeight w:val="229"/>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Agency bonds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643,133</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626,144</w:t>
            </w: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 debt securities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394,948</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387,262</w:t>
            </w:r>
          </w:p>
        </w:tc>
        <w:tc>
          <w:tcPr>
            <w:tcW w:w="0" w:type="dxa"/>
            <w:vAlign w:val="bottom"/>
          </w:tcPr>
          <w:p>
            <w:pPr>
              <w:spacing w:after="0"/>
              <w:rPr>
                <w:sz w:val="1"/>
                <w:szCs w:val="1"/>
                <w:color w:val="auto"/>
              </w:rPr>
            </w:pPr>
          </w:p>
        </w:tc>
      </w:tr>
      <w:tr>
        <w:trPr>
          <w:trHeight w:val="229"/>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3,029,886</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(71,343)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2,958,557</w:t>
            </w: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Treasury bills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56,554</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56,423</w:t>
            </w:r>
          </w:p>
        </w:tc>
        <w:tc>
          <w:tcPr>
            <w:tcW w:w="0" w:type="dxa"/>
            <w:vAlign w:val="bottom"/>
          </w:tcPr>
          <w:p>
            <w:pPr>
              <w:spacing w:after="0"/>
              <w:rPr>
                <w:sz w:val="1"/>
                <w:szCs w:val="1"/>
                <w:color w:val="auto"/>
              </w:rPr>
            </w:pPr>
          </w:p>
        </w:tc>
      </w:tr>
      <w:tr>
        <w:trPr>
          <w:trHeight w:val="223"/>
        </w:trPr>
        <w:tc>
          <w:tcPr>
            <w:tcW w:w="5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4,164,953</w:t>
            </w:r>
          </w:p>
        </w:tc>
        <w:tc>
          <w:tcPr>
            <w:tcW w:w="12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843"/>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(96,149)</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4,068,818</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4"/>
        </w:trPr>
        <w:tc>
          <w:tcPr>
            <w:tcW w:w="5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6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 of January 31, 2022</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5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5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020" w:type="dxa"/>
            <w:vAlign w:val="bottom"/>
          </w:tcPr>
          <w:p>
            <w:pPr>
              <w:jc w:val="center"/>
              <w:ind w:left="223"/>
              <w:spacing w:after="0" w:line="129" w:lineRule="exact"/>
              <w:rPr>
                <w:sz w:val="20"/>
                <w:szCs w:val="20"/>
                <w:color w:val="auto"/>
              </w:rPr>
            </w:pPr>
            <w:r>
              <w:rPr>
                <w:rFonts w:ascii="Times New Roman" w:cs="Times New Roman" w:eastAsia="Times New Roman" w:hAnsi="Times New Roman"/>
                <w:sz w:val="14"/>
                <w:szCs w:val="14"/>
                <w:b w:val="1"/>
                <w:bCs w:val="1"/>
                <w:color w:val="auto"/>
              </w:rPr>
              <w:t>Gross</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tcPr>
          <w:p>
            <w:pPr>
              <w:jc w:val="center"/>
              <w:ind w:right="340"/>
              <w:spacing w:after="0" w:line="129" w:lineRule="exact"/>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1"/>
                <w:szCs w:val="11"/>
                <w:color w:val="auto"/>
              </w:rPr>
            </w:pPr>
          </w:p>
        </w:tc>
        <w:tc>
          <w:tcPr>
            <w:tcW w:w="1100" w:type="dxa"/>
            <w:vAlign w:val="bottom"/>
          </w:tcPr>
          <w:p>
            <w:pPr>
              <w:jc w:val="center"/>
              <w:ind w:right="156"/>
              <w:spacing w:after="0" w:line="129"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5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20" w:type="dxa"/>
            <w:vAlign w:val="bottom"/>
          </w:tcPr>
          <w:p>
            <w:pPr>
              <w:jc w:val="center"/>
              <w:ind w:left="223"/>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1100" w:type="dxa"/>
            <w:vAlign w:val="bottom"/>
          </w:tcPr>
          <w:p>
            <w:pPr>
              <w:jc w:val="center"/>
              <w:ind w:right="156"/>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6"/>
        </w:trPr>
        <w:tc>
          <w:tcPr>
            <w:tcW w:w="55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7"/>
                <w:szCs w:val="17"/>
                <w:color w:val="auto"/>
              </w:rPr>
            </w:pPr>
          </w:p>
        </w:tc>
        <w:tc>
          <w:tcPr>
            <w:tcW w:w="1020" w:type="dxa"/>
            <w:vAlign w:val="bottom"/>
            <w:tcBorders>
              <w:bottom w:val="single" w:sz="8" w:color="auto"/>
            </w:tcBorders>
          </w:tcPr>
          <w:p>
            <w:pPr>
              <w:jc w:val="center"/>
              <w:ind w:left="223"/>
              <w:spacing w:after="0"/>
              <w:rPr>
                <w:sz w:val="20"/>
                <w:szCs w:val="20"/>
                <w:color w:val="auto"/>
              </w:rPr>
            </w:pPr>
            <w:r>
              <w:rPr>
                <w:rFonts w:ascii="Times New Roman" w:cs="Times New Roman" w:eastAsia="Times New Roman" w:hAnsi="Times New Roman"/>
                <w:sz w:val="14"/>
                <w:szCs w:val="14"/>
                <w:b w:val="1"/>
                <w:bCs w:val="1"/>
                <w:color w:val="auto"/>
              </w:rPr>
              <w:t>Gains</w:t>
            </w:r>
          </w:p>
        </w:tc>
        <w:tc>
          <w:tcPr>
            <w:tcW w:w="3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9"/>
        </w:trPr>
        <w:tc>
          <w:tcPr>
            <w:tcW w:w="5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60" w:type="dxa"/>
            <w:vAlign w:val="bottom"/>
            <w:gridSpan w:val="6"/>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5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28,723</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43"/>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28,723</w:t>
            </w:r>
          </w:p>
        </w:tc>
        <w:tc>
          <w:tcPr>
            <w:tcW w:w="0" w:type="dxa"/>
            <w:vAlign w:val="bottom"/>
          </w:tcPr>
          <w:p>
            <w:pPr>
              <w:spacing w:after="0"/>
              <w:rPr>
                <w:sz w:val="1"/>
                <w:szCs w:val="1"/>
                <w:color w:val="auto"/>
              </w:rPr>
            </w:pPr>
          </w:p>
        </w:tc>
      </w:tr>
      <w:tr>
        <w:trPr>
          <w:trHeight w:val="229"/>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Agency bonds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632,935</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629,609</w:t>
            </w: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 debt securities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282,124</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280,927</w:t>
            </w:r>
          </w:p>
        </w:tc>
        <w:tc>
          <w:tcPr>
            <w:tcW w:w="0" w:type="dxa"/>
            <w:vAlign w:val="bottom"/>
          </w:tcPr>
          <w:p>
            <w:pPr>
              <w:spacing w:after="0"/>
              <w:rPr>
                <w:sz w:val="1"/>
                <w:szCs w:val="1"/>
                <w:color w:val="auto"/>
              </w:rPr>
            </w:pPr>
          </w:p>
        </w:tc>
      </w:tr>
      <w:tr>
        <w:trPr>
          <w:trHeight w:val="229"/>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3,046,742</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(19,261)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3,027,509</w:t>
            </w: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Treasury bills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389,826</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389,678</w:t>
            </w:r>
          </w:p>
        </w:tc>
        <w:tc>
          <w:tcPr>
            <w:tcW w:w="0" w:type="dxa"/>
            <w:vAlign w:val="bottom"/>
          </w:tcPr>
          <w:p>
            <w:pPr>
              <w:spacing w:after="0"/>
              <w:rPr>
                <w:sz w:val="1"/>
                <w:szCs w:val="1"/>
                <w:color w:val="auto"/>
              </w:rPr>
            </w:pPr>
          </w:p>
        </w:tc>
      </w:tr>
      <w:tr>
        <w:trPr>
          <w:trHeight w:val="223"/>
        </w:trPr>
        <w:tc>
          <w:tcPr>
            <w:tcW w:w="5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4,380,350</w:t>
            </w:r>
          </w:p>
        </w:tc>
        <w:tc>
          <w:tcPr>
            <w:tcW w:w="12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843"/>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(23,939)</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4,356,446</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Unrealized losses for securities that have been in an unrealized loss position for less than 12 months were $57.1 million as of October 31, 2022 and $23.3 million as of January 31, 2022. Unrealized losses for securities that have been in an unrealized loss position for 12 months or longer were $39.0 million as of October 31, 2022 and were immaterial as of January 31, 2022. We review the individual securities that have unrealized losses on a regular basis to evaluate whether or not any security has experienced, or is expected to experience, credit losses resulting in the decline in fair value. We evaluate, among other factors, whether we have the intention to sell any of these marketable securities and whether it is more likely than not that we will be required to sell any of them before recovery of the amortized cost basis. We have not recorded an allowance for credit losses, as we believe any such losses would be immaterial based on the high-grade credit rating for each of our marketable securities as of the end of each period. There were no material realized gains or losses from available-for-sale securities that were reclassified out of accumulated other comprehensive loss for the three and nine months ended October 31, 2022 and 2021.</w:t>
      </w:r>
    </w:p>
    <w:p>
      <w:pPr>
        <w:spacing w:after="0" w:line="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the contractual maturities of our marketable securities as of October 31, 2022 and January 31, 2022:</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4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4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64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44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October 31, 2022</w:t>
            </w:r>
          </w:p>
        </w:tc>
        <w:tc>
          <w:tcPr>
            <w:tcW w:w="120" w:type="dxa"/>
            <w:vAlign w:val="bottom"/>
            <w:tcBorders>
              <w:top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440" w:type="dxa"/>
            <w:vAlign w:val="bottom"/>
            <w:tcBorders>
              <w:top w:val="single" w:sz="8" w:color="auto"/>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January 31, 2022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64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40" w:type="dxa"/>
            <w:vAlign w:val="bottom"/>
            <w:gridSpan w:val="5"/>
          </w:tcPr>
          <w:p>
            <w:pPr>
              <w:ind w:left="10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
        </w:trPr>
        <w:tc>
          <w:tcPr>
            <w:tcW w:w="364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than one year</w:t>
            </w:r>
          </w:p>
        </w:tc>
        <w:tc>
          <w:tcPr>
            <w:tcW w:w="43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2,726,471</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2,387,139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Due in one to five years</w:t>
            </w:r>
          </w:p>
        </w:tc>
        <w:tc>
          <w:tcPr>
            <w:tcW w:w="41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1,342,347</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1,969,307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64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41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4,068,818</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4,356,446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40" w:type="dxa"/>
            <w:vAlign w:val="bottom"/>
            <w:tcBorders>
              <w:top w:val="single" w:sz="8" w:color="CFF0FC"/>
            </w:tcBorders>
          </w:tcPr>
          <w:p>
            <w:pPr>
              <w:spacing w:after="0" w:line="20" w:lineRule="exact"/>
              <w:rPr>
                <w:sz w:val="1"/>
                <w:szCs w:val="1"/>
                <w:color w:val="auto"/>
              </w:rPr>
            </w:pPr>
          </w:p>
        </w:tc>
        <w:tc>
          <w:tcPr>
            <w:tcW w:w="4160" w:type="dxa"/>
            <w:vAlign w:val="bottom"/>
            <w:tcBorders>
              <w:top w:val="single" w:sz="8" w:color="CFF0FC"/>
              <w:bottom w:val="single" w:sz="8" w:color="CFF0FC"/>
            </w:tcBorders>
            <w:vMerge w:val="restart"/>
          </w:tcPr>
          <w:p>
            <w:pPr>
              <w:jc w:val="right"/>
              <w:ind w:right="1990"/>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44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440" w:type="dxa"/>
            <w:vAlign w:val="bottom"/>
            <w:tcBorders>
              <w:top w:val="single" w:sz="8" w:color="CFF0FC"/>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3640" w:type="dxa"/>
            <w:vAlign w:val="bottom"/>
          </w:tcPr>
          <w:p>
            <w:pPr>
              <w:spacing w:after="0"/>
              <w:rPr>
                <w:sz w:val="24"/>
                <w:szCs w:val="24"/>
                <w:color w:val="auto"/>
              </w:rPr>
            </w:pPr>
          </w:p>
        </w:tc>
        <w:tc>
          <w:tcPr>
            <w:tcW w:w="41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40" w:type="dxa"/>
            <w:vAlign w:val="bottom"/>
            <w:tcBorders>
              <w:bottom w:val="single" w:sz="8" w:color="9A9A9A"/>
            </w:tcBorders>
          </w:tcPr>
          <w:p>
            <w:pPr>
              <w:spacing w:after="0"/>
              <w:rPr>
                <w:sz w:val="10"/>
                <w:szCs w:val="10"/>
                <w:color w:val="auto"/>
              </w:rPr>
            </w:pPr>
          </w:p>
        </w:tc>
        <w:tc>
          <w:tcPr>
            <w:tcW w:w="41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Strategic Investments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Strategic investments by form and measurement category as of October 31, 2022 were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940" w:type="dxa"/>
            <w:vAlign w:val="bottom"/>
            <w:gridSpan w:val="5"/>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Measurement Category</w:t>
            </w:r>
          </w:p>
        </w:tc>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3"/>
        </w:trPr>
        <w:tc>
          <w:tcPr>
            <w:tcW w:w="43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0"/>
        </w:trPr>
        <w:tc>
          <w:tcPr>
            <w:tcW w:w="43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6"/>
                <w:szCs w:val="16"/>
                <w:color w:val="auto"/>
              </w:rPr>
            </w:pPr>
          </w:p>
        </w:tc>
        <w:tc>
          <w:tcPr>
            <w:tcW w:w="16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Measurement Alternative</w:t>
            </w: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Equity Method</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9"/>
        </w:trPr>
        <w:tc>
          <w:tcPr>
            <w:tcW w:w="4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940" w:type="dxa"/>
            <w:vAlign w:val="bottom"/>
            <w:gridSpan w:val="5"/>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
        </w:trPr>
        <w:tc>
          <w:tcPr>
            <w:tcW w:w="4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132,405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114,764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93,096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340,265</w:t>
            </w:r>
          </w:p>
        </w:tc>
      </w:tr>
      <w:tr>
        <w:trPr>
          <w:trHeight w:val="23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securities</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14,284</w:t>
            </w:r>
          </w:p>
        </w:tc>
      </w:tr>
      <w:tr>
        <w:trPr>
          <w:trHeight w:val="248"/>
        </w:trPr>
        <w:tc>
          <w:tcPr>
            <w:tcW w:w="43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Strategic investments</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114,764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354,549</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Strategic investments by form and measurement category as of January 31, 2022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940" w:type="dxa"/>
            <w:vAlign w:val="bottom"/>
            <w:gridSpan w:val="5"/>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Measurement Category</w:t>
            </w:r>
          </w:p>
        </w:tc>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3"/>
        </w:trPr>
        <w:tc>
          <w:tcPr>
            <w:tcW w:w="43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0"/>
        </w:trPr>
        <w:tc>
          <w:tcPr>
            <w:tcW w:w="43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6"/>
                <w:szCs w:val="16"/>
                <w:color w:val="auto"/>
              </w:rPr>
            </w:pPr>
          </w:p>
        </w:tc>
        <w:tc>
          <w:tcPr>
            <w:tcW w:w="16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Measurement Alternative</w:t>
            </w: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Equity Method</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9"/>
        </w:trPr>
        <w:tc>
          <w:tcPr>
            <w:tcW w:w="4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940" w:type="dxa"/>
            <w:vAlign w:val="bottom"/>
            <w:gridSpan w:val="5"/>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
        </w:trPr>
        <w:tc>
          <w:tcPr>
            <w:tcW w:w="4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168,784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91,399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353,583</w:t>
            </w:r>
          </w:p>
        </w:tc>
      </w:tr>
      <w:tr>
        <w:trPr>
          <w:trHeight w:val="23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securities</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14,231</w:t>
            </w:r>
          </w:p>
        </w:tc>
      </w:tr>
      <w:tr>
        <w:trPr>
          <w:trHeight w:val="248"/>
        </w:trPr>
        <w:tc>
          <w:tcPr>
            <w:tcW w:w="43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Strategic investments</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91,399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367,814</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the second quarter of fiscal year 2023, we made a strategic investment of $40.0 million for common shares in private placement by a company in the B2B software and services travel space. We recorded a loss of $17.8 million related to this investment for the nine months ended October 31, 2022. As of October 31, 2022, the fair value of the investment was $22.2 million and our ownership interest represents less than 1% percent of the economic interest of the investee's outstanding capital stock.</w:t>
      </w:r>
    </w:p>
    <w:p>
      <w:pPr>
        <w:spacing w:after="0" w:line="17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our financial instruments that are measured at fair value on a recurring basis and indicate the fair value hierarchy of the valuation inputs utilized to determine such fair value:</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As of October 31, 2022</w:t>
            </w: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
        </w:trPr>
        <w:tc>
          <w:tcPr>
            <w:tcW w:w="5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50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19"/>
        </w:trPr>
        <w:tc>
          <w:tcPr>
            <w:tcW w:w="50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
        </w:trPr>
        <w:tc>
          <w:tcPr>
            <w:tcW w:w="5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7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737,461</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737,461</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Treasury bills</w:t>
            </w: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Agency bonds</w:t>
            </w: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0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Cash equivalents</w:t>
            </w:r>
          </w:p>
        </w:tc>
        <w:tc>
          <w:tcPr>
            <w:tcW w:w="54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766,603</w:t>
            </w:r>
          </w:p>
        </w:tc>
        <w:tc>
          <w:tcPr>
            <w:tcW w:w="1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737,461</w:t>
            </w:r>
          </w:p>
        </w:tc>
        <w:tc>
          <w:tcPr>
            <w:tcW w:w="10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29,142</w:t>
            </w:r>
          </w:p>
        </w:tc>
        <w:tc>
          <w:tcPr>
            <w:tcW w:w="1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40,432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40,432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Agency bonds</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626,144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626,144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 debt securities</w:t>
            </w: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387,262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387,262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2,958,557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2,958,557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Treasury bills</w:t>
            </w: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56,423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56,423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0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Marketable securities</w:t>
            </w:r>
          </w:p>
        </w:tc>
        <w:tc>
          <w:tcPr>
            <w:tcW w:w="54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4,068,818</w:t>
            </w:r>
          </w:p>
        </w:tc>
        <w:tc>
          <w:tcPr>
            <w:tcW w:w="1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4,068,818</w:t>
            </w:r>
          </w:p>
        </w:tc>
        <w:tc>
          <w:tcPr>
            <w:tcW w:w="1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Certificates of deposit included in other assets, noncurrent</w:t>
            </w:r>
          </w:p>
        </w:tc>
        <w:tc>
          <w:tcPr>
            <w:tcW w:w="5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Publicly held equity securities included in strategic investments</w:t>
            </w:r>
          </w:p>
        </w:tc>
        <w:tc>
          <w:tcPr>
            <w:tcW w:w="5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132,405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132,405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Privately held debt securities included in strategic investments</w:t>
            </w:r>
          </w:p>
        </w:tc>
        <w:tc>
          <w:tcPr>
            <w:tcW w:w="5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14,284</w:t>
            </w:r>
          </w:p>
        </w:tc>
      </w:tr>
      <w:tr>
        <w:trPr>
          <w:trHeight w:val="223"/>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financial assets</w:t>
            </w:r>
          </w:p>
        </w:tc>
        <w:tc>
          <w:tcPr>
            <w:tcW w:w="54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4,982,356</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869,866</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4,098,206</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14,284</w:t>
            </w:r>
          </w:p>
        </w:tc>
      </w:tr>
      <w:tr>
        <w:trPr>
          <w:trHeight w:val="20"/>
        </w:trPr>
        <w:tc>
          <w:tcPr>
            <w:tcW w:w="5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830"/>
        </w:trPr>
        <w:tc>
          <w:tcPr>
            <w:tcW w:w="5080" w:type="dxa"/>
            <w:vAlign w:val="bottom"/>
          </w:tcPr>
          <w:p>
            <w:pPr>
              <w:spacing w:after="0"/>
              <w:rPr>
                <w:sz w:val="24"/>
                <w:szCs w:val="24"/>
                <w:color w:val="auto"/>
              </w:rPr>
            </w:pPr>
          </w:p>
        </w:tc>
        <w:tc>
          <w:tcPr>
            <w:tcW w:w="7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15"/>
        </w:trPr>
        <w:tc>
          <w:tcPr>
            <w:tcW w:w="50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As of January 31, 2022</w:t>
            </w: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
        </w:trPr>
        <w:tc>
          <w:tcPr>
            <w:tcW w:w="55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5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19"/>
        </w:trPr>
        <w:tc>
          <w:tcPr>
            <w:tcW w:w="5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
        </w:trPr>
        <w:tc>
          <w:tcPr>
            <w:tcW w:w="5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688,722</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688,722</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Treasury bills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107,496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107,496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58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equivalents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796,967</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688,722</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108,245</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28,723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28,723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Agency bonds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629,609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629,609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and other debt securities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280,927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280,927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3,027,509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3,027,509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Treasury bills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389,678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389,678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58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4,356,446</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4,356,446</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Certificates of deposit included in other assets, noncurrent</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Publicly held equity securities included in strategic investments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168,784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168,784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Privately held debt securities included in strategic investments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14,231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14,231</w:t>
            </w:r>
          </w:p>
        </w:tc>
      </w:tr>
      <w:tr>
        <w:trPr>
          <w:trHeight w:val="248"/>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financial assets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5,336,725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857,506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4,464,988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14,231</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classify our highly liquid money market funds and publicly held equity securities within Level 1 of the fair value hierarchy because they are valued based on quoted market prices in active markets. We classify our commercial paper, agency bonds, corporate and other debt securities, U.S. government agency securities, treasury bills, and certificates of deposit within Level 2 because they are valued using inputs other than quoted prices that are directly or indirectly observable in the market, including readily available pricing sources for the identical underlying security, which may not be actively traded. We classify our privately held debt securities as Level 3 due to the lack of relevant observable market data over fair value inputs, such as the probability weighting of the various scenarios that can impact settlement of the arrangement.</w:t>
      </w:r>
    </w:p>
    <w:p>
      <w:pPr>
        <w:spacing w:after="0" w:line="14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Business Combinations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May 19, 2022, we acquired 100% of the issued and outstanding share capital of Solvvy, Inc., a private technology company specializing in customer support automation, for an all-cash purchase consideration of $121.2 million. The acquisition adds to our customer service capabilities and enhances our integrated platform by providing conversational AI capabilities. The acquisition has been accounted for as a business combination.</w:t>
      </w:r>
    </w:p>
    <w:p>
      <w:pPr>
        <w:spacing w:after="0" w:line="6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allocating the purchase consideration, $94.9 million was attributed to goodwill, $26.7 million to intangible assets (consisted of $12.0 million to developed technology and $14.7 million to customer relationships), and $0.4 million to other net liabilities acquired. The goodwill amount represents synergies related to our existing products expected to be realized from the acquisition and assembled workforce. The associated goodwill is not deductible for tax purposes.</w:t>
      </w:r>
    </w:p>
    <w:p>
      <w:pPr>
        <w:spacing w:after="0" w:line="7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At the date of the acquisition, the developed technology and customer relationships both had an estimated useful life of 5.0 years, and both are amortized using the straight-line method over their respective estimated useful lives. As of October 31, 2022, the developed technology and customer relationships both had a remaining useful life of 4.5 years.</w:t>
      </w:r>
    </w:p>
    <w:p>
      <w:pPr>
        <w:spacing w:after="0" w:line="6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Transaction costs incurred in connection with the acquisition were immaterial. The results of operations of Solvvy, Inc., which are not material, have been included in our condensed consolidated financial statements from the date of the acquisition. Pro forma and historical results of operations of the company have not been presented, as the results do not have a material effect on any of the periods presented in our condensed consolidated statements of operations.</w:t>
      </w:r>
    </w:p>
    <w:p>
      <w:pPr>
        <w:spacing w:after="0" w:line="7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Uncertain tax positions are initially established in connection with the acquisition as of the acquisition date. We continue to collect information and reevaluate these estimates and assumptions quarterly. We will record any adjustments to our preliminary estimates to goodwill, provided that it is within the one-year measurement period.</w:t>
      </w:r>
    </w:p>
    <w:p>
      <w:pPr>
        <w:spacing w:after="0" w:line="172" w:lineRule="exact"/>
        <w:rPr>
          <w:sz w:val="20"/>
          <w:szCs w:val="20"/>
          <w:color w:val="auto"/>
        </w:rPr>
      </w:pPr>
    </w:p>
    <w:p>
      <w:pPr>
        <w:jc w:val="right"/>
        <w:ind w:left="500" w:right="8820" w:hanging="492"/>
        <w:spacing w:after="0" w:line="378" w:lineRule="auto"/>
        <w:tabs>
          <w:tab w:leader="none" w:pos="329"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Balance Sheet Components </w:t>
      </w:r>
      <w:r>
        <w:rPr>
          <w:rFonts w:ascii="Times New Roman" w:cs="Times New Roman" w:eastAsia="Times New Roman" w:hAnsi="Times New Roman"/>
          <w:sz w:val="18"/>
          <w:szCs w:val="18"/>
          <w:b w:val="1"/>
          <w:bCs w:val="1"/>
          <w:i w:val="1"/>
          <w:iCs w:val="1"/>
          <w:color w:val="auto"/>
        </w:rPr>
        <w:t>Accounts Receivable, Net</w:t>
      </w:r>
    </w:p>
    <w:p>
      <w:pPr>
        <w:ind w:left="500"/>
        <w:spacing w:after="0"/>
        <w:rPr>
          <w:sz w:val="20"/>
          <w:szCs w:val="20"/>
          <w:color w:val="auto"/>
        </w:rPr>
      </w:pPr>
      <w:r>
        <w:rPr>
          <w:rFonts w:ascii="Times New Roman" w:cs="Times New Roman" w:eastAsia="Times New Roman" w:hAnsi="Times New Roman"/>
          <w:sz w:val="18"/>
          <w:szCs w:val="18"/>
          <w:color w:val="auto"/>
        </w:rPr>
        <w:t>Accounts receivable are recorded for invoiced amounts and amounts for which revenue has been recognized, but not invoiced, net of allowances.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short-term accounts receivable consist of the following:</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40" w:type="dxa"/>
            <w:vAlign w:val="bottom"/>
          </w:tcPr>
          <w:p>
            <w:pPr>
              <w:spacing w:after="0"/>
              <w:rPr>
                <w:sz w:val="16"/>
                <w:szCs w:val="16"/>
                <w:color w:val="auto"/>
              </w:rPr>
            </w:pPr>
          </w:p>
        </w:tc>
      </w:tr>
      <w:tr>
        <w:trPr>
          <w:trHeight w:val="23"/>
        </w:trPr>
        <w:tc>
          <w:tcPr>
            <w:tcW w:w="78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90"/>
        </w:trPr>
        <w:tc>
          <w:tcPr>
            <w:tcW w:w="78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October 31, 2022</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January 31, 2022</w:t>
            </w:r>
          </w:p>
        </w:tc>
      </w:tr>
      <w:tr>
        <w:trPr>
          <w:trHeight w:val="219"/>
        </w:trPr>
        <w:tc>
          <w:tcPr>
            <w:tcW w:w="7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0" w:type="dxa"/>
            <w:vAlign w:val="bottom"/>
            <w:gridSpan w:val="4"/>
          </w:tcPr>
          <w:p>
            <w:pPr>
              <w:jc w:val="right"/>
              <w:ind w:right="1174"/>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
        </w:trPr>
        <w:tc>
          <w:tcPr>
            <w:tcW w:w="7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gross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624,606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444,369</w:t>
            </w: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200" w:type="dxa"/>
            <w:vAlign w:val="bottom"/>
          </w:tcPr>
          <w:p>
            <w:pPr>
              <w:spacing w:after="0"/>
              <w:rPr>
                <w:sz w:val="19"/>
                <w:szCs w:val="19"/>
                <w:color w:val="auto"/>
              </w:rPr>
            </w:pPr>
          </w:p>
        </w:tc>
        <w:tc>
          <w:tcPr>
            <w:tcW w:w="14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(24,345)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(17,000)</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allowance for returns</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(10,688)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(7,696)</w:t>
            </w:r>
          </w:p>
        </w:tc>
      </w:tr>
      <w:tr>
        <w:trPr>
          <w:trHeight w:val="223"/>
        </w:trPr>
        <w:tc>
          <w:tcPr>
            <w:tcW w:w="7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589,573</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419,673</w:t>
            </w:r>
          </w:p>
        </w:tc>
      </w:tr>
      <w:tr>
        <w:trPr>
          <w:trHeight w:val="20"/>
        </w:trPr>
        <w:tc>
          <w:tcPr>
            <w:tcW w:w="7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Below is a rollforward of our allowance for credit losses for the nine months ended October 31, 2022 and 2021:</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20" w:type="dxa"/>
            <w:vAlign w:val="bottom"/>
            <w:gridSpan w:val="7"/>
          </w:tcPr>
          <w:p>
            <w:pPr>
              <w:ind w:left="1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31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17,000</w:t>
            </w:r>
          </w:p>
        </w:tc>
        <w:tc>
          <w:tcPr>
            <w:tcW w:w="60" w:type="dxa"/>
            <w:vAlign w:val="bottom"/>
            <w:shd w:val="clear" w:color="auto" w:fill="CCEEFF"/>
          </w:tcPr>
          <w:p>
            <w:pPr>
              <w:spacing w:after="0"/>
              <w:rPr>
                <w:sz w:val="20"/>
                <w:szCs w:val="20"/>
                <w:color w:val="auto"/>
              </w:rPr>
            </w:pP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20,500</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34,610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19,416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Write-offs</w:t>
            </w:r>
          </w:p>
        </w:tc>
        <w:tc>
          <w:tcPr>
            <w:tcW w:w="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(27,265)</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(18,816)</w:t>
            </w:r>
          </w:p>
        </w:tc>
        <w:tc>
          <w:tcPr>
            <w:tcW w:w="0" w:type="dxa"/>
            <w:vAlign w:val="bottom"/>
          </w:tcPr>
          <w:p>
            <w:pPr>
              <w:spacing w:after="0"/>
              <w:rPr>
                <w:sz w:val="1"/>
                <w:szCs w:val="1"/>
                <w:color w:val="auto"/>
              </w:rPr>
            </w:pPr>
          </w:p>
        </w:tc>
      </w:tr>
      <w:tr>
        <w:trPr>
          <w:trHeight w:val="22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October 31</w:t>
            </w:r>
          </w:p>
        </w:tc>
        <w:tc>
          <w:tcPr>
            <w:tcW w:w="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24,345</w:t>
            </w:r>
          </w:p>
        </w:tc>
        <w:tc>
          <w:tcPr>
            <w:tcW w:w="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21,100</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5"/>
        </w:trPr>
        <w:tc>
          <w:tcPr>
            <w:tcW w:w="780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7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gridSpan w:val="5"/>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7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00" w:type="dxa"/>
            <w:vAlign w:val="bottom"/>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42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October 31, 2022</w:t>
            </w:r>
          </w:p>
        </w:tc>
        <w:tc>
          <w:tcPr>
            <w:tcW w:w="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420" w:type="dxa"/>
            <w:vAlign w:val="bottom"/>
            <w:tcBorders>
              <w:top w:val="single" w:sz="8" w:color="auto"/>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January 31, 2022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20" w:type="dxa"/>
            <w:vAlign w:val="bottom"/>
            <w:gridSpan w:val="7"/>
          </w:tcPr>
          <w:p>
            <w:pPr>
              <w:ind w:left="10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
        </w:trPr>
        <w:tc>
          <w:tcPr>
            <w:tcW w:w="780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14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2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130,021</w:t>
            </w:r>
          </w:p>
        </w:tc>
        <w:tc>
          <w:tcPr>
            <w:tcW w:w="60" w:type="dxa"/>
            <w:vAlign w:val="bottom"/>
            <w:shd w:val="clear" w:color="auto" w:fill="CCEEFF"/>
          </w:tcPr>
          <w:p>
            <w:pPr>
              <w:spacing w:after="0"/>
              <w:rPr>
                <w:sz w:val="19"/>
                <w:szCs w:val="19"/>
                <w:color w:val="auto"/>
              </w:rPr>
            </w:pPr>
          </w:p>
        </w:tc>
        <w:tc>
          <w:tcPr>
            <w:tcW w:w="28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112,666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receivables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17,657</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from international employee stock sales</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9,668</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8,315</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8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Borders>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165,661</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145,602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bottom w:val="single" w:sz="8" w:color="CCEEFF"/>
            </w:tcBorders>
            <w:vMerge w:val="restart"/>
          </w:tcPr>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9"/>
        </w:trPr>
        <w:tc>
          <w:tcPr>
            <w:tcW w:w="780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Property and equipment consisted of the following:</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7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gridSpan w:val="5"/>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7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00" w:type="dxa"/>
            <w:vAlign w:val="bottom"/>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42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October 31, 2022</w:t>
            </w:r>
          </w:p>
        </w:tc>
        <w:tc>
          <w:tcPr>
            <w:tcW w:w="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420" w:type="dxa"/>
            <w:vAlign w:val="bottom"/>
            <w:tcBorders>
              <w:top w:val="single" w:sz="8" w:color="auto"/>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January 31, 2022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20" w:type="dxa"/>
            <w:vAlign w:val="bottom"/>
            <w:gridSpan w:val="7"/>
          </w:tcPr>
          <w:p>
            <w:pPr>
              <w:ind w:left="10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
        </w:trPr>
        <w:tc>
          <w:tcPr>
            <w:tcW w:w="780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14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gridSpan w:val="3"/>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Servers</w:t>
            </w:r>
          </w:p>
        </w:tc>
        <w:tc>
          <w:tcPr>
            <w:tcW w:w="2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234,788</w:t>
            </w:r>
          </w:p>
        </w:tc>
        <w:tc>
          <w:tcPr>
            <w:tcW w:w="60" w:type="dxa"/>
            <w:vAlign w:val="bottom"/>
            <w:shd w:val="clear" w:color="auto" w:fill="CCEEFF"/>
          </w:tcPr>
          <w:p>
            <w:pPr>
              <w:spacing w:after="0"/>
              <w:rPr>
                <w:sz w:val="19"/>
                <w:szCs w:val="19"/>
                <w:color w:val="auto"/>
              </w:rPr>
            </w:pPr>
          </w:p>
        </w:tc>
        <w:tc>
          <w:tcPr>
            <w:tcW w:w="28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185,491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76,414</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59,153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and office equipment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47,199</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39,410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25,923</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25,340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4,587</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388,911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313,959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(138,068)</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(91,605)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250,843</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222,354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was $19.9 million and $12.4 million for the three months ended October 31, 2022 and 2021, respectively, and $54.6 million and $34.7 million for the nine months ended October 31, 2022 and 2021, respectively.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Other Assets, Noncurrent</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Other assets, noncurrent consisted of the following:</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8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October 31, 2022</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January 31, 2022</w:t>
            </w:r>
          </w:p>
        </w:tc>
        <w:tc>
          <w:tcPr>
            <w:tcW w:w="0" w:type="dxa"/>
            <w:vAlign w:val="bottom"/>
          </w:tcPr>
          <w:p>
            <w:pPr>
              <w:spacing w:after="0"/>
              <w:rPr>
                <w:sz w:val="1"/>
                <w:szCs w:val="1"/>
                <w:color w:val="auto"/>
              </w:rPr>
            </w:pPr>
          </w:p>
        </w:tc>
      </w:tr>
      <w:tr>
        <w:trPr>
          <w:trHeight w:val="219"/>
        </w:trPr>
        <w:tc>
          <w:tcPr>
            <w:tcW w:w="7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0" w:type="dxa"/>
            <w:vAlign w:val="bottom"/>
            <w:gridSpan w:val="4"/>
          </w:tcPr>
          <w:p>
            <w:pPr>
              <w:jc w:val="right"/>
              <w:ind w:right="117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
        </w:trPr>
        <w:tc>
          <w:tcPr>
            <w:tcW w:w="7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noncurrent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71,399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55,643</w:t>
            </w: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subject to amortization, net</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33,420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2,972</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25,254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21,020</w:t>
            </w: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noncurrent</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16,120</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11,006</w:t>
            </w:r>
          </w:p>
        </w:tc>
        <w:tc>
          <w:tcPr>
            <w:tcW w:w="0" w:type="dxa"/>
            <w:vAlign w:val="bottom"/>
          </w:tcPr>
          <w:p>
            <w:pPr>
              <w:spacing w:after="0"/>
              <w:rPr>
                <w:sz w:val="1"/>
                <w:szCs w:val="1"/>
                <w:color w:val="auto"/>
              </w:rPr>
            </w:pPr>
          </w:p>
        </w:tc>
      </w:tr>
      <w:tr>
        <w:trPr>
          <w:trHeight w:val="223"/>
        </w:trPr>
        <w:tc>
          <w:tcPr>
            <w:tcW w:w="7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assets, noncurrent</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152,308</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106,761</w:t>
            </w:r>
          </w:p>
        </w:tc>
        <w:tc>
          <w:tcPr>
            <w:tcW w:w="0" w:type="dxa"/>
            <w:vAlign w:val="bottom"/>
          </w:tcPr>
          <w:p>
            <w:pPr>
              <w:spacing w:after="0"/>
              <w:rPr>
                <w:sz w:val="1"/>
                <w:szCs w:val="1"/>
                <w:color w:val="auto"/>
              </w:rPr>
            </w:pPr>
          </w:p>
        </w:tc>
      </w:tr>
      <w:tr>
        <w:trPr>
          <w:trHeight w:val="21"/>
        </w:trPr>
        <w:tc>
          <w:tcPr>
            <w:tcW w:w="780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8"/>
        </w:trPr>
        <w:tc>
          <w:tcPr>
            <w:tcW w:w="78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w:t>
            </w: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7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78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October 31, 2022</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January 31, 2022</w:t>
            </w:r>
          </w:p>
        </w:tc>
        <w:tc>
          <w:tcPr>
            <w:tcW w:w="0" w:type="dxa"/>
            <w:vAlign w:val="bottom"/>
          </w:tcPr>
          <w:p>
            <w:pPr>
              <w:spacing w:after="0"/>
              <w:rPr>
                <w:sz w:val="1"/>
                <w:szCs w:val="1"/>
                <w:color w:val="auto"/>
              </w:rPr>
            </w:pPr>
          </w:p>
        </w:tc>
      </w:tr>
      <w:tr>
        <w:trPr>
          <w:trHeight w:val="219"/>
        </w:trPr>
        <w:tc>
          <w:tcPr>
            <w:tcW w:w="7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0" w:type="dxa"/>
            <w:vAlign w:val="bottom"/>
            <w:gridSpan w:val="4"/>
          </w:tcPr>
          <w:p>
            <w:pPr>
              <w:jc w:val="right"/>
              <w:ind w:right="117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
        </w:trPr>
        <w:tc>
          <w:tcPr>
            <w:tcW w:w="7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178,624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149,658</w:t>
            </w: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165,794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126,322</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liabilities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116,291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56,968</w:t>
            </w: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other non-income tax liabilities</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31,057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33,305</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deposit liabilities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26,655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20,884</w:t>
            </w: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21,728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20,697</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22,581</w:t>
            </w:r>
          </w:p>
        </w:tc>
        <w:tc>
          <w:tcPr>
            <w:tcW w:w="0" w:type="dxa"/>
            <w:vAlign w:val="bottom"/>
          </w:tcPr>
          <w:p>
            <w:pPr>
              <w:spacing w:after="0"/>
              <w:rPr>
                <w:sz w:val="1"/>
                <w:szCs w:val="1"/>
                <w:color w:val="auto"/>
              </w:rPr>
            </w:pPr>
          </w:p>
        </w:tc>
      </w:tr>
      <w:tr>
        <w:trPr>
          <w:trHeight w:val="223"/>
        </w:trPr>
        <w:tc>
          <w:tcPr>
            <w:tcW w:w="7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561,300</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430,415</w:t>
            </w:r>
          </w:p>
        </w:tc>
        <w:tc>
          <w:tcPr>
            <w:tcW w:w="0" w:type="dxa"/>
            <w:vAlign w:val="bottom"/>
          </w:tcPr>
          <w:p>
            <w:pPr>
              <w:spacing w:after="0"/>
              <w:rPr>
                <w:sz w:val="1"/>
                <w:szCs w:val="1"/>
                <w:color w:val="auto"/>
              </w:rPr>
            </w:pPr>
          </w:p>
        </w:tc>
      </w:tr>
      <w:tr>
        <w:trPr>
          <w:trHeight w:val="20"/>
        </w:trPr>
        <w:tc>
          <w:tcPr>
            <w:tcW w:w="780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Other Liabilities, Noncurrent</w:t>
            </w: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5"/>
        </w:trPr>
        <w:tc>
          <w:tcPr>
            <w:tcW w:w="78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 liabilities, noncurrent consisted of the following:</w:t>
            </w: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7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78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October 31, 2022</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January 31, 2022</w:t>
            </w:r>
          </w:p>
        </w:tc>
        <w:tc>
          <w:tcPr>
            <w:tcW w:w="0" w:type="dxa"/>
            <w:vAlign w:val="bottom"/>
          </w:tcPr>
          <w:p>
            <w:pPr>
              <w:spacing w:after="0"/>
              <w:rPr>
                <w:sz w:val="1"/>
                <w:szCs w:val="1"/>
                <w:color w:val="auto"/>
              </w:rPr>
            </w:pPr>
          </w:p>
        </w:tc>
      </w:tr>
      <w:tr>
        <w:trPr>
          <w:trHeight w:val="219"/>
        </w:trPr>
        <w:tc>
          <w:tcPr>
            <w:tcW w:w="7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0" w:type="dxa"/>
            <w:vAlign w:val="bottom"/>
            <w:gridSpan w:val="4"/>
          </w:tcPr>
          <w:p>
            <w:pPr>
              <w:jc w:val="right"/>
              <w:ind w:right="117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
        </w:trPr>
        <w:tc>
          <w:tcPr>
            <w:tcW w:w="7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other non-income tax liabilities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41,781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53,916</w:t>
            </w:r>
          </w:p>
        </w:tc>
        <w:tc>
          <w:tcPr>
            <w:tcW w:w="0" w:type="dxa"/>
            <w:vAlign w:val="bottom"/>
          </w:tcPr>
          <w:p>
            <w:pPr>
              <w:spacing w:after="0"/>
              <w:rPr>
                <w:sz w:val="1"/>
                <w:szCs w:val="1"/>
                <w:color w:val="auto"/>
              </w:rPr>
            </w:pPr>
          </w:p>
        </w:tc>
      </w:tr>
      <w:tr>
        <w:trPr>
          <w:trHeight w:val="230"/>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18,687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14,194</w:t>
            </w:r>
          </w:p>
        </w:tc>
        <w:tc>
          <w:tcPr>
            <w:tcW w:w="0" w:type="dxa"/>
            <w:vAlign w:val="bottom"/>
          </w:tcPr>
          <w:p>
            <w:pPr>
              <w:spacing w:after="0"/>
              <w:rPr>
                <w:sz w:val="1"/>
                <w:szCs w:val="1"/>
                <w:color w:val="auto"/>
              </w:rPr>
            </w:pPr>
          </w:p>
        </w:tc>
      </w:tr>
      <w:tr>
        <w:trPr>
          <w:trHeight w:val="248"/>
        </w:trPr>
        <w:tc>
          <w:tcPr>
            <w:tcW w:w="78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liabilities, noncurrent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60,468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68,110</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tab/>
        <w:t>Commitments and Contingencies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Non-cancelable Purchase Obligations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the nine months ended October 31, 2022, there have been no material changes to our non-cancelable purchase obligations from those disclosed in Note 8. “Commitments and Contingencies” in the notes to consolidated financial statements included in our Annual Report on Form 10-K for the year ended January 31, 2022, filed with the SEC on March 7, 2022.</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Other Contingencies</w:t>
      </w:r>
    </w:p>
    <w:p>
      <w:pPr>
        <w:spacing w:after="0" w:line="12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In June 2020, we received a grand jury subpoena from the Department of Justice’s U.S. Attorney’s Office for Eastern District of New York (“EDNY”), which requested information regarding our interactions with foreign governments and foreign political parties, including the Chinese government, as well as information regarding storage of and access to user data, the development and implementation of Zoom’s privacy policies, and the actions we took relating to the Tiananmen commemorations on Zoom. In July 2020, we received subpoenas from the Department of Justice’s U.S. Attorney’s Office for the Northern District of California (“NDCA”) and the SEC. Both subpoenas seek documents and information relating to various security, data protection and privacy matters, including our encryption, and our statements relating thereto, as well as calculation of usage metrics and related public statements. In addition, the NDCA subpoena seeks information relating to any contacts between our employees and representatives of the Chinese government, and any attempted or successful influence by any foreign government in our policies, procedures, practices, and actions as they relate to users in the United States. We have since received additional subpoenas from EDNY and NDCA seeking related information. We are fully cooperating with all of these investigations and have been conducting our own thorough internal investigation. These investigations are ongoing, and we do not know when they will be completed, which facts we will ultimately discover as a result of the investigations, or what actions the government may or may not take. We cannot predict the outcome of these investigations, and a negative outcome in any or all of these matters could cause us to incur substantial fines, penalties, or other financial exposure, as well as reputational harm.</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On April 7, 2020 and April 8, 2020, securities class action complaints were filed against us and two of our officers in the United States District Court for the NDCA. The plaintiffs are purported stockholders of ours. The complaints allege, among other things, that we violated Sections 10(b) and 20(a) of the Exchange Act, and Rule 10b-5 by making false and misleading statements and omissions of material fact about our data privacy and security measures. The complaints seek unspecified damages, interest, fees, and costs. On May 18, 2020, the actions were consolidated. On November 4, 2020, the court appointed a lead plaintiff. On December 23, 2020, the lead plaintiff filed a consolidated complaint. We filed a motion to dismiss the consolidated complaint on May 20, 2021. Plaintiff filed an opposition to our motion to dismiss on July 9, 2021. Our reply in support of the motion to dismiss was filed on August 9, 2021. On February 16, 2022, the court granted in part, and denied in part, our motion to dismiss. On March 14, 2022, we moved for reconsideration of the court’s ruling on the motion to dismiss. On March 22, 2022, the court ordered plaintiff to respond to our motion, which plaintiff did on March 29, 2022. On April 22, 2022, we answered the complaint.</w:t>
      </w:r>
    </w:p>
    <w:p>
      <w:pPr>
        <w:spacing w:after="0" w:line="80"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On June 11, 2020 and July 30, 2020, purported shareholder derivative complaints were filed in the United States District Court for the District of Delaware. The first complaint names as defendants nine of our officers and directors, and the second complaint names eight of our officers and directors. The lawsuits assert state and federal claims and are based on the same alleged misstatements as the shareholder class action complaint. The lawsuits accuse our board of directors of failing to exercise reasonable and prudent supervision over our management, policies, practices, and internal controls. The plaintiffs seek unspecified monetary damages on behalf of us as well as governance reforms. On September 25, 2020, the derivative cases were consolidated. The consolidated case is stayed pending resolution of the motion to dismiss the securities class action. On October 27, 2021, a third substantially identical lawsuit was filed in the same court against the same defendants, seeking unspecified monetary damages and governance reforms. On November 17, 2021, all three derivative lawsuits were consolidated and remain stayed pending resolution of the motion to dismiss the securities class action.</w:t>
      </w:r>
    </w:p>
    <w:p>
      <w:pPr>
        <w:spacing w:after="0" w:line="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believe these lawsuits are without merit, and we are vigorously defending ourselves against them. Given the uncertainty of litigation, the preliminary stage of the cases, and the legal standards that must be met for, among other things, class certification and success on the merits, we cannot estimate the reasonably possible loss or range of loss that may result from these actions.</w:t>
      </w:r>
    </w:p>
    <w:p>
      <w:pPr>
        <w:spacing w:after="0" w:line="68"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Beginning on March 30, 2020, multiple putative class actions were filed against us in various U.S. federal district courts and state courts relating to our alleged privacy and security practices, including alleged data sharing with third parties (the “U.S. Privacy Class Actions”). The plaintiffs claim violations of a variety of state consumer protection and privacy laws, and also assert state constitutional and common law claims, such as negligence and unjust enrichment. The U.S. Privacy Class Actions seek to certify both nationwide and state-specific classes of individuals using our services in certain time periods. The plaintiffs seek various forms of injunctive and monetary relief, including restitution, statutory and actual damages, punitive damages, and attorneys’ fees. The federal cases have been transferred to and consolidated in the NDCA with our consent; lead plaintiffs’ counsel have been appointed; and plaintiffs filed their first amended consolidated class action complaint on October 28, 2020. On March 11, 2021, the court granted in part, and denied in part, our motion to dismiss, and gave plaintiffs leave to amend. On July 30, 2021, we entered into a settlement agreement with plaintiffs to settle the action on a classwide basis, and plaintiffs filed a motion for preliminary approval of the settlement with the court on July 31, 2021. On October 21, 2021, the Court preliminarily approved the settlement. Under the terms of the settlement, we have paid $85.0 million into an escrow account</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that will be used to pay claims filed by settlement class members, attorneys’ fees and expenses, administrative costs, and service payments to plaintiffs. On April 21, 2022, the Court granted final approval of the settlement. On May 19, 2022, two objectors to the settlement appealed the Court's final approval order. On May 20, 2022, a third objector appealed the Court’s final approval order. On October 17, 2022, we, plaintiffs, and all three objector-appellants agreed to settle the appeals, and on October 27, 2022, we and plaintiffs initiated proceedings in the district court to obtain Court approval of the settlements. On May 30, 2022, a new class action was filed against us in the Northern District of California raising privacy claims similar to those raised in the U.S. Privacy Class Actions on behalf of a putative class of users of Zoom who reside in Australia, New Zealand, Canada, and the United Kingdom and who are not members of the settlement class in the U.S. Privacy Class Actions. On July 12, 2022, we moved to dismiss this new class action. We believe this lawsuit is without merit, and we are vigorously defending ourselves against it. Given the uncertainty of litigation, the preliminary stage of the case, and the legal standards that must be met for, among other things, class certification and success on the merits, we cannot estimate the reasonably possible loss or range of loss that may result from these actions.</w:t>
      </w:r>
    </w:p>
    <w:p>
      <w:pPr>
        <w:spacing w:after="0" w:line="8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addition, from time to time, we are involved in various other legal proceedings arising from the normal course of business activities. We are not presently a party to any other such litigation the outcome of which, we believe, if determined adversely to us, would individually, or taken together, have a material adverse effect on our business, operating results, cash flows, or financial condition. Defending such proceedings is costly and can impose a significant burden on management and employees. We may receive unfavorable preliminary or interim rulings in the course of litigation, and there can be no assurances that favorable final outcomes will be obtained.</w:t>
      </w:r>
    </w:p>
    <w:p>
      <w:pPr>
        <w:spacing w:after="0" w:line="17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Stockholders’ Equity and Equity Incentive Plans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authorizes the issuance of 2,000,000,000 shares of Class A common stock, $0.001 par value per share, and 300,000,000 shares of Class B common stock, $0.001 par value per share. Class A and Class B common stock are referred to as common stock throughout the notes to the condensed consolidated financial statements, unless otherwise noted.</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Plan</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February 2022, our Board of Directors authorized a stock repurchase program of up to $1.0 billion of our Class A common stock, which expires in February 2024. Repurchases of our Class A common stock may be effected from time to time, either on the open market (including preset trading plans), in privately negotiated transactions, and other transactions in accordance with applicable securities laws. The program does not obligate us to repurchase any specific number of shares and may be discontinued at any time.</w:t>
      </w:r>
    </w:p>
    <w:p>
      <w:pPr>
        <w:spacing w:after="0" w:line="7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October 31, 2022, we repurchased and subsequently retired 6,955,529 and 11,044,500 shares of our Class A common stock, respectively, for an aggregate amount of $564.8 million and $990.8 million, respectively. As of October 31, 2022, $9.2 million of the repurchase authorization remained available.</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have two equity incentive plans: the 2011 Global Share Plan (“2011 Plan”) and the 2019 Equity Incentive Plan (“2019 Plan”). All shares that remain available for future grants are under the 2019 Plan.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summary of stock option activity under our equity incentive plan and related information is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4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8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1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560" w:type="dxa"/>
            <w:vAlign w:val="bottom"/>
            <w:gridSpan w:val="3"/>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5180" w:type="dxa"/>
            <w:vAlign w:val="bottom"/>
          </w:tcPr>
          <w:p>
            <w:pPr>
              <w:spacing w:after="0"/>
              <w:rPr>
                <w:sz w:val="12"/>
                <w:szCs w:val="12"/>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560" w:type="dxa"/>
            <w:vAlign w:val="bottom"/>
            <w:gridSpan w:val="3"/>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2"/>
                <w:szCs w:val="12"/>
                <w:color w:val="auto"/>
              </w:rPr>
            </w:pPr>
          </w:p>
        </w:tc>
        <w:tc>
          <w:tcPr>
            <w:tcW w:w="1180" w:type="dxa"/>
            <w:vAlign w:val="bottom"/>
            <w:vMerge w:val="restart"/>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56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180" w:type="dxa"/>
            <w:vAlign w:val="bottom"/>
          </w:tcPr>
          <w:p>
            <w:pPr>
              <w:spacing w:after="0"/>
              <w:rPr>
                <w:sz w:val="11"/>
                <w:szCs w:val="11"/>
                <w:color w:val="auto"/>
              </w:rPr>
            </w:pPr>
          </w:p>
        </w:tc>
        <w:tc>
          <w:tcPr>
            <w:tcW w:w="14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560" w:type="dxa"/>
            <w:vAlign w:val="bottom"/>
            <w:gridSpan w:val="3"/>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40" w:type="dxa"/>
            <w:vAlign w:val="bottom"/>
          </w:tcPr>
          <w:p>
            <w:pPr>
              <w:spacing w:after="0"/>
              <w:rPr>
                <w:sz w:val="11"/>
                <w:szCs w:val="11"/>
                <w:color w:val="auto"/>
              </w:rPr>
            </w:pPr>
          </w:p>
        </w:tc>
        <w:tc>
          <w:tcPr>
            <w:tcW w:w="1180" w:type="dxa"/>
            <w:vAlign w:val="bottom"/>
          </w:tcPr>
          <w:p>
            <w:pPr>
              <w:jc w:val="center"/>
              <w:ind w:right="177"/>
              <w:spacing w:after="0" w:line="135"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98"/>
        </w:trPr>
        <w:tc>
          <w:tcPr>
            <w:tcW w:w="5180" w:type="dxa"/>
            <w:vAlign w:val="bottom"/>
          </w:tcPr>
          <w:p>
            <w:pPr>
              <w:spacing w:after="0"/>
              <w:rPr>
                <w:sz w:val="17"/>
                <w:szCs w:val="17"/>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0" w:type="dxa"/>
            <w:vAlign w:val="bottom"/>
          </w:tcPr>
          <w:p>
            <w:pPr>
              <w:spacing w:after="0"/>
              <w:rPr>
                <w:sz w:val="17"/>
                <w:szCs w:val="17"/>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8"/>
        </w:trPr>
        <w:tc>
          <w:tcPr>
            <w:tcW w:w="5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life, and per share data)</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5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31, 2022</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6,195,205</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905,744</w:t>
            </w:r>
          </w:p>
        </w:tc>
        <w:tc>
          <w:tcPr>
            <w:tcW w:w="0" w:type="dxa"/>
            <w:vAlign w:val="bottom"/>
          </w:tcPr>
          <w:p>
            <w:pPr>
              <w:spacing w:after="0"/>
              <w:rPr>
                <w:sz w:val="1"/>
                <w:szCs w:val="1"/>
                <w:color w:val="auto"/>
              </w:rPr>
            </w:pPr>
          </w:p>
        </w:tc>
      </w:tr>
      <w:tr>
        <w:trPr>
          <w:trHeight w:val="229"/>
        </w:trPr>
        <w:tc>
          <w:tcPr>
            <w:tcW w:w="5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Exercised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(1,087,238)</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108,464</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Canceled/forfeited/expired</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(88,836)</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as of October 31, 2022</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5,019,131</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378,841</w:t>
            </w:r>
          </w:p>
        </w:tc>
        <w:tc>
          <w:tcPr>
            <w:tcW w:w="0" w:type="dxa"/>
            <w:vAlign w:val="bottom"/>
          </w:tcPr>
          <w:p>
            <w:pPr>
              <w:spacing w:after="0"/>
              <w:rPr>
                <w:sz w:val="1"/>
                <w:szCs w:val="1"/>
                <w:color w:val="auto"/>
              </w:rPr>
            </w:pP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as of October 31, 2022</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5,019,131</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378,841</w:t>
            </w:r>
          </w:p>
        </w:tc>
        <w:tc>
          <w:tcPr>
            <w:tcW w:w="0" w:type="dxa"/>
            <w:vAlign w:val="bottom"/>
          </w:tcPr>
          <w:p>
            <w:pPr>
              <w:spacing w:after="0"/>
              <w:rPr>
                <w:sz w:val="1"/>
                <w:szCs w:val="1"/>
                <w:color w:val="auto"/>
              </w:rPr>
            </w:pPr>
          </w:p>
        </w:tc>
      </w:tr>
      <w:tr>
        <w:trPr>
          <w:trHeight w:val="234"/>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Exercisable as of October 31, 2022</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4,861,214</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371,257</w:t>
            </w:r>
          </w:p>
        </w:tc>
        <w:tc>
          <w:tcPr>
            <w:tcW w:w="0" w:type="dxa"/>
            <w:vAlign w:val="bottom"/>
          </w:tcPr>
          <w:p>
            <w:pPr>
              <w:spacing w:after="0"/>
              <w:rPr>
                <w:sz w:val="1"/>
                <w:szCs w:val="1"/>
                <w:color w:val="auto"/>
              </w:rPr>
            </w:pPr>
          </w:p>
        </w:tc>
      </w:tr>
    </w:tbl>
    <w:p>
      <w:pPr>
        <w:spacing w:after="0" w:line="28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As of October 31, 2022, unrecognized stock-based compensation expense related to outstanding unvested stock options was $3.5 million, which is expected to be recognized over a weighted-average period of 0.4 years.</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summary of restricted stock unit (“RSU”) activity under our equity incentive plan and related information is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RSUs</w:t>
            </w: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86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78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tcPr>
          <w:p>
            <w:pPr>
              <w:jc w:val="center"/>
              <w:ind w:right="38"/>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6"/>
        </w:trPr>
        <w:tc>
          <w:tcPr>
            <w:tcW w:w="78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jc w:val="center"/>
              <w:ind w:right="58"/>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37"/>
        </w:trPr>
        <w:tc>
          <w:tcPr>
            <w:tcW w:w="7860" w:type="dxa"/>
            <w:vAlign w:val="bottom"/>
          </w:tcPr>
          <w:p>
            <w:pPr>
              <w:spacing w:after="0"/>
              <w:rPr>
                <w:sz w:val="11"/>
                <w:szCs w:val="11"/>
                <w:color w:val="auto"/>
              </w:rPr>
            </w:pPr>
          </w:p>
        </w:tc>
        <w:tc>
          <w:tcPr>
            <w:tcW w:w="1640" w:type="dxa"/>
            <w:vAlign w:val="bottom"/>
            <w:vMerge w:val="restart"/>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RSUs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tcPr>
          <w:p>
            <w:pPr>
              <w:jc w:val="center"/>
              <w:ind w:right="58"/>
              <w:spacing w:after="0" w:line="137" w:lineRule="exact"/>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190"/>
        </w:trPr>
        <w:tc>
          <w:tcPr>
            <w:tcW w:w="7860" w:type="dxa"/>
            <w:vAlign w:val="bottom"/>
          </w:tcPr>
          <w:p>
            <w:pPr>
              <w:spacing w:after="0"/>
              <w:rPr>
                <w:sz w:val="16"/>
                <w:szCs w:val="16"/>
                <w:color w:val="auto"/>
              </w:rPr>
            </w:pPr>
          </w:p>
        </w:tc>
        <w:tc>
          <w:tcPr>
            <w:tcW w:w="1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3"/>
        </w:trPr>
        <w:tc>
          <w:tcPr>
            <w:tcW w:w="786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as of January 31, 2022</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5,546,366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232.58</w:t>
            </w:r>
          </w:p>
        </w:tc>
        <w:tc>
          <w:tcPr>
            <w:tcW w:w="0" w:type="dxa"/>
            <w:vAlign w:val="bottom"/>
          </w:tcPr>
          <w:p>
            <w:pPr>
              <w:spacing w:after="0"/>
              <w:rPr>
                <w:sz w:val="1"/>
                <w:szCs w:val="1"/>
                <w:color w:val="auto"/>
              </w:rPr>
            </w:pPr>
          </w:p>
        </w:tc>
      </w:tr>
      <w:tr>
        <w:trPr>
          <w:trHeight w:val="230"/>
        </w:trPr>
        <w:tc>
          <w:tcPr>
            <w:tcW w:w="7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17,750,637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98.47</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Vested</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(2,865,551)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186.03</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Canceled/forfeited</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(1,392,277)</w:t>
            </w:r>
          </w:p>
        </w:tc>
        <w:tc>
          <w:tcPr>
            <w:tcW w:w="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159.55</w:t>
            </w:r>
          </w:p>
        </w:tc>
        <w:tc>
          <w:tcPr>
            <w:tcW w:w="0" w:type="dxa"/>
            <w:vAlign w:val="bottom"/>
          </w:tcPr>
          <w:p>
            <w:pPr>
              <w:spacing w:after="0"/>
              <w:rPr>
                <w:sz w:val="1"/>
                <w:szCs w:val="1"/>
                <w:color w:val="auto"/>
              </w:rPr>
            </w:pP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as of October 31, 2022</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19,039,175</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119.88</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 March and October 2022, changes made to our equity compensation program resulted in modifications of the value of RSUs offered to our employees. This activity has been included in our total Stock-Based Compensation disclosures below.</w:t>
      </w:r>
    </w:p>
    <w:p>
      <w:pPr>
        <w:spacing w:after="0" w:line="5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As of October 31, 2022, unrecognized stock-based compensation expense related to RSUs was $2,899.4 million, including the impact of the modification, which is expected to be recognized over a weighted-average period of 2.8 years.</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2019 Employee Stock Purchase Plan</w:t>
      </w:r>
    </w:p>
    <w:p>
      <w:pPr>
        <w:spacing w:after="0" w:line="12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In April 2019, we adopted the 2019 Employee Stock Purchase Plan (“ESPP”). As of October 31, 2022, unrecognized stock-based compensation expense related to the ESPP was $66.5 million, which is expected to be recognized over a weighted-average period of 1.3 years.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stock-based compensation expense by line item in the accompanying condensed consolidated statements of operations is summarized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00" w:type="dxa"/>
            <w:vAlign w:val="bottom"/>
          </w:tcPr>
          <w:p>
            <w:pPr>
              <w:spacing w:after="0"/>
              <w:rPr>
                <w:sz w:val="16"/>
                <w:szCs w:val="16"/>
                <w:color w:val="auto"/>
              </w:rPr>
            </w:pPr>
          </w:p>
        </w:tc>
        <w:tc>
          <w:tcPr>
            <w:tcW w:w="27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40" w:type="dxa"/>
            <w:vAlign w:val="bottom"/>
            <w:gridSpan w:val="4"/>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0" w:type="dxa"/>
            <w:vAlign w:val="bottom"/>
          </w:tcPr>
          <w:p>
            <w:pPr>
              <w:spacing w:after="0"/>
              <w:rPr>
                <w:sz w:val="1"/>
                <w:szCs w:val="1"/>
                <w:color w:val="auto"/>
              </w:rPr>
            </w:pPr>
          </w:p>
        </w:tc>
      </w:tr>
      <w:tr>
        <w:trPr>
          <w:trHeight w:val="23"/>
        </w:trPr>
        <w:tc>
          <w:tcPr>
            <w:tcW w:w="44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0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60"/>
        </w:trPr>
        <w:tc>
          <w:tcPr>
            <w:tcW w:w="44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8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4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980" w:type="dxa"/>
            <w:vAlign w:val="bottom"/>
            <w:shd w:val="clear" w:color="auto" w:fill="CCEEFF"/>
          </w:tcPr>
          <w:p>
            <w:pPr>
              <w:jc w:val="right"/>
              <w:ind w:right="777"/>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41,449</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5"/>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17,206</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center"/>
              <w:ind w:left="274"/>
              <w:spacing w:after="0"/>
              <w:rPr>
                <w:sz w:val="20"/>
                <w:szCs w:val="20"/>
                <w:color w:val="auto"/>
              </w:rPr>
            </w:pPr>
            <w:r>
              <w:rPr>
                <w:rFonts w:ascii="Times New Roman" w:cs="Times New Roman" w:eastAsia="Times New Roman" w:hAnsi="Times New Roman"/>
                <w:sz w:val="18"/>
                <w:szCs w:val="18"/>
                <w:color w:val="auto"/>
                <w:w w:val="99"/>
              </w:rPr>
              <w:t>109,776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46,050</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83,202</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27,879</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center"/>
              <w:ind w:left="274"/>
              <w:spacing w:after="0"/>
              <w:rPr>
                <w:sz w:val="20"/>
                <w:szCs w:val="20"/>
                <w:color w:val="auto"/>
              </w:rPr>
            </w:pPr>
            <w:r>
              <w:rPr>
                <w:rFonts w:ascii="Times New Roman" w:cs="Times New Roman" w:eastAsia="Times New Roman" w:hAnsi="Times New Roman"/>
                <w:sz w:val="18"/>
                <w:szCs w:val="18"/>
                <w:color w:val="auto"/>
                <w:w w:val="99"/>
              </w:rPr>
              <w:t>208,654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71,615</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125,144</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54,220</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274"/>
              <w:spacing w:after="0"/>
              <w:rPr>
                <w:sz w:val="20"/>
                <w:szCs w:val="20"/>
                <w:color w:val="auto"/>
              </w:rPr>
            </w:pPr>
            <w:r>
              <w:rPr>
                <w:rFonts w:ascii="Times New Roman" w:cs="Times New Roman" w:eastAsia="Times New Roman" w:hAnsi="Times New Roman"/>
                <w:sz w:val="18"/>
                <w:szCs w:val="18"/>
                <w:color w:val="auto"/>
                <w:w w:val="99"/>
              </w:rPr>
              <w:t>329,100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156,888</w:t>
            </w:r>
          </w:p>
        </w:tc>
        <w:tc>
          <w:tcPr>
            <w:tcW w:w="0" w:type="dxa"/>
            <w:vAlign w:val="bottom"/>
          </w:tcPr>
          <w:p>
            <w:pPr>
              <w:spacing w:after="0"/>
              <w:rPr>
                <w:sz w:val="1"/>
                <w:szCs w:val="1"/>
                <w:color w:val="auto"/>
              </w:rPr>
            </w:pPr>
          </w:p>
        </w:tc>
      </w:tr>
      <w:tr>
        <w:trPr>
          <w:trHeight w:val="229"/>
        </w:trPr>
        <w:tc>
          <w:tcPr>
            <w:tcW w:w="4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53,020</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15,496</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left="274"/>
              <w:spacing w:after="0"/>
              <w:rPr>
                <w:sz w:val="20"/>
                <w:szCs w:val="20"/>
                <w:color w:val="auto"/>
              </w:rPr>
            </w:pPr>
            <w:r>
              <w:rPr>
                <w:rFonts w:ascii="Times New Roman" w:cs="Times New Roman" w:eastAsia="Times New Roman" w:hAnsi="Times New Roman"/>
                <w:sz w:val="18"/>
                <w:szCs w:val="18"/>
                <w:color w:val="auto"/>
                <w:w w:val="99"/>
              </w:rPr>
              <w:t>120,163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41,359</w:t>
            </w:r>
          </w:p>
        </w:tc>
        <w:tc>
          <w:tcPr>
            <w:tcW w:w="0" w:type="dxa"/>
            <w:vAlign w:val="bottom"/>
          </w:tcPr>
          <w:p>
            <w:pPr>
              <w:spacing w:after="0"/>
              <w:rPr>
                <w:sz w:val="1"/>
                <w:szCs w:val="1"/>
                <w:color w:val="auto"/>
              </w:rPr>
            </w:pPr>
          </w:p>
        </w:tc>
      </w:tr>
      <w:tr>
        <w:trPr>
          <w:trHeight w:val="223"/>
        </w:trPr>
        <w:tc>
          <w:tcPr>
            <w:tcW w:w="4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980" w:type="dxa"/>
            <w:vAlign w:val="bottom"/>
            <w:shd w:val="clear" w:color="auto" w:fill="CCEEFF"/>
          </w:tcPr>
          <w:p>
            <w:pPr>
              <w:jc w:val="right"/>
              <w:ind w:right="777"/>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302,815</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5"/>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114,801</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center"/>
              <w:ind w:left="274"/>
              <w:spacing w:after="0"/>
              <w:rPr>
                <w:sz w:val="20"/>
                <w:szCs w:val="20"/>
                <w:color w:val="auto"/>
              </w:rPr>
            </w:pPr>
            <w:r>
              <w:rPr>
                <w:rFonts w:ascii="Times New Roman" w:cs="Times New Roman" w:eastAsia="Times New Roman" w:hAnsi="Times New Roman"/>
                <w:sz w:val="18"/>
                <w:szCs w:val="18"/>
                <w:color w:val="auto"/>
                <w:w w:val="99"/>
              </w:rPr>
              <w:t>767,693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315,912</w:t>
            </w:r>
          </w:p>
        </w:tc>
        <w:tc>
          <w:tcPr>
            <w:tcW w:w="0" w:type="dxa"/>
            <w:vAlign w:val="bottom"/>
          </w:tcPr>
          <w:p>
            <w:pPr>
              <w:spacing w:after="0"/>
              <w:rPr>
                <w:sz w:val="1"/>
                <w:szCs w:val="1"/>
                <w:color w:val="auto"/>
              </w:rPr>
            </w:pPr>
          </w:p>
        </w:tc>
      </w:tr>
      <w:tr>
        <w:trPr>
          <w:trHeight w:val="229"/>
        </w:trPr>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Benefit from income taxes</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(53,995)</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1100" w:type="dxa"/>
            <w:vAlign w:val="bottom"/>
          </w:tcPr>
          <w:p>
            <w:pPr>
              <w:jc w:val="center"/>
              <w:ind w:left="254"/>
              <w:spacing w:after="0"/>
              <w:rPr>
                <w:sz w:val="20"/>
                <w:szCs w:val="20"/>
                <w:color w:val="auto"/>
              </w:rPr>
            </w:pPr>
            <w:r>
              <w:rPr>
                <w:rFonts w:ascii="Times New Roman" w:cs="Times New Roman" w:eastAsia="Times New Roman" w:hAnsi="Times New Roman"/>
                <w:sz w:val="18"/>
                <w:szCs w:val="18"/>
                <w:color w:val="auto"/>
              </w:rPr>
              <w:t>(151,027)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6"/>
        </w:trPr>
        <w:tc>
          <w:tcPr>
            <w:tcW w:w="4400" w:type="dxa"/>
            <w:vAlign w:val="bottom"/>
            <w:tcBorders>
              <w:top w:val="single" w:sz="8" w:color="CCEEFF"/>
            </w:tcBorders>
            <w:shd w:val="clear" w:color="auto" w:fill="CCEEFF"/>
          </w:tcPr>
          <w:p>
            <w:pPr>
              <w:ind w:left="220"/>
              <w:spacing w:after="0" w:line="156" w:lineRule="exact"/>
              <w:rPr>
                <w:sz w:val="20"/>
                <w:szCs w:val="20"/>
                <w:color w:val="auto"/>
              </w:rPr>
            </w:pPr>
            <w:r>
              <w:rPr>
                <w:rFonts w:ascii="Times New Roman" w:cs="Times New Roman" w:eastAsia="Times New Roman" w:hAnsi="Times New Roman"/>
                <w:sz w:val="18"/>
                <w:szCs w:val="18"/>
                <w:color w:val="auto"/>
              </w:rPr>
              <w:t>Total stock-based compensation expense recorded to net</w:t>
            </w:r>
          </w:p>
        </w:tc>
        <w:tc>
          <w:tcPr>
            <w:tcW w:w="980" w:type="dxa"/>
            <w:vAlign w:val="bottom"/>
            <w:tcBorders>
              <w:top w:val="single" w:sz="8" w:color="auto"/>
            </w:tcBorders>
            <w:vMerge w:val="restart"/>
            <w:shd w:val="clear" w:color="auto" w:fill="CCEEFF"/>
          </w:tcPr>
          <w:p>
            <w:pPr>
              <w:jc w:val="right"/>
              <w:ind w:right="777"/>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248,820</w:t>
            </w:r>
          </w:p>
        </w:tc>
        <w:tc>
          <w:tcPr>
            <w:tcW w:w="10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vMerge w:val="restart"/>
            <w:shd w:val="clear" w:color="auto" w:fill="CCEEFF"/>
          </w:tcPr>
          <w:p>
            <w:pPr>
              <w:jc w:val="right"/>
              <w:ind w:right="795"/>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114,801</w:t>
            </w:r>
          </w:p>
        </w:tc>
        <w:tc>
          <w:tcPr>
            <w:tcW w:w="8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vMerge w:val="restart"/>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vMerge w:val="restart"/>
            <w:shd w:val="clear" w:color="auto" w:fill="CCEEFF"/>
          </w:tcPr>
          <w:p>
            <w:pPr>
              <w:jc w:val="center"/>
              <w:ind w:left="274"/>
              <w:spacing w:after="0"/>
              <w:rPr>
                <w:sz w:val="20"/>
                <w:szCs w:val="20"/>
                <w:color w:val="auto"/>
              </w:rPr>
            </w:pPr>
            <w:r>
              <w:rPr>
                <w:rFonts w:ascii="Times New Roman" w:cs="Times New Roman" w:eastAsia="Times New Roman" w:hAnsi="Times New Roman"/>
                <w:sz w:val="18"/>
                <w:szCs w:val="18"/>
                <w:color w:val="auto"/>
                <w:w w:val="99"/>
              </w:rPr>
              <w:t>616,666</w:t>
            </w:r>
          </w:p>
        </w:tc>
        <w:tc>
          <w:tcPr>
            <w:tcW w:w="10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315,912</w:t>
            </w:r>
          </w:p>
        </w:tc>
        <w:tc>
          <w:tcPr>
            <w:tcW w:w="0" w:type="dxa"/>
            <w:vAlign w:val="bottom"/>
          </w:tcPr>
          <w:p>
            <w:pPr>
              <w:spacing w:after="0"/>
              <w:rPr>
                <w:sz w:val="1"/>
                <w:szCs w:val="1"/>
                <w:color w:val="auto"/>
              </w:rPr>
            </w:pPr>
          </w:p>
        </w:tc>
      </w:tr>
      <w:tr>
        <w:trPr>
          <w:trHeight w:val="236"/>
        </w:trPr>
        <w:tc>
          <w:tcPr>
            <w:tcW w:w="44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w:t>
            </w: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6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66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vMerge w:val="continue"/>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compute our provision for income taxes by applying the estimated annual effective tax rate to year-to-date ordinary income and adjust the provision for discrete tax items recorded in the period. In each quarter, we update the estimated annual effective tax rate and make a year-to-date adjustment to the provision. The estimated annual effective tax rate is subject to significant volatility due to several factors, including our ability to accurately predict the proportion of our pretax income in multiple jurisdictions and certain book-tax differences.</w:t>
      </w:r>
    </w:p>
    <w:p>
      <w:pPr>
        <w:spacing w:after="0" w:line="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provides details of the provision for income taxes: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2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400" w:type="dxa"/>
            <w:vAlign w:val="bottom"/>
          </w:tcPr>
          <w:p>
            <w:pPr>
              <w:spacing w:after="0"/>
              <w:rPr>
                <w:sz w:val="16"/>
                <w:szCs w:val="16"/>
                <w:color w:val="auto"/>
              </w:rPr>
            </w:pPr>
          </w:p>
        </w:tc>
        <w:tc>
          <w:tcPr>
            <w:tcW w:w="3120" w:type="dxa"/>
            <w:vAlign w:val="bottom"/>
            <w:gridSpan w:val="4"/>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r>
      <w:tr>
        <w:trPr>
          <w:trHeight w:val="23"/>
        </w:trPr>
        <w:tc>
          <w:tcPr>
            <w:tcW w:w="4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0"/>
        </w:trPr>
        <w:tc>
          <w:tcPr>
            <w:tcW w:w="4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9"/>
        </w:trPr>
        <w:tc>
          <w:tcPr>
            <w:tcW w:w="4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4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
        </w:trPr>
        <w:tc>
          <w:tcPr>
            <w:tcW w:w="4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54,749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410,283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288,820</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963,098</w:t>
            </w: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00" w:type="dxa"/>
            <w:vAlign w:val="bottom"/>
          </w:tcPr>
          <w:p>
            <w:pPr>
              <w:spacing w:after="0"/>
              <w:rPr>
                <w:sz w:val="19"/>
                <w:szCs w:val="19"/>
                <w:color w:val="auto"/>
              </w:rPr>
            </w:pPr>
          </w:p>
        </w:tc>
        <w:tc>
          <w:tcPr>
            <w:tcW w:w="130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6,396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69,900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81,059</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78,100</w:t>
            </w:r>
          </w:p>
        </w:tc>
      </w:tr>
      <w:tr>
        <w:trPr>
          <w:trHeight w:val="22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28.1 %</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8.1 %</w:t>
            </w:r>
          </w:p>
        </w:tc>
      </w:tr>
    </w:tbl>
    <w:p>
      <w:pPr>
        <w:spacing w:after="0" w:line="200" w:lineRule="exact"/>
        <w:rPr>
          <w:sz w:val="20"/>
          <w:szCs w:val="20"/>
          <w:color w:val="auto"/>
        </w:rPr>
      </w:pPr>
    </w:p>
    <w:p>
      <w:pPr>
        <w:spacing w:after="0" w:line="214"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had a provision for income taxes of $6.4 million and $69.9 million for the three months ended October 31, 2022 and 2021, respectively. The provision for income taxes was $81.1 million and $78.1 million for the nine months ended October 31, 2022 and 2021, respectively. The year-over-year change in effective tax rate for the three and nine months ended October 31, 2022 was due primarily to changes in the valuation allowance, tax shortfalls and windfalls on stock-based compensation, and the foreign-derived intangible income deduction. For the three and nine months ended October 31, 2022, the effective tax rate differed from the U.S. federal statutory rate due primarily to the foreign-derived intangible income deduction and research credits, offset by tax shortfalls on stock-based compensation, the valuation allowance recorded on the deferred tax asset related to losses that are capital in nature, and other compensation-related permanent differences. For the three and nine months ended October 31, 2021, the effective tax rate differed from the U.S. federal statutory rate due primarily to tax windfalls on stock-based compensation, research credits, and the foreign-derived intangible income deduction in addition to a full valuation allowance on the U.S. deferred tax assets that was released in the fourth quarter of fiscal year 2022.</w:t>
      </w:r>
    </w:p>
    <w:p>
      <w:pPr>
        <w:spacing w:after="0" w:line="202" w:lineRule="exact"/>
        <w:rPr>
          <w:sz w:val="20"/>
          <w:szCs w:val="20"/>
          <w:color w:val="auto"/>
        </w:rPr>
      </w:pPr>
    </w:p>
    <w:p>
      <w:pPr>
        <w:ind w:right="20" w:firstLine="486"/>
        <w:spacing w:after="0"/>
        <w:rPr>
          <w:sz w:val="20"/>
          <w:szCs w:val="20"/>
          <w:color w:val="auto"/>
        </w:rPr>
      </w:pPr>
      <w:r>
        <w:rPr>
          <w:rFonts w:ascii="Times New Roman" w:cs="Times New Roman" w:eastAsia="Times New Roman" w:hAnsi="Times New Roman"/>
          <w:sz w:val="18"/>
          <w:szCs w:val="18"/>
          <w:color w:val="auto"/>
        </w:rPr>
        <w:t>The realization of tax benefits of net deferred tax assets is dependent upon future levels of taxable income, of an appropriate character, in the periods the items are expected to be deductible or taxable. Based on the available objective evidence during the three and nine months ended October 31, 2022, we continue to believe that it is more likely than not that the tax benefits of the U.K. net deferred tax assets may not be realized. Accordingly, we maintained a full valuation allowance against the tax benefits of these net deferred tax assets. Based on the available objective evidence during the three and nine months ended October 31, 2022, we believe that it is more likely than not that the tax benefits relating to U.S. losses that are capital in nature may not be realized prior to expiration. Accordingly, we have maintained a valuation allowance against these deferred tax assets. We intend to maintain the applicable valuation allowance until sufficient positive evidence exists to support a reversal of, or decrease in, the valuation allowance.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80" w:firstLine="486"/>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October 31, 2022, there were no material changes to the total amount of unrecognized tax benefits and we do not expect any significant changes in the next 12 months.</w:t>
      </w:r>
    </w:p>
    <w:p>
      <w:pPr>
        <w:spacing w:after="0" w:line="6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required by the 2017 Tax Cuts and Jobs Act, we are capitalizing research and development expenses incurred in fiscal year 2023. These expenses are capitalized and amortized over five years for domestic research and fifteen years for international research. The mandatory capitalization requirement increases our cash tax liabilities but also decreases our effective tax rate due to increasing the foreign-derived intangible income deduction. The cash flow impact will decrease over time as capitalized research and development expenditures continue to amortize.</w:t>
      </w:r>
    </w:p>
    <w:p>
      <w:pPr>
        <w:spacing w:after="0" w:line="20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Inflation Reduction Act was signed into law in August 2022. The act included tax provisions for a 15% corporate book income minimum tax effective for tax years beginning after December 31, 2022. We do not expect the Inflation Reduction Act to have a material impact on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Net Income Per Share Attributable to Common Stockholders</w:t>
      </w:r>
    </w:p>
    <w:p>
      <w:pPr>
        <w:spacing w:after="0" w:line="12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income per share attributable to common stockholders for the periods presented:</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4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9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9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2022</w:t>
            </w:r>
          </w:p>
        </w:tc>
        <w:tc>
          <w:tcPr>
            <w:tcW w:w="9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9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0" w:type="dxa"/>
            <w:vAlign w:val="bottom"/>
          </w:tcPr>
          <w:p>
            <w:pPr>
              <w:spacing w:after="0"/>
              <w:rPr>
                <w:sz w:val="1"/>
                <w:szCs w:val="1"/>
                <w:color w:val="auto"/>
              </w:rPr>
            </w:pPr>
          </w:p>
        </w:tc>
      </w:tr>
      <w:tr>
        <w:trPr>
          <w:trHeight w:val="294"/>
        </w:trPr>
        <w:tc>
          <w:tcPr>
            <w:tcW w:w="19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580" w:type="dxa"/>
            <w:vAlign w:val="bottom"/>
            <w:gridSpan w:val="12"/>
          </w:tcPr>
          <w:p>
            <w:pPr>
              <w:ind w:left="72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7,627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276,024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64,359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174,835</w:t>
            </w:r>
          </w:p>
        </w:tc>
        <w:tc>
          <w:tcPr>
            <w:tcW w:w="3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32,926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707,188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177,810</w:t>
            </w:r>
          </w:p>
        </w:tc>
        <w:tc>
          <w:tcPr>
            <w:tcW w:w="0" w:type="dxa"/>
            <w:vAlign w:val="bottom"/>
          </w:tcPr>
          <w:p>
            <w:pPr>
              <w:spacing w:after="0"/>
              <w:rPr>
                <w:sz w:val="1"/>
                <w:szCs w:val="1"/>
                <w:color w:val="auto"/>
              </w:rPr>
            </w:pPr>
          </w:p>
        </w:tc>
      </w:tr>
      <w:tr>
        <w:trPr>
          <w:trHeight w:val="162"/>
        </w:trPr>
        <w:tc>
          <w:tcPr>
            <w:tcW w:w="19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Less: undistributed earnings</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attributable to participating</w:t>
            </w:r>
          </w:p>
        </w:tc>
        <w:tc>
          <w:tcPr>
            <w:tcW w:w="1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0" w:type="dxa"/>
            <w:vAlign w:val="bottom"/>
          </w:tcPr>
          <w:p>
            <w:pPr>
              <w:spacing w:after="0"/>
              <w:rPr>
                <w:sz w:val="1"/>
                <w:szCs w:val="1"/>
                <w:color w:val="auto"/>
              </w:rPr>
            </w:pPr>
          </w:p>
        </w:tc>
      </w:tr>
      <w:tr>
        <w:trPr>
          <w:trHeight w:val="213"/>
        </w:trPr>
        <w:tc>
          <w:tcPr>
            <w:tcW w:w="1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securities</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190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color w:val="auto"/>
              </w:rPr>
              <w:t>Net income attributable to</w:t>
            </w:r>
          </w:p>
        </w:tc>
        <w:tc>
          <w:tcPr>
            <w:tcW w:w="14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40,726</w:t>
            </w:r>
          </w:p>
        </w:tc>
        <w:tc>
          <w:tcPr>
            <w:tcW w:w="10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7,627</w:t>
            </w:r>
          </w:p>
        </w:tc>
        <w:tc>
          <w:tcPr>
            <w:tcW w:w="8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276,024</w:t>
            </w:r>
          </w:p>
        </w:tc>
        <w:tc>
          <w:tcPr>
            <w:tcW w:w="10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64,247</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174,835</w:t>
            </w:r>
          </w:p>
        </w:tc>
        <w:tc>
          <w:tcPr>
            <w:tcW w:w="32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32,909</w:t>
            </w:r>
          </w:p>
        </w:tc>
        <w:tc>
          <w:tcPr>
            <w:tcW w:w="12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707,188</w:t>
            </w:r>
          </w:p>
        </w:tc>
        <w:tc>
          <w:tcPr>
            <w:tcW w:w="10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177,380</w:t>
            </w:r>
          </w:p>
        </w:tc>
        <w:tc>
          <w:tcPr>
            <w:tcW w:w="0" w:type="dxa"/>
            <w:vAlign w:val="bottom"/>
          </w:tcPr>
          <w:p>
            <w:pPr>
              <w:spacing w:after="0"/>
              <w:rPr>
                <w:sz w:val="1"/>
                <w:szCs w:val="1"/>
                <w:color w:val="auto"/>
              </w:rPr>
            </w:pPr>
          </w:p>
        </w:tc>
      </w:tr>
      <w:tr>
        <w:trPr>
          <w:trHeight w:val="209"/>
        </w:trPr>
        <w:tc>
          <w:tcPr>
            <w:tcW w:w="2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stockholders, basic $</w:t>
            </w: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320" w:type="dxa"/>
            <w:vAlign w:val="bottom"/>
            <w:gridSpan w:val="3"/>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00" w:type="dxa"/>
            <w:vAlign w:val="bottom"/>
            <w:tcBorders>
              <w:top w:val="single" w:sz="8" w:color="CCEEFF"/>
              <w:bottom w:val="single" w:sz="8" w:color="CCEEFF"/>
            </w:tcBorders>
            <w:vMerge w:val="restart"/>
          </w:tcPr>
          <w:p>
            <w:pPr>
              <w:ind w:left="20"/>
              <w:spacing w:after="0" w:line="149" w:lineRule="exact"/>
              <w:rPr>
                <w:sz w:val="20"/>
                <w:szCs w:val="20"/>
                <w:color w:val="auto"/>
              </w:rPr>
            </w:pPr>
            <w:r>
              <w:rPr>
                <w:rFonts w:ascii="Times New Roman" w:cs="Times New Roman" w:eastAsia="Times New Roman" w:hAnsi="Times New Roman"/>
                <w:sz w:val="16"/>
                <w:szCs w:val="16"/>
                <w:color w:val="auto"/>
              </w:rPr>
              <w:t>Reallocation of net income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19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9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attributable to common</w:t>
            </w:r>
          </w:p>
        </w:tc>
        <w:tc>
          <w:tcPr>
            <w:tcW w:w="1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(568)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568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(5,756)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5,756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(2,516)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2,516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(15,965)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15,965</w:t>
            </w:r>
          </w:p>
        </w:tc>
        <w:tc>
          <w:tcPr>
            <w:tcW w:w="0" w:type="dxa"/>
            <w:vAlign w:val="bottom"/>
          </w:tcPr>
          <w:p>
            <w:pPr>
              <w:spacing w:after="0"/>
              <w:rPr>
                <w:sz w:val="1"/>
                <w:szCs w:val="1"/>
                <w:color w:val="auto"/>
              </w:rPr>
            </w:pPr>
          </w:p>
        </w:tc>
      </w:tr>
      <w:tr>
        <w:trPr>
          <w:trHeight w:val="213"/>
        </w:trPr>
        <w:tc>
          <w:tcPr>
            <w:tcW w:w="1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stockholders</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190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color w:val="auto"/>
              </w:rPr>
              <w:t>Net income attributable to</w:t>
            </w: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90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 stockholders,</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40,158</w:t>
            </w:r>
          </w:p>
        </w:tc>
        <w:tc>
          <w:tcPr>
            <w:tcW w:w="10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8,195</w:t>
            </w:r>
          </w:p>
        </w:tc>
        <w:tc>
          <w:tcPr>
            <w:tcW w:w="8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270,268</w:t>
            </w:r>
          </w:p>
        </w:tc>
        <w:tc>
          <w:tcPr>
            <w:tcW w:w="10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70,003</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172,319</w:t>
            </w:r>
          </w:p>
        </w:tc>
        <w:tc>
          <w:tcPr>
            <w:tcW w:w="32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35,425</w:t>
            </w:r>
          </w:p>
        </w:tc>
        <w:tc>
          <w:tcPr>
            <w:tcW w:w="12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691,223</w:t>
            </w:r>
          </w:p>
        </w:tc>
        <w:tc>
          <w:tcPr>
            <w:tcW w:w="10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193,345</w:t>
            </w:r>
          </w:p>
        </w:tc>
        <w:tc>
          <w:tcPr>
            <w:tcW w:w="0" w:type="dxa"/>
            <w:vAlign w:val="bottom"/>
          </w:tcPr>
          <w:p>
            <w:pPr>
              <w:spacing w:after="0"/>
              <w:rPr>
                <w:sz w:val="1"/>
                <w:szCs w:val="1"/>
                <w:color w:val="auto"/>
              </w:rPr>
            </w:pPr>
          </w:p>
        </w:tc>
      </w:tr>
      <w:tr>
        <w:trPr>
          <w:trHeight w:val="209"/>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140" w:type="dxa"/>
            <w:vAlign w:val="bottom"/>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320" w:type="dxa"/>
            <w:vAlign w:val="bottom"/>
            <w:gridSpan w:val="3"/>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19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900" w:type="dxa"/>
            <w:vAlign w:val="bottom"/>
            <w:shd w:val="clear" w:color="auto" w:fill="CCEEFF"/>
          </w:tcPr>
          <w:p>
            <w:pPr>
              <w:ind w:left="20"/>
              <w:spacing w:after="0" w:line="164" w:lineRule="exact"/>
              <w:rPr>
                <w:sz w:val="20"/>
                <w:szCs w:val="20"/>
                <w:color w:val="auto"/>
              </w:rPr>
            </w:pPr>
            <w:r>
              <w:rPr>
                <w:rFonts w:ascii="Times New Roman" w:cs="Times New Roman" w:eastAsia="Times New Roman" w:hAnsi="Times New Roman"/>
                <w:sz w:val="16"/>
                <w:szCs w:val="16"/>
                <w:color w:val="auto"/>
              </w:rPr>
              <w:t>Weighted-average shares</w:t>
            </w: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0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used in computing net</w:t>
            </w: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0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income per share</w:t>
            </w: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0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attributable to common</w:t>
            </w:r>
          </w:p>
        </w:tc>
        <w:tc>
          <w:tcPr>
            <w:tcW w:w="1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248,917,590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46,619,436</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241,227,457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56,147,554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250,595,877</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47,169,971</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236,362,585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59,285,041</w:t>
            </w:r>
          </w:p>
        </w:tc>
        <w:tc>
          <w:tcPr>
            <w:tcW w:w="0" w:type="dxa"/>
            <w:vAlign w:val="bottom"/>
          </w:tcPr>
          <w:p>
            <w:pPr>
              <w:spacing w:after="0"/>
              <w:rPr>
                <w:sz w:val="1"/>
                <w:szCs w:val="1"/>
                <w:color w:val="auto"/>
              </w:rPr>
            </w:pPr>
          </w:p>
        </w:tc>
      </w:tr>
      <w:tr>
        <w:trPr>
          <w:trHeight w:val="216"/>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basic</w:t>
            </w:r>
          </w:p>
        </w:tc>
        <w:tc>
          <w:tcPr>
            <w:tcW w:w="14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9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Weighted-average shares</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used in computing net</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income per share</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attributable to common</w:t>
            </w:r>
          </w:p>
        </w:tc>
        <w:tc>
          <w:tcPr>
            <w:tcW w:w="1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250,803,759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51,182,582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243,024,399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62,915,225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253,217,436</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52,056,376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238,904,473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66,822,260</w:t>
            </w:r>
          </w:p>
        </w:tc>
        <w:tc>
          <w:tcPr>
            <w:tcW w:w="0" w:type="dxa"/>
            <w:vAlign w:val="bottom"/>
          </w:tcPr>
          <w:p>
            <w:pPr>
              <w:spacing w:after="0"/>
              <w:rPr>
                <w:sz w:val="1"/>
                <w:szCs w:val="1"/>
                <w:color w:val="auto"/>
              </w:rPr>
            </w:pPr>
          </w:p>
        </w:tc>
      </w:tr>
      <w:tr>
        <w:trPr>
          <w:trHeight w:val="213"/>
        </w:trPr>
        <w:tc>
          <w:tcPr>
            <w:tcW w:w="1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stockholders, diluted</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190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color w:val="auto"/>
              </w:rPr>
              <w:t>Net income per share</w:t>
            </w: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90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attributable to common</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0.16</w:t>
            </w:r>
          </w:p>
        </w:tc>
        <w:tc>
          <w:tcPr>
            <w:tcW w:w="10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0.16</w:t>
            </w:r>
          </w:p>
        </w:tc>
        <w:tc>
          <w:tcPr>
            <w:tcW w:w="8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0.70</w:t>
            </w:r>
          </w:p>
        </w:tc>
        <w:tc>
          <w:tcPr>
            <w:tcW w:w="32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0.70</w:t>
            </w:r>
          </w:p>
        </w:tc>
        <w:tc>
          <w:tcPr>
            <w:tcW w:w="12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10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0" w:type="dxa"/>
            <w:vAlign w:val="bottom"/>
          </w:tcPr>
          <w:p>
            <w:pPr>
              <w:spacing w:after="0"/>
              <w:rPr>
                <w:sz w:val="1"/>
                <w:szCs w:val="1"/>
                <w:color w:val="auto"/>
              </w:rPr>
            </w:pPr>
          </w:p>
        </w:tc>
      </w:tr>
      <w:tr>
        <w:trPr>
          <w:trHeight w:val="209"/>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basic</w:t>
            </w:r>
          </w:p>
        </w:tc>
        <w:tc>
          <w:tcPr>
            <w:tcW w:w="140" w:type="dxa"/>
            <w:vAlign w:val="bottom"/>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320" w:type="dxa"/>
            <w:vAlign w:val="bottom"/>
            <w:gridSpan w:val="3"/>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00" w:type="dxa"/>
            <w:vAlign w:val="bottom"/>
            <w:tcBorders>
              <w:top w:val="single" w:sz="8" w:color="CCEEFF"/>
              <w:bottom w:val="single" w:sz="8" w:color="CCEEFF"/>
            </w:tcBorders>
            <w:vMerge w:val="restart"/>
          </w:tcPr>
          <w:p>
            <w:pPr>
              <w:ind w:left="20"/>
              <w:spacing w:after="0" w:line="149" w:lineRule="exact"/>
              <w:rPr>
                <w:sz w:val="20"/>
                <w:szCs w:val="20"/>
                <w:color w:val="auto"/>
              </w:rPr>
            </w:pPr>
            <w:r>
              <w:rPr>
                <w:rFonts w:ascii="Times New Roman" w:cs="Times New Roman" w:eastAsia="Times New Roman" w:hAnsi="Times New Roman"/>
                <w:sz w:val="16"/>
                <w:szCs w:val="16"/>
                <w:color w:val="auto"/>
              </w:rPr>
              <w:t>Net income per share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19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9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attributable to common</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0.16</w:t>
            </w:r>
          </w:p>
        </w:tc>
        <w:tc>
          <w:tcPr>
            <w:tcW w:w="100" w:type="dxa"/>
            <w:vAlign w:val="bottom"/>
          </w:tcPr>
          <w:p>
            <w:pPr>
              <w:spacing w:after="0"/>
              <w:rPr>
                <w:sz w:val="14"/>
                <w:szCs w:val="14"/>
                <w:color w:val="auto"/>
              </w:rPr>
            </w:pPr>
          </w:p>
        </w:tc>
        <w:tc>
          <w:tcPr>
            <w:tcW w:w="18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0.16</w:t>
            </w:r>
          </w:p>
        </w:tc>
        <w:tc>
          <w:tcPr>
            <w:tcW w:w="8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tcPr>
          <w:p>
            <w:pPr>
              <w:spacing w:after="0"/>
              <w:rPr>
                <w:sz w:val="14"/>
                <w:szCs w:val="14"/>
                <w:color w:val="auto"/>
              </w:rPr>
            </w:pPr>
          </w:p>
        </w:tc>
        <w:tc>
          <w:tcPr>
            <w:tcW w:w="20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0.68</w:t>
            </w:r>
          </w:p>
        </w:tc>
        <w:tc>
          <w:tcPr>
            <w:tcW w:w="32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0.68</w:t>
            </w:r>
          </w:p>
        </w:tc>
        <w:tc>
          <w:tcPr>
            <w:tcW w:w="12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100" w:type="dxa"/>
            <w:vAlign w:val="bottom"/>
          </w:tcPr>
          <w:p>
            <w:pPr>
              <w:spacing w:after="0"/>
              <w:rPr>
                <w:sz w:val="14"/>
                <w:szCs w:val="14"/>
                <w:color w:val="auto"/>
              </w:rPr>
            </w:pPr>
          </w:p>
        </w:tc>
        <w:tc>
          <w:tcPr>
            <w:tcW w:w="20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0" w:type="dxa"/>
            <w:vAlign w:val="bottom"/>
          </w:tcPr>
          <w:p>
            <w:pPr>
              <w:spacing w:after="0"/>
              <w:rPr>
                <w:sz w:val="1"/>
                <w:szCs w:val="1"/>
                <w:color w:val="auto"/>
              </w:rPr>
            </w:pPr>
          </w:p>
        </w:tc>
      </w:tr>
      <w:tr>
        <w:trPr>
          <w:trHeight w:val="189"/>
        </w:trPr>
        <w:tc>
          <w:tcPr>
            <w:tcW w:w="1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diluted</w:t>
            </w:r>
          </w:p>
        </w:tc>
        <w:tc>
          <w:tcPr>
            <w:tcW w:w="14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320" w:type="dxa"/>
            <w:vAlign w:val="bottom"/>
            <w:gridSpan w:val="3"/>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right="40" w:firstLine="486"/>
        <w:spacing w:after="0" w:line="270" w:lineRule="auto"/>
        <w:rPr>
          <w:sz w:val="20"/>
          <w:szCs w:val="20"/>
          <w:color w:val="auto"/>
        </w:rPr>
      </w:pPr>
      <w:r>
        <w:rPr>
          <w:rFonts w:ascii="Times New Roman" w:cs="Times New Roman" w:eastAsia="Times New Roman" w:hAnsi="Times New Roman"/>
          <w:sz w:val="18"/>
          <w:szCs w:val="18"/>
          <w:color w:val="auto"/>
        </w:rPr>
        <w:t>The potential shares of common stock that were excluded from the computation of diluted net income per share attributable to common stockholders for the periods presented, because including them would have been anti-dilutive, are as follows:</w:t>
      </w:r>
    </w:p>
    <w:tbl>
      <w:tblPr>
        <w:tblLayout w:type="fixed"/>
        <w:tblInd w:w="0" w:type="dxa"/>
        <w:tblCellMar>
          <w:top w:w="0" w:type="dxa"/>
          <w:left w:w="0" w:type="dxa"/>
          <w:bottom w:w="0" w:type="dxa"/>
          <w:right w:w="0" w:type="dxa"/>
        </w:tblCellMar>
      </w:tblPr>
      <w:tr>
        <w:trPr>
          <w:trHeight w:val="190"/>
        </w:trPr>
        <w:tc>
          <w:tcPr>
            <w:tcW w:w="18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6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860" w:type="dxa"/>
            <w:vAlign w:val="bottom"/>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860" w:type="dxa"/>
            <w:vAlign w:val="bottom"/>
          </w:tcPr>
          <w:p>
            <w:pPr>
              <w:spacing w:after="0"/>
              <w:rPr>
                <w:sz w:val="16"/>
                <w:szCs w:val="16"/>
                <w:color w:val="auto"/>
              </w:rPr>
            </w:pPr>
          </w:p>
        </w:tc>
        <w:tc>
          <w:tcPr>
            <w:tcW w:w="12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9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8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9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860" w:type="dxa"/>
            <w:vAlign w:val="bottom"/>
          </w:tcPr>
          <w:p>
            <w:pPr>
              <w:spacing w:after="0"/>
              <w:rPr>
                <w:sz w:val="17"/>
                <w:szCs w:val="17"/>
                <w:color w:val="auto"/>
              </w:rPr>
            </w:pPr>
          </w:p>
        </w:tc>
        <w:tc>
          <w:tcPr>
            <w:tcW w:w="128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9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80" w:type="dxa"/>
            <w:vAlign w:val="bottom"/>
          </w:tcPr>
          <w:p>
            <w:pPr>
              <w:spacing w:after="0"/>
              <w:rPr>
                <w:sz w:val="17"/>
                <w:szCs w:val="17"/>
                <w:color w:val="auto"/>
              </w:rPr>
            </w:pPr>
          </w:p>
        </w:tc>
        <w:tc>
          <w:tcPr>
            <w:tcW w:w="1400" w:type="dxa"/>
            <w:vAlign w:val="bottom"/>
            <w:gridSpan w:val="3"/>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8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80" w:type="dxa"/>
            <w:vAlign w:val="bottom"/>
          </w:tcPr>
          <w:p>
            <w:pPr>
              <w:spacing w:after="0"/>
              <w:rPr>
                <w:sz w:val="17"/>
                <w:szCs w:val="17"/>
                <w:color w:val="auto"/>
              </w:rPr>
            </w:pPr>
          </w:p>
        </w:tc>
        <w:tc>
          <w:tcPr>
            <w:tcW w:w="1320" w:type="dxa"/>
            <w:vAlign w:val="bottom"/>
            <w:gridSpan w:val="3"/>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98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80" w:type="dxa"/>
            <w:vAlign w:val="bottom"/>
          </w:tcPr>
          <w:p>
            <w:pPr>
              <w:spacing w:after="0"/>
              <w:rPr>
                <w:sz w:val="17"/>
                <w:szCs w:val="17"/>
                <w:color w:val="auto"/>
              </w:rPr>
            </w:pPr>
          </w:p>
        </w:tc>
        <w:tc>
          <w:tcPr>
            <w:tcW w:w="1400" w:type="dxa"/>
            <w:vAlign w:val="bottom"/>
            <w:gridSpan w:val="3"/>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9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0" w:type="dxa"/>
            <w:vAlign w:val="bottom"/>
          </w:tcPr>
          <w:p>
            <w:pPr>
              <w:spacing w:after="0"/>
              <w:rPr>
                <w:sz w:val="1"/>
                <w:szCs w:val="1"/>
                <w:color w:val="auto"/>
              </w:rPr>
            </w:pPr>
          </w:p>
        </w:tc>
      </w:tr>
      <w:tr>
        <w:trPr>
          <w:trHeight w:val="222"/>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Unvested RSUs</w:t>
            </w:r>
          </w:p>
        </w:tc>
        <w:tc>
          <w:tcPr>
            <w:tcW w:w="11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12,741,748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816,953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7,656,321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473,104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18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Purchase rights committed</w:t>
            </w:r>
          </w:p>
        </w:tc>
        <w:tc>
          <w:tcPr>
            <w:tcW w:w="110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2,395,761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restart"/>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584,212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vMerge w:val="restart"/>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1,462,148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vMerge w:val="restart"/>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284,454</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vMerge w:val="restart"/>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1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under the ESPP</w:t>
            </w:r>
          </w:p>
        </w:tc>
        <w:tc>
          <w:tcPr>
            <w:tcW w:w="11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stock options</w:t>
            </w:r>
          </w:p>
        </w:tc>
        <w:tc>
          <w:tcPr>
            <w:tcW w:w="11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124,547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75,984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18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110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15,262,056</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1,401,165</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9,194,453</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757,558</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table above does not include 405,156 shares of issued Class A common stock held by us as of October 31, 2022 and 2021 that are reserved for the sole purpose of being transferred to nonprofit organizations.</w:t>
      </w:r>
    </w:p>
    <w:p>
      <w:pPr>
        <w:spacing w:after="0" w:line="13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the unaudited condensed consolidated financial statements and related notes included elsewhere in this Quarterly Report on Form 10-Q. This discussion contains forward-looking statements based upon current expectations that involve risks and uncertainties. Our actual results may differ materially from those anticipated in these forward-looking statements as a result of various factors, including those discussed in the section titled “Risk Factors” and in other parts of this Quarterly Report on Form 10-Q.</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mission is to make video communications frictionless and secure.</w:t>
      </w:r>
    </w:p>
    <w:p>
      <w:pPr>
        <w:spacing w:after="0" w:line="11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Zoom enables people to connect to others, share ideas, make plans, and build toward a future limited only by their imagination. Our frictionless communications platform started with video as its foundation, and we have set the standard for innovation ever since. We connect people through our core unified communications offering, which frictionlessly brings together phone, chat, video, whiteboarding, and webinars, and enables meaningful experiences across disparate devices and locations. Our Developer Platform enables customers, developers, and service providers to easily build apps and integrations on top of Zoom’s industry-leading video communications platform, with opportunities for global discovery and distribution. Our virtual and hybrid event solutions allow users to seamlessly create and manage engaging events. Our Contact Center is an omnichannel contact center solution that is optimized for video and integrated right into the Zoom client.</w:t>
      </w:r>
    </w:p>
    <w:p>
      <w:pPr>
        <w:spacing w:after="0" w:line="8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believe that face-to-face communications build greater empathy and trust. We strive to live up to the trust our customers place in us by delivering a communications solution while prioritizing their privacy and security. Our 27 co-located data centers worldwide and the public cloud in conjunction with our proprietary adaptive rate codec enable us to provide both high-quality and high-definition, real-time video to our customers even in low-bandwidth environments.</w:t>
      </w:r>
    </w:p>
    <w:p>
      <w:pPr>
        <w:spacing w:after="0" w:line="72"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generate revenue from the sale of subscriptions to our unified communications platform. Subscription revenue is driven primarily by the number of paid hosts as well as purchases of additional products, including Rooms, Webinars, Phone, Events, Contact Center, and Hardware-as-a-Service (“HaaS”) for rooms and phones. A host is any user of our unified communications platform who initiates a Zoom Meeting and invites one or more participants to join that meeting. We refer to hosts who subscribe to a paid Zoom Meeting plan as “paid hosts.” We define a customer as a separate and distinct buying entity, which can be a single paid user or host or an organization of any size (including a distinct unit of an organization) that has multiple paid hosts. Our Zoom One Basic offering is free and gives hosts access to Zoom Meetings with core features but with the limitation that meetings time-out at 40 minutes. Our core paid offerings are available with our Zoom One bundles: Zoom One Pro, Business, Business Plus, Enterprise, and Enterprise Plus. The Zoom One bundles are designed for different business needs and are composed of Zoom Meetings, Zoom Phone, Zoom Chat, Zoom Whiteboard as well as Zoom Webinars and Zoom Rooms for our Enterprise plans. We also offer vertical-specific plans for Education and Healthcare, which provide incremental features and functionality, such as different participant limits, administrative controls, and reporting.</w:t>
      </w:r>
    </w:p>
    <w:p>
      <w:pPr>
        <w:spacing w:after="0" w:line="8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For Zoom Phone, plans include Zoom Phone Pro, which provides extension-to-extension calling or can be used with the Bring Your Own Carrier model wherein the customer connects Zoom Phone to an existing carrier. We also offer Regional Unlimited and Regional Metered calling plans in four specific markets (United States/Canada, United Kingdom/Ireland, Australia/New Zealand, and Japan). In addition, we introduced the Global Select plan in August 2020, which allows customers to select from local numbers and domestic calling in more than 47 countries and territories where Zoom has local public switched telephone network (“PSTN”) coverage.</w:t>
      </w:r>
    </w:p>
    <w:p>
      <w:pPr>
        <w:spacing w:after="0" w:line="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revenue was $1,101.9 million and $1,050.8 million for the three months ended October 31, 2022 and 2021, respectively, representing period-over-period growth of 4.9%. We had net income of $48.4 million and $340.4 million for the three months ended October 31, 2022 and 2021, respectively. Our revenue was $3,275.2 million and $3,028.5 million for the nine months ended October 31, 2022 and 2021, respectively, representing period-over-period growth of 8.1%. We had net income of $207.8 million and $885.0 million for the nine months ended October 31, 2022 and 2021, respectively. Net cash provided by operating activities was $1,078.7 million and $1,395.9 million for the nine months ended October 31, 2022 and 2021,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Macroeconomic Conditions and Other Factors</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Recent changes in macroeconomic conditions such as high inflation, recessionary environments, and fluctuations in foreign currency exchange rates, can cause uncertainty in our business. For the three and nine months ended October 31, 2022, we experienced continued growth in total revenue and revenue from Enterprise customers. However, macroeconomic conditions, including inflation and continued uncertainty regarding the current and future political and economic environment, may impact the future demand for subscriptions to our unified communications platform. For example, for the three and nine months ended October 31, 2022, we experienced unfavorable foreign currency impact as a result of the continued strengthening of the U.S. dollar compared to certain foreign jurisdictions where we do a significant amount of business, which resulted in a</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 million and $48 million negative impact on revenue during the three and nine months ended October 31, 2022, respectively.</w:t>
      </w:r>
    </w:p>
    <w:p>
      <w:pPr>
        <w:spacing w:after="0" w:line="11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During the onset of the COVID-19 pandemic, many organizations resorted to mandating employees to work from home, which has resulted in these organizations seeking out video communication solutions like ours to keep employees as productive as possible, even while working from home. There is no assurance that we will experience an increase in paid hosts or that new or existing users will continue to utilize our service after the COVID-19 pandemic has tapered globally. As reported in prior periods we experienced significant revenue growth. This revenue growth has declined and we expect our revenue growth to generally decline as compared to prior periods. Many factors may contribute to declines in our growth rate, among other things, higher market penetration, increased competition, slowing demand for our platform from the tapering of the COVID-19 pandemic, a slower than anticipated capitalization on growth opportunities, and the maturation of our business.</w:t>
      </w:r>
    </w:p>
    <w:p>
      <w:pPr>
        <w:spacing w:after="0" w:line="8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continue to monitor the impacts of the COVID-19 pandemic on our business. The effects of the COVID-19 pandemic have been widespread, and while the COVID-19 pandemic has tapered, it continues to fluctuate in severity. Our recent declines in revenue growth are primarily attributable to the tapering of the COVID-19 pandemic along with other macroeconomic factors. At the same time, it is starting to become clear that some of the behavioral trends the COVID-19 pandemic fostered, including the shift to remote and hybrid work, may remain in place for an indeterminate amount of time. Given this, it is not possible for us to quantify how the tapering of the COVID-19 pandemic has impacted our current and future operations.</w:t>
      </w:r>
    </w:p>
    <w:p>
      <w:pPr>
        <w:spacing w:after="0" w:line="7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addition the global impacts of the Russian invasion of Ukraine, including various sanctions and export restrictions on Russia and Belarus by the United States, the United Kingdom, the European Union, and other governmental authorities remain highly uncertain. The Russia-Ukraine war impacted our EMEA revenue for the three and nine months ended October 31, 2022. Our customers in Russia, Belarus, and Ukraine represented less than 1% of our net assets and total consolidated revenue as of and for the three and nine months ended October 31, 2022. If the Russia-Ukraine war continues or worsens, leading to additional sanctions, tightened export restrictions, and greater global economic disruptions and uncertainty, our business and results of operations could be materially impacted.</w:t>
      </w:r>
    </w:p>
    <w:p>
      <w:pPr>
        <w:spacing w:after="0" w:line="7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are continuously monitoring the impact of these circumstances on our business and financial results, as well as the overall global economy and geopolitical landscape. The implications of macroeconomic conditions on our business, results of operations and overall financial position, particularly in the long term, remain uncertain.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Acquiring New Customers</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are focused on continuing to grow the number of customers that use our platform. Our operating results and growth prospects will depend, in part, on our ability to attract new customers. While we believe there is a significant market opportunity that our platform addresses, it is difficult to predict customer adoption rates or the future growth rate and size of the market for our platform. We will need to continue to invest in sales and marketing in order to address this opportunity by hiring, developing, and retaining talented sales personnel who are able to achieve desired productivity levels in a reasonable period of time.</w:t>
      </w:r>
    </w:p>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Expansion of Zoom Across Existing Enterprise Customers</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believe that there is a large opportunity for growth with many of our existing customers. Many customers have increased the size of their subscriptions as they have expanded their use of our platform across their operations. Some of our larger customers start with a deployment of Zoom Meetings with one team, location, or geography, before rolling out our platform throughout their organization. Several of our largest customers have deployed our platform globally to their entire workforce following smaller initial deployments. This expansion in the use of our platform also provides us with opportunities to market and sell additional products to our customers, such as Phone, HaaS, Zoom for Home, Rooms at each office location, Developer Platform solutions, Events, Contact Center, and Webinars. In order for us to address this opportunity to expand the use of our products with our existing customers, we will need to maintain the reliability of our platform and produce new features and functionality that are responsive to our customers’ requirements for enterprise-grade solutions.</w:t>
      </w:r>
    </w:p>
    <w:p>
      <w:pPr>
        <w:spacing w:after="0" w:line="84"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quantify our expansion across existing Enterprise customers through our net dollar expansion rate. We define Enterprise customers as distinct business units who have been engaged by either our direct sales team, resellers, or strategic partners. Revenue from Enterprise customers represented 55.7% and 48.8% of total revenue for the three months ended October 31, 2022 and 2021, respectively, and 54.1% and 46.6% of total revenue for the nine months ended October 31, 2022 and 2021, respectively. Our net dollar expansion rate includes the increase in user adoption within our Enterprise customers, as our subscription revenue is primarily driven by the number of paid hosts within a customer and the purchase of additional products, and compares our subscription revenue from the same set of Enterprise customers across comparable periods. We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calculate net dollar expansion rate as of a period end by starting with the annual recurring revenue (“ARR”) from all Enterprise customers as of 12 months prior (“Prior Period ARR”). We define ARR as the annualized revenue run rate of subscription agreements from all customers at a point in time. We calculate ARR by taking the monthly recurring revenue (“MRR”) and multiplying it by 12. MRR is defined as the recurring revenue run-rate of subscription agreements from all Enterprise customers for the last month of the period, including revenue from monthly subscribers who have not provided any indication that they intend to cancel their subscriptions. We then calculate the ARR from these Enterprise customers as of the current period end (“Current Period ARR”), which includes any upsells, contraction, and attrition. We divide the Current Period ARR by the Prior Period ARR to arrive at the net dollar expansion rate. For the trailing 12-months calculation, we take an average of the net dollar expansion rate over the trailing 12 months. Our net dollar expansion rate may fluctuate as a result of a number of factors, including the level of penetration within our customer base, expansion of products and features, and our ability to retain our Enterprise customers. Our trailing 12-month net dollar expansion rate for Enterprise customers as of October 31, 2022 and 2021 was 117% and 139% respectively.</w:t>
      </w:r>
    </w:p>
    <w:p>
      <w:pPr>
        <w:spacing w:after="0" w:line="2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Retention of Online Customers</w:t>
      </w:r>
    </w:p>
    <w:p>
      <w:pPr>
        <w:spacing w:after="0" w:line="20" w:lineRule="exact"/>
        <w:rPr>
          <w:sz w:val="20"/>
          <w:szCs w:val="20"/>
          <w:color w:val="auto"/>
        </w:rPr>
      </w:pPr>
    </w:p>
    <w:p>
      <w:pPr>
        <w:ind w:right="100" w:firstLine="486"/>
        <w:spacing w:after="0" w:line="225" w:lineRule="auto"/>
        <w:rPr>
          <w:sz w:val="20"/>
          <w:szCs w:val="20"/>
          <w:color w:val="auto"/>
        </w:rPr>
      </w:pPr>
      <w:r>
        <w:rPr>
          <w:rFonts w:ascii="Times New Roman" w:cs="Times New Roman" w:eastAsia="Times New Roman" w:hAnsi="Times New Roman"/>
          <w:sz w:val="18"/>
          <w:szCs w:val="18"/>
          <w:color w:val="auto"/>
        </w:rPr>
        <w:t>In addition to Enterprise customers, we also have a significant number of customers that subscribe to our services directly through our website (“Online customers”). Online customers represent a diverse customer base, ranging from individual consumers to small and medium size businesses. We continue to focus on acquisition and retention of our online customer base through various strategies to improve the features and functionalities of our products and services. Revenue from Online customers represented 44.3% and 51.2% of total revenue for the three months ended October 31, 2022 and 2021, respectively, and 45.9% and 53.4% of total revenue for the nine months ended October 31, 2022 and 2021, respectively. The ability to retain these Online customers will have an impact on our future revenue. The online monthly average churn for our Online customers was 3.1% and 3.7% per month for the three months ended October 31, 2022 and 2021, respectively, and 3.4% and 3.9% per month for the nine months ended October 31, 2022 and 2021, respectively. We calculate our online average monthly churn by starting with the Online customer MRR as of the beginning of the applicable quarter (“Entry MRR”). We define Entry MRR as the recurring revenue run-rate of subscription agreements from all Online customers, including revenue from monthly subscribers that have not provided any indication that they intend to cancel their subscriptions. We then determine the MRR related to customers who canceled or downgraded their subscription during the applicable quarter (“Applicable Quarter MRR Churn”) and divide the Applicable Quarter MRR Churn by the applicable quarter Entry MRR to arrive at the MRR churn rate for Online Customers for the applicable quarter. We then divided that amount by three to calculate the online average monthly churn.</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Innovation and Expansion of Our Platform</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continue to invest resources to enhance the capabilities of our platform. For example, we have recently introduced a number of product enhancements, including new features for Phone, Meetings, Webinars, and Events and launched Zoom Contact Center, Zoom IQ for Sales, and Whiteboard. We addressed new work-from-home realities with the introduction of Zoom for Home, a solution designed for the home office that combines Zoom software enhancements with compatible hardware. We also deliver Zoom Phone calling plans in more than 47 countries and territories as of October 31, 2022. Third-party developers are also a key component of our strategy for platform innovation to make it easier for customers and developers to extend our product portfolio with new functionalities. We believe that as more developers and other third parties use our platform to integrate major third-party applications, we will become the ubiquitous platform for communications. We will need to expend additional resources to continue introducing new products, features, and functionality, and supporting the efforts of third parties to enhance the value of our platform with their own applications.</w:t>
      </w:r>
    </w:p>
    <w:p>
      <w:pPr>
        <w:spacing w:after="0" w:line="8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An end-to-end encryption (“E2EE”) option is available to free and paid Zoom customers globally who host meetings with up to 200 participants as well as on Zoom Phone. Zoom’s E2EE uses the same AES-256-GCM encryption that secures Zoom meetings by default, but with Zoom’s E2EE, the meeting host, or originating caller in the case of Zoom Phone, as opposed to Zoom’s servers, generates encryption keys and uses public key cryptography to distribute these keys to the other meeting participants or call recipient.</w:t>
      </w:r>
    </w:p>
    <w:p>
      <w:pPr>
        <w:spacing w:after="0" w:line="7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February 2022, we launched Zoom Contact Center, an omnichannel contact center solution that is optimized for video and is integrated right into the Zoom client. Currently, Zoom Contact Center is available in the U.S. and Canada, with plans to introduce international availability later in 2022. In April 2022, we released Zoom Whiteboard, a persistent whiteboard tool for team collaboration in and outside of meetings, and Zoom IQ for Sales, a conversation intelligence software for Zoom Meetings, which provides sales teams with meaningful and actionable insights from their customer interactions to improve seller performance and enhance customer experiences.</w:t>
      </w:r>
    </w:p>
    <w:p>
      <w:pPr>
        <w:spacing w:after="0" w:line="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November 2022, we launched the beta releases of Zoom Mail and Calendar product offerings, which include both client experiences (Zoom Mail Client, Zoom Calendar Client) and service components (Zoom Mail Service, Zoom Calendar Service). Zoom Mail Client and Zoom Calendar Client can be used with third-party email and calendaring services from Microsoft or Google, or with Zoom Mail Service and Calendar Service. Zoom Mail Service and Zoom Calendar Service are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Zoom-hosted offerings targeted at customers with up to 50 employees and currently available in beta release in the United States and Canada.</w:t>
      </w:r>
    </w:p>
    <w:p>
      <w:pPr>
        <w:spacing w:after="0" w:line="2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International Expansion</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platform addresses the communications needs of users worldwide, and we see international expansion as a major opportunity. Our revenue from the rest of world (APAC and EMEA) represented 30% and 33% of our total revenue for the three months ended October 31, 2022 and 2021, respectively, and 31% and 33% of our total revenue for the nine months ended October 31, 2022 and 2021, respectively. We plan to add local sales support in further select international markets over time. We use strategic partners and resellers to sell in certain international markets where we have limited or no direct sales presence. While we believe global demand for our platform will continue to increase as international market awareness of Zoom grows, our ability to conduct our operations internationally will require considerable management attention and resources, and is subject to the particular challenges of supporting a rapidly growing business in an environment of multiple languages, cultures, customs, legal and regulatory systems, alternative dispute systems, and commercial markets.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12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We review the following key business metrics to measure our performance, identify trends, formulate financial projections, and make strategic decisions.</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Number of Enterprise Customers</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believe that our ability to increase the number of Enterprise customers is an indicator of our potential future business opportunities, the growth of our business, and an indicator of our market penetration. Increasing awareness of our platform and capabilities, coupled with the mainstream adoption of our technology, has expanded the diversity of our customer base to include organizations of all sizes across all industries. Over time, we expect Enterprise customers to represent a larger share of our business. As of October 31, 2022 and 2021, we had approximately 209,300 and 183,700 Enterprise customers, respectively.</w:t>
      </w:r>
    </w:p>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Customers Contributing More Than $100,000 of Trailing 12 Months Revenue</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focus on growing the number of customers that contribute more than $100,000 of trailing 12 months revenue as it is a measure of our ability to scale with our customers and attract larger organizations to Zoom. Revenue from these customers represented 27% and 22% of total revenue for the three months ended October 31, 2022 and 2021, respectively, and 26% and 21% of total revenue for the nine months ended October 31, 2022 and 2021, respectively. As of October 31, 2022 and 2021, we had 3,286 and 2,507 customers, respectively, that contributed more than $100,000 of trailing 12 months revenue, demonstrating our rapid penetration of larger organizations, including enterprises. These customers are a subset of Enterprise customers.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 addition to our results determined in accordance with GAAP, we believe that free cash flow (“FCF”) is a non-GAAP financial measures that is useful in evaluating our liquidity.</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define FCF as GAAP net cash provided by operating activities less purchases of property and equipment. We believe that FCF is a useful indicator of liquidity that provides information to management and investors about the amount of cash generated from our operations that, after investments in property and equipment, can be used for future growth. FCF is presented for supplemental informational purposes only and has limitations as an analytical tool, and should not be considered in isolation or as a substitute for analysis of other GAAP financial measures, such as net cash provided by operating activities. It is important to note that other companies, including companies in our industry, may not use this metric, may calculate this metric differently, or may use other financial measures to evaluate their liquidity, all of which could reduce the usefulness of the non-GAAP metric as a comparative measure.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presents a summary of our cash flows for the periods presented and a reconciliation of FCF to net cash provided by operating activities, the most directly comparable financial measure calculated in accordance with GAAP:</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40" w:type="dxa"/>
            <w:vAlign w:val="bottom"/>
            <w:gridSpan w:val="4"/>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0" w:type="dxa"/>
            <w:vAlign w:val="bottom"/>
          </w:tcPr>
          <w:p>
            <w:pPr>
              <w:spacing w:after="0"/>
              <w:rPr>
                <w:sz w:val="1"/>
                <w:szCs w:val="1"/>
                <w:color w:val="auto"/>
              </w:rPr>
            </w:pPr>
          </w:p>
        </w:tc>
      </w:tr>
      <w:tr>
        <w:trPr>
          <w:trHeight w:val="23"/>
        </w:trPr>
        <w:tc>
          <w:tcPr>
            <w:tcW w:w="78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9"/>
        </w:trPr>
        <w:tc>
          <w:tcPr>
            <w:tcW w:w="7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2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7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1,078,674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1,395,870</w:t>
            </w:r>
          </w:p>
        </w:tc>
        <w:tc>
          <w:tcPr>
            <w:tcW w:w="0" w:type="dxa"/>
            <w:vAlign w:val="bottom"/>
          </w:tcPr>
          <w:p>
            <w:pPr>
              <w:spacing w:after="0"/>
              <w:rPr>
                <w:sz w:val="1"/>
                <w:szCs w:val="1"/>
                <w:color w:val="auto"/>
              </w:rPr>
            </w:pPr>
          </w:p>
        </w:tc>
      </w:tr>
      <w:tr>
        <w:trPr>
          <w:trHeight w:val="229"/>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purchases of property and equipment</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(75,568)</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(111,816)</w:t>
            </w:r>
          </w:p>
        </w:tc>
        <w:tc>
          <w:tcPr>
            <w:tcW w:w="0" w:type="dxa"/>
            <w:vAlign w:val="bottom"/>
          </w:tcPr>
          <w:p>
            <w:pPr>
              <w:spacing w:after="0"/>
              <w:rPr>
                <w:sz w:val="1"/>
                <w:szCs w:val="1"/>
                <w:color w:val="auto"/>
              </w:rPr>
            </w:pPr>
          </w:p>
        </w:tc>
      </w:tr>
      <w:tr>
        <w:trPr>
          <w:trHeight w:val="221"/>
        </w:trPr>
        <w:tc>
          <w:tcPr>
            <w:tcW w:w="7820" w:type="dxa"/>
            <w:vAlign w:val="bottom"/>
            <w:tcBorders>
              <w:bottom w:val="single" w:sz="8" w:color="CCEEFF"/>
            </w:tcBorders>
            <w:shd w:val="clear" w:color="auto" w:fill="CCEEFF"/>
          </w:tcPr>
          <w:p>
            <w:pPr>
              <w:ind w:left="240"/>
              <w:spacing w:after="0" w:line="196" w:lineRule="exact"/>
              <w:rPr>
                <w:sz w:val="20"/>
                <w:szCs w:val="20"/>
                <w:color w:val="auto"/>
              </w:rPr>
            </w:pPr>
            <w:r>
              <w:rPr>
                <w:rFonts w:ascii="Times New Roman" w:cs="Times New Roman" w:eastAsia="Times New Roman" w:hAnsi="Times New Roman"/>
                <w:sz w:val="18"/>
                <w:szCs w:val="18"/>
                <w:color w:val="auto"/>
              </w:rPr>
              <w:t>Free cash flow (non-GAAP)</w:t>
            </w:r>
          </w:p>
        </w:tc>
        <w:tc>
          <w:tcPr>
            <w:tcW w:w="38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1,003,106</w:t>
            </w: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1,284,054</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820" w:type="dxa"/>
            <w:vAlign w:val="bottom"/>
            <w:vMerge w:val="continue"/>
          </w:tcPr>
          <w:p>
            <w:pPr>
              <w:spacing w:after="0"/>
              <w:rPr>
                <w:sz w:val="17"/>
                <w:szCs w:val="17"/>
                <w:color w:val="auto"/>
              </w:rPr>
            </w:pPr>
          </w:p>
        </w:tc>
        <w:tc>
          <w:tcPr>
            <w:tcW w:w="380" w:type="dxa"/>
            <w:vAlign w:val="bottom"/>
            <w:tcBorders>
              <w:bottom w:val="single" w:sz="8" w:color="auto"/>
            </w:tcBorders>
          </w:tcPr>
          <w:p>
            <w:pPr>
              <w:jc w:val="right"/>
              <w:ind w:right="1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(60,613)</w:t>
            </w:r>
          </w:p>
        </w:tc>
        <w:tc>
          <w:tcPr>
            <w:tcW w:w="100" w:type="dxa"/>
            <w:vAlign w:val="bottom"/>
          </w:tcPr>
          <w:p>
            <w:pPr>
              <w:spacing w:after="0"/>
              <w:rPr>
                <w:sz w:val="17"/>
                <w:szCs w:val="17"/>
                <w:color w:val="auto"/>
              </w:rPr>
            </w:pPr>
          </w:p>
        </w:tc>
        <w:tc>
          <w:tcPr>
            <w:tcW w:w="540" w:type="dxa"/>
            <w:vAlign w:val="bottom"/>
            <w:tcBorders>
              <w:bottom w:val="single" w:sz="8" w:color="auto"/>
            </w:tcBorders>
          </w:tcPr>
          <w:p>
            <w:pPr>
              <w:jc w:val="right"/>
              <w:ind w:right="3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(2,367,098)</w:t>
            </w:r>
          </w:p>
        </w:tc>
        <w:tc>
          <w:tcPr>
            <w:tcW w:w="0" w:type="dxa"/>
            <w:vAlign w:val="bottom"/>
          </w:tcPr>
          <w:p>
            <w:pPr>
              <w:spacing w:after="0"/>
              <w:rPr>
                <w:sz w:val="1"/>
                <w:szCs w:val="1"/>
                <w:color w:val="auto"/>
              </w:rPr>
            </w:pP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(948,687)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20,885</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derive our revenue from subscription agreements with customers for access to our unified communications platform. Our customers generally do not have the ability to take possession of our software. We also provide services, which include professional services, consulting services, and online event hosting, which are generally considered distinct from the access to our unified communications platform.</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Cost of revenue primarily consists of costs related to hosting our unified communications platform and providing general operating support services to our customers. These costs are related to our co-located data centers, third-party cloud hosting, integrated third-party PSTN services, personnel-related expenses, amortization of capitalized software development and acquired intangible assets, royalty payments, and allocated overhead. We expect our cost of revenue to increase in absolute dollars for the foreseeable future as we expand our data center capacity. We expect, however, that our cost of revenue as a percentage of revenue will remain relatively flat for the rest of the current fiscal year.</w:t>
      </w:r>
    </w:p>
    <w:p>
      <w:pPr>
        <w:spacing w:after="0" w:line="2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primarily consist of personnel-related expenses directly associated with our research and development organization, depreciation of equipment used in research and development, and allocated overhead. Research and development costs are expensed as incurred. We plan to increase our investment in research and development for the foreseeable future, primarily by increasing research and development headcount, as we focus on further developing our platform, enhancing its use cases, and strengthening security and privacy. As a result, we expect our research and development expenses to increase both in absolute dollars and as a percentage of revenue for the rest of the current fiscal year.</w:t>
      </w:r>
    </w:p>
    <w:p>
      <w:pPr>
        <w:spacing w:after="0" w:line="7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11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Sales and marketing expenses primarily consist of personnel-related expenses directly associated with our sales and marketing organization. Other sales and marketing expenses include advertising and promotional events to promote our brand, such as awareness programs, digital programs, public relations, tradeshows, and our user conference, Zoomtopia, and allocated overhead. Sales and marketing expenses also include credit card processing fees related to sales and amortization of deferred contract acquisition costs. We plan to increase our investment in sales and marketing over the foreseeable future, primarily by increasing the headcount of our direct sales force and marketing investments in demand generation. As a result, we expect our sales and marketing expenses to increase both in absolute dollars and as a percentage of revenue for the rest of the current fiscal year.</w:t>
      </w:r>
    </w:p>
    <w:p>
      <w:pPr>
        <w:spacing w:after="0" w:line="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1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primarily consist of personnel-related expenses associated with our finance and legal organizations; professional fees for external legal, accounting, and other consulting services; expected credit losses; insurance; certain indirect taxes; litigation settlements, and allocated overhead. We expect to increase the size of our general</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and administrative function to support the growth and complexity of our business. As a result, we expect our general and administrative expenses to increase both in absolute dollars and as a percentage of revenue for the rest of the current fiscal year.</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(Losses) gains on Strategic Investments, Net</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(Losses) gains on strategic investments, net consist primarily of remeasurement gains or losses on our equity investments.</w:t>
      </w:r>
    </w:p>
    <w:p>
      <w:pPr>
        <w:spacing w:after="0" w:line="2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p>
      <w:pPr>
        <w:spacing w:after="0" w:line="12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Other expense, net consists primarily of interest income and net amortization of discount/premium on our marketable securities and effect of changes in foreign currency exchange rates.</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Provision for income taxes consists primarily of income taxes related to federal, state, and foreign jurisdictions where we conduct business.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tables set forth selected condensed consolidated statements of operations data and such data as a percentage of revenue for each of the periods indicated:</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8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540" w:type="dxa"/>
            <w:vAlign w:val="bottom"/>
          </w:tcPr>
          <w:p>
            <w:pPr>
              <w:spacing w:after="0"/>
              <w:rPr>
                <w:sz w:val="16"/>
                <w:szCs w:val="16"/>
                <w:color w:val="auto"/>
              </w:rPr>
            </w:pPr>
          </w:p>
        </w:tc>
        <w:tc>
          <w:tcPr>
            <w:tcW w:w="2840" w:type="dxa"/>
            <w:vAlign w:val="bottom"/>
            <w:gridSpan w:val="4"/>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r>
      <w:tr>
        <w:trPr>
          <w:trHeight w:val="23"/>
        </w:trPr>
        <w:tc>
          <w:tcPr>
            <w:tcW w:w="44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0"/>
        </w:trPr>
        <w:tc>
          <w:tcPr>
            <w:tcW w:w="44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9"/>
        </w:trPr>
        <w:tc>
          <w:tcPr>
            <w:tcW w:w="4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8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
        </w:trPr>
        <w:tc>
          <w:tcPr>
            <w:tcW w:w="4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1,101,899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1,050,756</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3,275,157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3,028,488</w:t>
            </w:r>
          </w:p>
        </w:tc>
      </w:tr>
      <w:tr>
        <w:trPr>
          <w:trHeight w:val="229"/>
        </w:trPr>
        <w:tc>
          <w:tcPr>
            <w:tcW w:w="440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Cost of revenue </w:t>
            </w:r>
            <w:r>
              <w:rPr>
                <w:rFonts w:ascii="Times New Roman" w:cs="Times New Roman" w:eastAsia="Times New Roman" w:hAnsi="Times New Roman"/>
                <w:sz w:val="23"/>
                <w:szCs w:val="23"/>
                <w:color w:val="auto"/>
                <w:vertAlign w:val="superscript"/>
              </w:rPr>
              <w:t>(1)</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270,665</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270,957</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806,097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797,207</w:t>
            </w:r>
          </w:p>
        </w:tc>
      </w:tr>
      <w:tr>
        <w:trPr>
          <w:trHeight w:val="223"/>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831,234</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779,799</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2,469,060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2,231,281</w:t>
            </w:r>
          </w:p>
        </w:tc>
      </w:tr>
      <w:tr>
        <w:trPr>
          <w:trHeight w:val="20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440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Research and development </w:t>
            </w:r>
            <w:r>
              <w:rPr>
                <w:rFonts w:ascii="Times New Roman" w:cs="Times New Roman" w:eastAsia="Times New Roman" w:hAnsi="Times New Roman"/>
                <w:sz w:val="23"/>
                <w:szCs w:val="23"/>
                <w:color w:val="auto"/>
                <w:vertAlign w:val="superscript"/>
              </w:rPr>
              <w:t>(1)</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195,946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98,508</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512,801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245,994</w:t>
            </w:r>
          </w:p>
        </w:tc>
      </w:tr>
      <w:tr>
        <w:trPr>
          <w:trHeight w:val="229"/>
        </w:trPr>
        <w:tc>
          <w:tcPr>
            <w:tcW w:w="440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Sales and marketing </w:t>
            </w:r>
            <w:r>
              <w:rPr>
                <w:rFonts w:ascii="Times New Roman" w:cs="Times New Roman" w:eastAsia="Times New Roman" w:hAnsi="Times New Roman"/>
                <w:sz w:val="23"/>
                <w:szCs w:val="23"/>
                <w:color w:val="auto"/>
                <w:vertAlign w:val="superscript"/>
              </w:rPr>
              <w:t>(1)</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427,747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293,698</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1,191,004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810,544</w:t>
            </w:r>
          </w:p>
        </w:tc>
      </w:tr>
      <w:tr>
        <w:trPr>
          <w:trHeight w:val="229"/>
        </w:trPr>
        <w:tc>
          <w:tcPr>
            <w:tcW w:w="440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General and administrative </w:t>
            </w:r>
            <w:r>
              <w:rPr>
                <w:rFonts w:ascii="Times New Roman" w:cs="Times New Roman" w:eastAsia="Times New Roman" w:hAnsi="Times New Roman"/>
                <w:sz w:val="23"/>
                <w:szCs w:val="23"/>
                <w:color w:val="auto"/>
                <w:vertAlign w:val="superscript"/>
              </w:rPr>
              <w:t>(1)</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141,033</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96,736</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389,939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362,971</w:t>
            </w:r>
          </w:p>
        </w:tc>
      </w:tr>
      <w:tr>
        <w:trPr>
          <w:trHeight w:val="223"/>
        </w:trPr>
        <w:tc>
          <w:tcPr>
            <w:tcW w:w="44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764,726</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488,942</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2,093,744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1,419,509</w:t>
            </w:r>
          </w:p>
        </w:tc>
      </w:tr>
      <w:tr>
        <w:trPr>
          <w:trHeight w:val="223"/>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66,508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290,857</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375,316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811,772</w:t>
            </w:r>
          </w:p>
        </w:tc>
      </w:tr>
      <w:tr>
        <w:trPr>
          <w:trHeight w:val="22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(Losses) gains on strategic investments, net</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122,421</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(78,014)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154,497</w:t>
            </w: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(4,861)</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(2,995)</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(3,171)</w:t>
            </w:r>
          </w:p>
        </w:tc>
      </w:tr>
      <w:tr>
        <w:trPr>
          <w:trHeight w:val="223"/>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54,749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410,283</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288,820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963,098</w:t>
            </w: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6,396</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69,900</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81,059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78,100</w:t>
            </w:r>
          </w:p>
        </w:tc>
      </w:tr>
      <w:tr>
        <w:trPr>
          <w:trHeight w:val="223"/>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48,353</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340,383</w:t>
            </w:r>
          </w:p>
        </w:tc>
        <w:tc>
          <w:tcPr>
            <w:tcW w:w="8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207,761</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884,998</w:t>
            </w:r>
          </w:p>
        </w:tc>
      </w:tr>
      <w:tr>
        <w:trPr>
          <w:trHeight w:val="20"/>
        </w:trPr>
        <w:tc>
          <w:tcPr>
            <w:tcW w:w="4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left="200" w:hanging="174"/>
        <w:spacing w:after="0"/>
        <w:tabs>
          <w:tab w:leader="none" w:pos="200"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stock-based compensation expense as follows: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4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780" w:type="dxa"/>
            <w:vAlign w:val="bottom"/>
            <w:shd w:val="clear" w:color="auto" w:fill="CFF0FC"/>
          </w:tcPr>
          <w:p>
            <w:pPr>
              <w:jc w:val="right"/>
              <w:ind w:right="599"/>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41,449</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17,206</w:t>
            </w: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109,776</w:t>
            </w: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46,050</w:t>
            </w:r>
          </w:p>
        </w:tc>
      </w:tr>
      <w:tr>
        <w:trPr>
          <w:trHeight w:val="230"/>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780" w:type="dxa"/>
            <w:vAlign w:val="bottom"/>
          </w:tcPr>
          <w:p>
            <w:pPr>
              <w:spacing w:after="0"/>
              <w:rPr>
                <w:sz w:val="19"/>
                <w:szCs w:val="19"/>
                <w:color w:val="auto"/>
              </w:rPr>
            </w:pP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83,202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27,879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208,654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71,615</w:t>
            </w:r>
          </w:p>
        </w:tc>
      </w:tr>
      <w:tr>
        <w:trPr>
          <w:trHeight w:val="230"/>
        </w:trPr>
        <w:tc>
          <w:tcPr>
            <w:tcW w:w="44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780" w:type="dxa"/>
            <w:vAlign w:val="bottom"/>
            <w:shd w:val="clear" w:color="auto" w:fill="CFF0FC"/>
          </w:tcPr>
          <w:p>
            <w:pPr>
              <w:spacing w:after="0"/>
              <w:rPr>
                <w:sz w:val="19"/>
                <w:szCs w:val="19"/>
                <w:color w:val="auto"/>
              </w:rPr>
            </w:pPr>
          </w:p>
        </w:tc>
        <w:tc>
          <w:tcPr>
            <w:tcW w:w="8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125,144</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54,220</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329,100</w:t>
            </w: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156,888</w:t>
            </w:r>
          </w:p>
        </w:tc>
      </w:tr>
      <w:tr>
        <w:trPr>
          <w:trHeight w:val="229"/>
        </w:trPr>
        <w:tc>
          <w:tcPr>
            <w:tcW w:w="4400" w:type="dxa"/>
            <w:vAlign w:val="bottom"/>
            <w:tcBorders>
              <w:bottom w:val="single" w:sz="8" w:color="CFF0FC"/>
            </w:tcBorders>
            <w:gridSpan w:val="2"/>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53,020</w:t>
            </w:r>
          </w:p>
        </w:tc>
        <w:tc>
          <w:tcPr>
            <w:tcW w:w="1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15,496</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120,163</w:t>
            </w: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41,359</w:t>
            </w:r>
          </w:p>
        </w:tc>
      </w:tr>
      <w:tr>
        <w:trPr>
          <w:trHeight w:val="248"/>
        </w:trPr>
        <w:tc>
          <w:tcPr>
            <w:tcW w:w="4400" w:type="dxa"/>
            <w:vAlign w:val="bottom"/>
            <w:tcBorders>
              <w:bottom w:val="single" w:sz="8" w:color="CFF0FC"/>
            </w:tcBorders>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780" w:type="dxa"/>
            <w:vAlign w:val="bottom"/>
            <w:tcBorders>
              <w:bottom w:val="single" w:sz="8" w:color="auto"/>
            </w:tcBorders>
            <w:shd w:val="clear" w:color="auto" w:fill="CFF0FC"/>
          </w:tcPr>
          <w:p>
            <w:pPr>
              <w:jc w:val="right"/>
              <w:ind w:right="599"/>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302,815</w:t>
            </w: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114,801</w:t>
            </w:r>
          </w:p>
        </w:tc>
        <w:tc>
          <w:tcPr>
            <w:tcW w:w="40" w:type="dxa"/>
            <w:vAlign w:val="bottom"/>
            <w:tcBorders>
              <w:bottom w:val="single" w:sz="8" w:color="auto"/>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767,693</w:t>
            </w:r>
          </w:p>
        </w:tc>
        <w:tc>
          <w:tcPr>
            <w:tcW w:w="60" w:type="dxa"/>
            <w:vAlign w:val="bottom"/>
            <w:tcBorders>
              <w:bottom w:val="single" w:sz="8" w:color="auto"/>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315,912</w:t>
            </w:r>
          </w:p>
        </w:tc>
      </w:tr>
      <w:tr>
        <w:trPr>
          <w:trHeight w:val="20"/>
        </w:trPr>
        <w:tc>
          <w:tcPr>
            <w:tcW w:w="41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40" w:type="dxa"/>
            <w:vAlign w:val="bottom"/>
            <w:tcBorders>
              <w:top w:val="single" w:sz="8" w:color="CFF0FC"/>
              <w:bottom w:val="single" w:sz="8" w:color="auto"/>
            </w:tcBorders>
            <w:gridSpan w:val="2"/>
          </w:tcPr>
          <w:p>
            <w:pPr>
              <w:spacing w:after="0" w:line="20" w:lineRule="exact"/>
              <w:rPr>
                <w:sz w:val="1"/>
                <w:szCs w:val="1"/>
                <w:color w:val="auto"/>
              </w:rPr>
            </w:pPr>
          </w:p>
        </w:tc>
        <w:tc>
          <w:tcPr>
            <w:tcW w:w="10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500" w:type="dxa"/>
            <w:vAlign w:val="bottom"/>
            <w:tcBorders>
              <w:top w:val="single" w:sz="8" w:color="CFF0FC"/>
              <w:bottom w:val="single" w:sz="8" w:color="auto"/>
            </w:tcBorders>
            <w:gridSpan w:val="2"/>
          </w:tcPr>
          <w:p>
            <w:pPr>
              <w:spacing w:after="0" w:line="20" w:lineRule="exact"/>
              <w:rPr>
                <w:sz w:val="1"/>
                <w:szCs w:val="1"/>
                <w:color w:val="auto"/>
              </w:rPr>
            </w:pPr>
          </w:p>
        </w:tc>
        <w:tc>
          <w:tcPr>
            <w:tcW w:w="100" w:type="dxa"/>
            <w:vAlign w:val="bottom"/>
            <w:tcBorders>
              <w:top w:val="single" w:sz="8" w:color="CFF0FC"/>
              <w:bottom w:val="single" w:sz="8" w:color="auto"/>
            </w:tcBorders>
          </w:tcPr>
          <w:p>
            <w:pPr>
              <w:spacing w:after="0" w:line="20" w:lineRule="exact"/>
              <w:rPr>
                <w:sz w:val="1"/>
                <w:szCs w:val="1"/>
                <w:color w:val="auto"/>
              </w:rPr>
            </w:pPr>
          </w:p>
        </w:tc>
        <w:tc>
          <w:tcPr>
            <w:tcW w:w="4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220" w:type="dxa"/>
            <w:vAlign w:val="bottom"/>
            <w:tcBorders>
              <w:top w:val="single" w:sz="8" w:color="CFF0FC"/>
              <w:bottom w:val="single" w:sz="8" w:color="auto"/>
            </w:tcBorders>
          </w:tcPr>
          <w:p>
            <w:pPr>
              <w:spacing w:after="0" w:line="20" w:lineRule="exact"/>
              <w:rPr>
                <w:sz w:val="1"/>
                <w:szCs w:val="1"/>
                <w:color w:val="auto"/>
              </w:rPr>
            </w:pPr>
          </w:p>
        </w:tc>
        <w:tc>
          <w:tcPr>
            <w:tcW w:w="60" w:type="dxa"/>
            <w:vAlign w:val="bottom"/>
            <w:tcBorders>
              <w:top w:val="single" w:sz="8" w:color="CFF0FC"/>
              <w:bottom w:val="single" w:sz="8" w:color="auto"/>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640" w:type="dxa"/>
            <w:vAlign w:val="bottom"/>
            <w:tcBorders>
              <w:top w:val="single" w:sz="8" w:color="CFF0FC"/>
              <w:bottom w:val="single" w:sz="8" w:color="auto"/>
            </w:tcBorders>
            <w:gridSpan w:val="2"/>
          </w:tcPr>
          <w:p>
            <w:pPr>
              <w:spacing w:after="0" w:line="20" w:lineRule="exact"/>
              <w:rPr>
                <w:sz w:val="1"/>
                <w:szCs w:val="1"/>
                <w:color w:val="auto"/>
              </w:rPr>
            </w:pPr>
          </w:p>
        </w:tc>
      </w:tr>
      <w:tr>
        <w:trPr>
          <w:trHeight w:val="626"/>
        </w:trPr>
        <w:tc>
          <w:tcPr>
            <w:tcW w:w="4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60" w:type="dxa"/>
            <w:vAlign w:val="bottom"/>
            <w:gridSpan w:val="10"/>
          </w:tcPr>
          <w:p>
            <w:pPr>
              <w:ind w:left="46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360" w:type="dxa"/>
            <w:vAlign w:val="bottom"/>
          </w:tcPr>
          <w:p>
            <w:pPr>
              <w:spacing w:after="0"/>
              <w:rPr>
                <w:sz w:val="24"/>
                <w:szCs w:val="24"/>
                <w:color w:val="auto"/>
              </w:rPr>
            </w:pPr>
          </w:p>
        </w:tc>
        <w:tc>
          <w:tcPr>
            <w:tcW w:w="3020" w:type="dxa"/>
            <w:vAlign w:val="bottom"/>
            <w:gridSpan w:val="6"/>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r>
      <w:tr>
        <w:trPr>
          <w:trHeight w:val="23"/>
        </w:trPr>
        <w:tc>
          <w:tcPr>
            <w:tcW w:w="4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0"/>
        </w:trPr>
        <w:tc>
          <w:tcPr>
            <w:tcW w:w="4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9"/>
        </w:trPr>
        <w:tc>
          <w:tcPr>
            <w:tcW w:w="4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160" w:type="dxa"/>
            <w:vAlign w:val="bottom"/>
            <w:gridSpan w:val="9"/>
          </w:tcPr>
          <w:p>
            <w:pPr>
              <w:ind w:left="400"/>
              <w:spacing w:after="0"/>
              <w:rPr>
                <w:sz w:val="20"/>
                <w:szCs w:val="20"/>
                <w:color w:val="auto"/>
              </w:rPr>
            </w:pPr>
            <w:r>
              <w:rPr>
                <w:rFonts w:ascii="Times New Roman" w:cs="Times New Roman" w:eastAsia="Times New Roman" w:hAnsi="Times New Roman"/>
                <w:sz w:val="14"/>
                <w:szCs w:val="14"/>
                <w:b w:val="1"/>
                <w:bCs w:val="1"/>
                <w:color w:val="auto"/>
              </w:rPr>
              <w:t>(as a percentage of revenue)</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
        </w:trPr>
        <w:tc>
          <w:tcPr>
            <w:tcW w:w="4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0"/>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7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29"/>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780" w:type="dxa"/>
            <w:vAlign w:val="bottom"/>
          </w:tcPr>
          <w:p>
            <w:pPr>
              <w:spacing w:after="0"/>
              <w:rPr>
                <w:sz w:val="19"/>
                <w:szCs w:val="19"/>
                <w:color w:val="auto"/>
              </w:rPr>
            </w:pP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24.6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26.3</w:t>
            </w:r>
          </w:p>
        </w:tc>
      </w:tr>
      <w:tr>
        <w:trPr>
          <w:trHeight w:val="223"/>
        </w:trPr>
        <w:tc>
          <w:tcPr>
            <w:tcW w:w="4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75.4</w:t>
            </w:r>
          </w:p>
        </w:tc>
        <w:tc>
          <w:tcPr>
            <w:tcW w:w="1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74.2</w:t>
            </w:r>
          </w:p>
        </w:tc>
        <w:tc>
          <w:tcPr>
            <w:tcW w:w="10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75.4</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73.7</w:t>
            </w:r>
          </w:p>
        </w:tc>
      </w:tr>
      <w:tr>
        <w:trPr>
          <w:trHeight w:val="209"/>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4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7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15.7</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8.1</w:t>
            </w:r>
          </w:p>
        </w:tc>
      </w:tr>
      <w:tr>
        <w:trPr>
          <w:trHeight w:val="230"/>
        </w:trPr>
        <w:tc>
          <w:tcPr>
            <w:tcW w:w="4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Sales and marketing</w:t>
            </w:r>
          </w:p>
        </w:tc>
        <w:tc>
          <w:tcPr>
            <w:tcW w:w="780" w:type="dxa"/>
            <w:vAlign w:val="bottom"/>
          </w:tcPr>
          <w:p>
            <w:pPr>
              <w:spacing w:after="0"/>
              <w:rPr>
                <w:sz w:val="19"/>
                <w:szCs w:val="19"/>
                <w:color w:val="auto"/>
              </w:rPr>
            </w:pP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36.4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26.8</w:t>
            </w:r>
          </w:p>
        </w:tc>
      </w:tr>
      <w:tr>
        <w:trPr>
          <w:trHeight w:val="230"/>
        </w:trPr>
        <w:tc>
          <w:tcPr>
            <w:tcW w:w="4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11.8</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12.0</w:t>
            </w:r>
          </w:p>
        </w:tc>
      </w:tr>
      <w:tr>
        <w:trPr>
          <w:trHeight w:val="223"/>
        </w:trPr>
        <w:tc>
          <w:tcPr>
            <w:tcW w:w="41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69.4</w:t>
            </w:r>
          </w:p>
        </w:tc>
        <w:tc>
          <w:tcPr>
            <w:tcW w:w="100" w:type="dxa"/>
            <w:vAlign w:val="bottom"/>
            <w:tcBorders>
              <w:bottom w:val="single" w:sz="8" w:color="CCEEFF"/>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tcBorders>
              <w:bottom w:val="single" w:sz="8" w:color="CCEEFF"/>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63.9</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46.9</w:t>
            </w:r>
          </w:p>
        </w:tc>
      </w:tr>
      <w:tr>
        <w:trPr>
          <w:trHeight w:val="223"/>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11.5</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26.8</w:t>
            </w:r>
          </w:p>
        </w:tc>
      </w:tr>
      <w:tr>
        <w:trPr>
          <w:trHeight w:val="230"/>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(Losses) gains on strategic investments, net</w:t>
            </w:r>
          </w:p>
        </w:tc>
        <w:tc>
          <w:tcPr>
            <w:tcW w:w="780" w:type="dxa"/>
            <w:vAlign w:val="bottom"/>
          </w:tcPr>
          <w:p>
            <w:pPr>
              <w:spacing w:after="0"/>
              <w:rPr>
                <w:sz w:val="19"/>
                <w:szCs w:val="19"/>
                <w:color w:val="auto"/>
              </w:rPr>
            </w:pPr>
          </w:p>
        </w:tc>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5.1</w:t>
            </w:r>
          </w:p>
        </w:tc>
      </w:tr>
      <w:tr>
        <w:trPr>
          <w:trHeight w:val="229"/>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7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(0.3)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2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8.8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31.8</w:t>
            </w:r>
          </w:p>
        </w:tc>
      </w:tr>
      <w:tr>
        <w:trPr>
          <w:trHeight w:val="229"/>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2.5</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2.6</w:t>
            </w:r>
          </w:p>
        </w:tc>
      </w:tr>
      <w:tr>
        <w:trPr>
          <w:trHeight w:val="223"/>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7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32.3 %</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29.2 %</w:t>
            </w:r>
          </w:p>
        </w:tc>
      </w:tr>
      <w:tr>
        <w:trPr>
          <w:trHeight w:val="20"/>
        </w:trPr>
        <w:tc>
          <w:tcPr>
            <w:tcW w:w="4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844"/>
        </w:trPr>
        <w:tc>
          <w:tcPr>
            <w:tcW w:w="4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15"/>
        </w:trPr>
        <w:tc>
          <w:tcPr>
            <w:tcW w:w="41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October 31, 2022 and 2021</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80" w:type="dxa"/>
            <w:vAlign w:val="bottom"/>
            <w:gridSpan w:val="6"/>
          </w:tcPr>
          <w:p>
            <w:pPr>
              <w:ind w:left="94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1200" w:type="dxa"/>
            <w:vAlign w:val="bottom"/>
          </w:tcPr>
          <w:p>
            <w:pPr>
              <w:spacing w:after="0"/>
              <w:rPr>
                <w:sz w:val="16"/>
                <w:szCs w:val="16"/>
                <w:color w:val="auto"/>
              </w:rPr>
            </w:pPr>
          </w:p>
        </w:tc>
      </w:tr>
      <w:tr>
        <w:trPr>
          <w:trHeight w:val="23"/>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66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9"/>
        </w:trPr>
        <w:tc>
          <w:tcPr>
            <w:tcW w:w="6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8"/>
                <w:szCs w:val="18"/>
                <w:color w:val="auto"/>
              </w:rPr>
              <w:t>1,101,899</w:t>
            </w: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1,050,756</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4.9 %</w:t>
            </w:r>
          </w:p>
        </w:tc>
      </w:tr>
    </w:tbl>
    <w:p>
      <w:pPr>
        <w:spacing w:after="0" w:line="63" w:lineRule="exact"/>
        <w:rPr>
          <w:sz w:val="20"/>
          <w:szCs w:val="20"/>
          <w:color w:val="auto"/>
        </w:rPr>
      </w:pPr>
    </w:p>
    <w:p>
      <w:pPr>
        <w:ind w:right="80" w:firstLine="486"/>
        <w:spacing w:after="0"/>
        <w:rPr>
          <w:sz w:val="20"/>
          <w:szCs w:val="20"/>
          <w:color w:val="auto"/>
        </w:rPr>
      </w:pPr>
      <w:r>
        <w:rPr>
          <w:rFonts w:ascii="Times New Roman" w:cs="Times New Roman" w:eastAsia="Times New Roman" w:hAnsi="Times New Roman"/>
          <w:sz w:val="18"/>
          <w:szCs w:val="18"/>
          <w:color w:val="231F20"/>
        </w:rPr>
        <w:t xml:space="preserve">Revenue for the three months ended October 31, 2022 increased by $51.1 million, or 4.9%, compared to the three months ended October 31, 2021. The </w:t>
      </w:r>
      <w:r>
        <w:rPr>
          <w:rFonts w:ascii="Times New Roman" w:cs="Times New Roman" w:eastAsia="Times New Roman" w:hAnsi="Times New Roman"/>
          <w:sz w:val="18"/>
          <w:szCs w:val="18"/>
          <w:color w:val="000000"/>
        </w:rPr>
        <w:t>increase in revenue was due to a 20% increase in revenue from subscription services provided to Enterprise customers, of which 74% and 26% were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from existing and new customers, respectively. This increase was partially offset by a 9% decline in revenue from subscription services provided to Online customers.</w:t>
      </w:r>
    </w:p>
    <w:p>
      <w:pPr>
        <w:spacing w:after="0" w:line="1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4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1240" w:type="dxa"/>
            <w:vAlign w:val="bottom"/>
          </w:tcPr>
          <w:p>
            <w:pPr>
              <w:spacing w:after="0"/>
              <w:rPr>
                <w:sz w:val="16"/>
                <w:szCs w:val="16"/>
                <w:color w:val="auto"/>
              </w:rPr>
            </w:pPr>
          </w:p>
        </w:tc>
      </w:tr>
      <w:tr>
        <w:trPr>
          <w:trHeight w:val="23"/>
        </w:trPr>
        <w:tc>
          <w:tcPr>
            <w:tcW w:w="64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0"/>
        </w:trPr>
        <w:tc>
          <w:tcPr>
            <w:tcW w:w="64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9"/>
        </w:trPr>
        <w:tc>
          <w:tcPr>
            <w:tcW w:w="6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8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
        </w:trPr>
        <w:tc>
          <w:tcPr>
            <w:tcW w:w="6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0"/>
        </w:trPr>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270,665</w:t>
            </w:r>
          </w:p>
        </w:tc>
        <w:tc>
          <w:tcPr>
            <w:tcW w:w="800" w:type="dxa"/>
            <w:vAlign w:val="bottom"/>
            <w:gridSpan w:val="3"/>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8"/>
                <w:szCs w:val="18"/>
                <w:color w:val="auto"/>
              </w:rPr>
              <w:t>270,957</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831,234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779,799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6.6 %</w:t>
            </w:r>
          </w:p>
        </w:tc>
      </w:tr>
      <w:tr>
        <w:trPr>
          <w:trHeight w:val="229"/>
        </w:trPr>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75.4 %</w:t>
            </w: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74.2 %</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r>
    </w:tbl>
    <w:p>
      <w:pPr>
        <w:spacing w:after="0" w:line="29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231F20"/>
        </w:rPr>
        <w:t xml:space="preserve">Cost of revenue for the three months ended October 31, 2022 decreased by $0.3 million, or 0.1%, compared to the three months ended October 31, 2021. The decrease was primarily due to a decrease of $48.0 million in costs mainly driven by the net impact of the transition from third-party cloud hosting to internal data centers and cloud optimization offset by an increase of $35.9 million in personnel-related expenses, which includes an increase of $24.2 million </w:t>
      </w:r>
      <w:r>
        <w:rPr>
          <w:rFonts w:ascii="Times New Roman" w:cs="Times New Roman" w:eastAsia="Times New Roman" w:hAnsi="Times New Roman"/>
          <w:sz w:val="18"/>
          <w:szCs w:val="18"/>
          <w:color w:val="000000"/>
        </w:rPr>
        <w:t>in stock-based compensation expense,</w:t>
      </w:r>
      <w:r>
        <w:rPr>
          <w:rFonts w:ascii="Times New Roman" w:cs="Times New Roman" w:eastAsia="Times New Roman" w:hAnsi="Times New Roman"/>
          <w:sz w:val="18"/>
          <w:szCs w:val="18"/>
          <w:color w:val="231F20"/>
        </w:rPr>
        <w:t xml:space="preserve"> mainly driven by additional headcount and expanded equity programs, and </w:t>
      </w:r>
      <w:r>
        <w:rPr>
          <w:rFonts w:ascii="Times New Roman" w:cs="Times New Roman" w:eastAsia="Times New Roman" w:hAnsi="Times New Roman"/>
          <w:sz w:val="18"/>
          <w:szCs w:val="18"/>
          <w:color w:val="000000"/>
        </w:rPr>
        <w:t>an increase of</w:t>
      </w:r>
      <w:r>
        <w:rPr>
          <w:rFonts w:ascii="Times New Roman" w:cs="Times New Roman" w:eastAsia="Times New Roman" w:hAnsi="Times New Roman"/>
          <w:sz w:val="18"/>
          <w:szCs w:val="18"/>
          <w:color w:val="231F20"/>
        </w:rPr>
        <w:t xml:space="preserve"> $6.6 million related to subscription to software-based services.</w:t>
      </w:r>
    </w:p>
    <w:p>
      <w:pPr>
        <w:spacing w:after="0" w:line="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 xml:space="preserve">Gross margin increased to 75.4% for the three months ended </w:t>
      </w:r>
      <w:r>
        <w:rPr>
          <w:rFonts w:ascii="Times New Roman" w:cs="Times New Roman" w:eastAsia="Times New Roman" w:hAnsi="Times New Roman"/>
          <w:sz w:val="18"/>
          <w:szCs w:val="18"/>
          <w:color w:val="231F20"/>
        </w:rPr>
        <w:t>October 31, 2022</w:t>
      </w:r>
      <w:r>
        <w:rPr>
          <w:rFonts w:ascii="Times New Roman" w:cs="Times New Roman" w:eastAsia="Times New Roman" w:hAnsi="Times New Roman"/>
          <w:sz w:val="18"/>
          <w:szCs w:val="18"/>
          <w:color w:val="auto"/>
        </w:rPr>
        <w:t xml:space="preserve"> from 74.2% for the three months ended </w:t>
      </w:r>
      <w:r>
        <w:rPr>
          <w:rFonts w:ascii="Times New Roman" w:cs="Times New Roman" w:eastAsia="Times New Roman" w:hAnsi="Times New Roman"/>
          <w:sz w:val="18"/>
          <w:szCs w:val="18"/>
          <w:color w:val="231F20"/>
        </w:rPr>
        <w:t>October 31, 2021</w:t>
      </w:r>
      <w:r>
        <w:rPr>
          <w:rFonts w:ascii="Times New Roman" w:cs="Times New Roman" w:eastAsia="Times New Roman" w:hAnsi="Times New Roman"/>
          <w:sz w:val="18"/>
          <w:szCs w:val="18"/>
          <w:color w:val="auto"/>
        </w:rPr>
        <w:t>. The increase in gross margin was mainly due to increased efficiencies as we expanded our internal data center capacity.</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80" w:type="dxa"/>
            <w:vAlign w:val="bottom"/>
            <w:gridSpan w:val="6"/>
          </w:tcPr>
          <w:p>
            <w:pPr>
              <w:ind w:left="94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1200" w:type="dxa"/>
            <w:vAlign w:val="bottom"/>
          </w:tcPr>
          <w:p>
            <w:pPr>
              <w:spacing w:after="0"/>
              <w:rPr>
                <w:sz w:val="16"/>
                <w:szCs w:val="16"/>
                <w:color w:val="auto"/>
              </w:rPr>
            </w:pPr>
          </w:p>
        </w:tc>
      </w:tr>
      <w:tr>
        <w:trPr>
          <w:trHeight w:val="23"/>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66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9"/>
        </w:trPr>
        <w:tc>
          <w:tcPr>
            <w:tcW w:w="6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8"/>
                <w:szCs w:val="18"/>
                <w:color w:val="auto"/>
              </w:rPr>
              <w:t>195,946</w:t>
            </w: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98,508</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98.9 %</w:t>
            </w:r>
          </w:p>
        </w:tc>
      </w:tr>
    </w:tbl>
    <w:p>
      <w:pPr>
        <w:spacing w:after="0" w:line="29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231F20"/>
        </w:rPr>
        <w:t xml:space="preserve">Research and development expense for the three months ended October 31, 2022 increased by $97.4 million, or 98.9%, compared to the three months ended October 31, 2021. </w:t>
      </w:r>
      <w:r>
        <w:rPr>
          <w:rFonts w:ascii="Times New Roman" w:cs="Times New Roman" w:eastAsia="Times New Roman" w:hAnsi="Times New Roman"/>
          <w:sz w:val="18"/>
          <w:szCs w:val="18"/>
          <w:color w:val="000000"/>
        </w:rPr>
        <w:t>The increase was primarily due to higher personnel-related expenses of</w:t>
      </w:r>
      <w:r>
        <w:rPr>
          <w:rFonts w:ascii="Times New Roman" w:cs="Times New Roman" w:eastAsia="Times New Roman" w:hAnsi="Times New Roman"/>
          <w:sz w:val="18"/>
          <w:szCs w:val="18"/>
          <w:color w:val="231F20"/>
        </w:rPr>
        <w:t xml:space="preserve"> $92.8 million, which includes </w:t>
      </w:r>
      <w:r>
        <w:rPr>
          <w:rFonts w:ascii="Times New Roman" w:cs="Times New Roman" w:eastAsia="Times New Roman" w:hAnsi="Times New Roman"/>
          <w:sz w:val="18"/>
          <w:szCs w:val="18"/>
          <w:color w:val="000000"/>
        </w:rPr>
        <w:t>a</w:t>
      </w:r>
      <w:r>
        <w:rPr>
          <w:rFonts w:ascii="Times New Roman" w:cs="Times New Roman" w:eastAsia="Times New Roman" w:hAnsi="Times New Roman"/>
          <w:sz w:val="18"/>
          <w:szCs w:val="18"/>
          <w:color w:val="231F20"/>
        </w:rPr>
        <w:t xml:space="preserve"> $55.3 million </w:t>
      </w:r>
      <w:r>
        <w:rPr>
          <w:rFonts w:ascii="Times New Roman" w:cs="Times New Roman" w:eastAsia="Times New Roman" w:hAnsi="Times New Roman"/>
          <w:sz w:val="18"/>
          <w:szCs w:val="18"/>
          <w:color w:val="000000"/>
        </w:rPr>
        <w:t xml:space="preserve">increase in stock-based compensation expense, mainly driven by additional headcount </w:t>
      </w:r>
      <w:r>
        <w:rPr>
          <w:rFonts w:ascii="Times New Roman" w:cs="Times New Roman" w:eastAsia="Times New Roman" w:hAnsi="Times New Roman"/>
          <w:sz w:val="18"/>
          <w:szCs w:val="18"/>
          <w:color w:val="231F20"/>
        </w:rPr>
        <w:t>and expanded equity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80" w:type="dxa"/>
            <w:vAlign w:val="bottom"/>
            <w:gridSpan w:val="6"/>
          </w:tcPr>
          <w:p>
            <w:pPr>
              <w:ind w:left="94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1200" w:type="dxa"/>
            <w:vAlign w:val="bottom"/>
          </w:tcPr>
          <w:p>
            <w:pPr>
              <w:spacing w:after="0"/>
              <w:rPr>
                <w:sz w:val="16"/>
                <w:szCs w:val="16"/>
                <w:color w:val="auto"/>
              </w:rPr>
            </w:pPr>
          </w:p>
        </w:tc>
      </w:tr>
      <w:tr>
        <w:trPr>
          <w:trHeight w:val="23"/>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66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9"/>
        </w:trPr>
        <w:tc>
          <w:tcPr>
            <w:tcW w:w="6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0"/>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8"/>
                <w:szCs w:val="18"/>
                <w:color w:val="auto"/>
              </w:rPr>
              <w:t>427,747</w:t>
            </w: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293,698</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45.6 %</w:t>
            </w:r>
          </w:p>
        </w:tc>
      </w:tr>
    </w:tbl>
    <w:p>
      <w:pPr>
        <w:spacing w:after="0" w:line="29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231F20"/>
        </w:rPr>
        <w:t xml:space="preserve">Sales and marketing expense for the three months ended October 31, 2022 increased by $134.0 million, or 45.6%, compared to the three months ended October 31, 2021. The increase in sales and marketing expense was primarily due to higher personnel-related expenses of $107.6 million, </w:t>
      </w:r>
      <w:r>
        <w:rPr>
          <w:rFonts w:ascii="Times New Roman" w:cs="Times New Roman" w:eastAsia="Times New Roman" w:hAnsi="Times New Roman"/>
          <w:sz w:val="18"/>
          <w:szCs w:val="18"/>
          <w:color w:val="000000"/>
        </w:rPr>
        <w:t>mainly</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driven by additional headcount </w:t>
      </w:r>
      <w:r>
        <w:rPr>
          <w:rFonts w:ascii="Times New Roman" w:cs="Times New Roman" w:eastAsia="Times New Roman" w:hAnsi="Times New Roman"/>
          <w:sz w:val="18"/>
          <w:szCs w:val="18"/>
          <w:color w:val="231F20"/>
        </w:rPr>
        <w:t>and expanded equity programs, which includes a $70.9 million</w:t>
      </w:r>
      <w:r>
        <w:rPr>
          <w:rFonts w:ascii="Times New Roman" w:cs="Times New Roman" w:eastAsia="Times New Roman" w:hAnsi="Times New Roman"/>
          <w:sz w:val="18"/>
          <w:szCs w:val="18"/>
          <w:color w:val="000000"/>
        </w:rPr>
        <w:t xml:space="preserve"> increase in stock-based compensation expense and </w:t>
      </w:r>
      <w:r>
        <w:rPr>
          <w:rFonts w:ascii="Times New Roman" w:cs="Times New Roman" w:eastAsia="Times New Roman" w:hAnsi="Times New Roman"/>
          <w:sz w:val="18"/>
          <w:szCs w:val="18"/>
          <w:color w:val="231F20"/>
        </w:rPr>
        <w:t>a</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 xml:space="preserve">$20.8 million increase in amortization of deferred contract acquisition costs driven by our increase in revenue. </w:t>
      </w:r>
      <w:r>
        <w:rPr>
          <w:rFonts w:ascii="Times New Roman" w:cs="Times New Roman" w:eastAsia="Times New Roman" w:hAnsi="Times New Roman"/>
          <w:sz w:val="18"/>
          <w:szCs w:val="18"/>
          <w:color w:val="000000"/>
        </w:rPr>
        <w:t>The remaining increase was primarily due to</w:t>
      </w:r>
      <w:r>
        <w:rPr>
          <w:rFonts w:ascii="Times New Roman" w:cs="Times New Roman" w:eastAsia="Times New Roman" w:hAnsi="Times New Roman"/>
          <w:sz w:val="18"/>
          <w:szCs w:val="18"/>
          <w:color w:val="231F20"/>
        </w:rPr>
        <w:t xml:space="preserve"> an increase of $15.6 million in marketing and sales event-related costs, mainly due to an increase in social media programs and international marketing.</w:t>
      </w:r>
    </w:p>
    <w:p>
      <w:pPr>
        <w:spacing w:after="0" w:line="1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80" w:type="dxa"/>
            <w:vAlign w:val="bottom"/>
            <w:gridSpan w:val="6"/>
          </w:tcPr>
          <w:p>
            <w:pPr>
              <w:ind w:left="94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1200" w:type="dxa"/>
            <w:vAlign w:val="bottom"/>
          </w:tcPr>
          <w:p>
            <w:pPr>
              <w:spacing w:after="0"/>
              <w:rPr>
                <w:sz w:val="16"/>
                <w:szCs w:val="16"/>
                <w:color w:val="auto"/>
              </w:rPr>
            </w:pPr>
          </w:p>
        </w:tc>
      </w:tr>
      <w:tr>
        <w:trPr>
          <w:trHeight w:val="23"/>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66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9"/>
        </w:trPr>
        <w:tc>
          <w:tcPr>
            <w:tcW w:w="6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8"/>
                <w:szCs w:val="18"/>
                <w:color w:val="auto"/>
              </w:rPr>
              <w:t>141,033</w:t>
            </w: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96,736</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45.8 %</w:t>
            </w:r>
          </w:p>
        </w:tc>
      </w:tr>
    </w:tbl>
    <w:p>
      <w:pPr>
        <w:spacing w:after="0" w:line="27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231F20"/>
        </w:rPr>
        <w:t xml:space="preserve">General and administrative expense for the three months ended October 31, 2022 increased by $44.3 million, or 45.8%, compared to the three months ended October 31, 2021. The increase in general and administrative expense was primarily </w:t>
      </w:r>
      <w:r>
        <w:rPr>
          <w:rFonts w:ascii="Times New Roman" w:cs="Times New Roman" w:eastAsia="Times New Roman" w:hAnsi="Times New Roman"/>
          <w:sz w:val="18"/>
          <w:szCs w:val="18"/>
          <w:color w:val="000000"/>
        </w:rPr>
        <w:t>due to an increase of</w:t>
      </w:r>
      <w:r>
        <w:rPr>
          <w:rFonts w:ascii="Times New Roman" w:cs="Times New Roman" w:eastAsia="Times New Roman" w:hAnsi="Times New Roman"/>
          <w:sz w:val="18"/>
          <w:szCs w:val="18"/>
          <w:color w:val="231F20"/>
        </w:rPr>
        <w:t xml:space="preserve"> $47.8 million </w:t>
      </w:r>
      <w:r>
        <w:rPr>
          <w:rFonts w:ascii="Times New Roman" w:cs="Times New Roman" w:eastAsia="Times New Roman" w:hAnsi="Times New Roman"/>
          <w:sz w:val="18"/>
          <w:szCs w:val="18"/>
          <w:color w:val="000000"/>
        </w:rPr>
        <w:t>in personnel-related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expenses, </w:t>
      </w:r>
      <w:r>
        <w:rPr>
          <w:rFonts w:ascii="Times New Roman" w:cs="Times New Roman" w:eastAsia="Times New Roman" w:hAnsi="Times New Roman"/>
          <w:sz w:val="18"/>
          <w:szCs w:val="18"/>
          <w:color w:val="231F20"/>
        </w:rPr>
        <w:t>which includes a $37.5 million</w:t>
      </w:r>
      <w:r>
        <w:rPr>
          <w:rFonts w:ascii="Times New Roman" w:cs="Times New Roman" w:eastAsia="Times New Roman" w:hAnsi="Times New Roman"/>
          <w:sz w:val="18"/>
          <w:szCs w:val="18"/>
          <w:color w:val="000000"/>
        </w:rPr>
        <w:t xml:space="preserve"> increase in stock-based compensation expense, mainly driven by additional headcount </w:t>
      </w:r>
      <w:r>
        <w:rPr>
          <w:rFonts w:ascii="Times New Roman" w:cs="Times New Roman" w:eastAsia="Times New Roman" w:hAnsi="Times New Roman"/>
          <w:sz w:val="18"/>
          <w:szCs w:val="18"/>
          <w:color w:val="231F20"/>
        </w:rPr>
        <w:t>and expanded equity</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programs.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(Losses) Gains on Strategic Investments, Net</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560" w:type="dxa"/>
            <w:vAlign w:val="bottom"/>
            <w:gridSpan w:val="6"/>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1200" w:type="dxa"/>
            <w:vAlign w:val="bottom"/>
          </w:tcPr>
          <w:p>
            <w:pPr>
              <w:spacing w:after="0"/>
              <w:rPr>
                <w:sz w:val="16"/>
                <w:szCs w:val="16"/>
                <w:color w:val="auto"/>
              </w:rPr>
            </w:pPr>
          </w:p>
        </w:tc>
      </w:tr>
      <w:tr>
        <w:trPr>
          <w:trHeight w:val="23"/>
        </w:trPr>
        <w:tc>
          <w:tcPr>
            <w:tcW w:w="66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660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9"/>
        </w:trPr>
        <w:tc>
          <w:tcPr>
            <w:tcW w:w="66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4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
        </w:trPr>
        <w:tc>
          <w:tcPr>
            <w:tcW w:w="66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0"/>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(Losses) gains on strategic investments, net</w:t>
            </w:r>
          </w:p>
        </w:tc>
        <w:tc>
          <w:tcPr>
            <w:tcW w:w="860" w:type="dxa"/>
            <w:vAlign w:val="bottom"/>
            <w:shd w:val="clear" w:color="auto" w:fill="CFF0FC"/>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(6,898)</w:t>
            </w: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122,421</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(105.6)%</w:t>
            </w:r>
          </w:p>
        </w:tc>
      </w:tr>
    </w:tbl>
    <w:p>
      <w:pPr>
        <w:spacing w:after="0" w:line="29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231F20"/>
        </w:rPr>
        <w:t>Losses on strategic investments, net recognized during the three months ended October 31, 2022 was mainly driven by $7.5 million unrealized losses recognized on our publicly traded equity securities, while gains on strategic investments, net, of $122.4 million recognized during the three months ended October 31, 2021 was driven by unrealized gains recognized on our publicly traded equity securities.</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560" w:type="dxa"/>
            <w:vAlign w:val="bottom"/>
            <w:gridSpan w:val="6"/>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1200" w:type="dxa"/>
            <w:vAlign w:val="bottom"/>
          </w:tcPr>
          <w:p>
            <w:pPr>
              <w:spacing w:after="0"/>
              <w:rPr>
                <w:sz w:val="16"/>
                <w:szCs w:val="16"/>
                <w:color w:val="auto"/>
              </w:rPr>
            </w:pPr>
          </w:p>
        </w:tc>
      </w:tr>
      <w:tr>
        <w:trPr>
          <w:trHeight w:val="23"/>
        </w:trPr>
        <w:tc>
          <w:tcPr>
            <w:tcW w:w="66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660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9"/>
        </w:trPr>
        <w:tc>
          <w:tcPr>
            <w:tcW w:w="66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4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
        </w:trPr>
        <w:tc>
          <w:tcPr>
            <w:tcW w:w="66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0"/>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860" w:type="dxa"/>
            <w:vAlign w:val="bottom"/>
            <w:shd w:val="clear" w:color="auto" w:fill="CFF0FC"/>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(4,861)</w:t>
            </w: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(2,995)</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62.3 %</w:t>
            </w:r>
          </w:p>
        </w:tc>
      </w:tr>
    </w:tbl>
    <w:p>
      <w:pPr>
        <w:spacing w:after="0" w:line="292" w:lineRule="exact"/>
        <w:rPr>
          <w:sz w:val="20"/>
          <w:szCs w:val="20"/>
          <w:color w:val="auto"/>
        </w:rPr>
      </w:pPr>
    </w:p>
    <w:p>
      <w:pPr>
        <w:jc w:val="both"/>
        <w:ind w:firstLine="486"/>
        <w:spacing w:after="0" w:line="263" w:lineRule="auto"/>
        <w:rPr>
          <w:sz w:val="20"/>
          <w:szCs w:val="20"/>
          <w:color w:val="auto"/>
        </w:rPr>
      </w:pPr>
      <w:r>
        <w:rPr>
          <w:rFonts w:ascii="Times New Roman" w:cs="Times New Roman" w:eastAsia="Times New Roman" w:hAnsi="Times New Roman"/>
          <w:sz w:val="18"/>
          <w:szCs w:val="18"/>
          <w:color w:val="231F20"/>
        </w:rPr>
        <w:t>Other expense, net for the three months ended October 31, 2022 increased by $1.9 million, or 62.3%, compared to the three months ended October 31, 2021. The increase was primarily due to a loss of $16.4 million related to changes in foreign currency exchange rates, partially offset by $7.6 million net accretion on our investments in marketable securities and $6.9 million interest income earned from our investments in marketable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520" w:type="dxa"/>
            <w:vAlign w:val="bottom"/>
            <w:gridSpan w:val="6"/>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1200" w:type="dxa"/>
            <w:vAlign w:val="bottom"/>
          </w:tcPr>
          <w:p>
            <w:pPr>
              <w:spacing w:after="0"/>
              <w:rPr>
                <w:sz w:val="16"/>
                <w:szCs w:val="16"/>
                <w:color w:val="auto"/>
              </w:rPr>
            </w:pPr>
          </w:p>
        </w:tc>
      </w:tr>
      <w:tr>
        <w:trPr>
          <w:trHeight w:val="23"/>
        </w:trPr>
        <w:tc>
          <w:tcPr>
            <w:tcW w:w="66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662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9"/>
        </w:trPr>
        <w:tc>
          <w:tcPr>
            <w:tcW w:w="6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
        </w:trPr>
        <w:tc>
          <w:tcPr>
            <w:tcW w:w="6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0"/>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00" w:type="dxa"/>
            <w:vAlign w:val="bottom"/>
            <w:shd w:val="clear" w:color="auto" w:fill="CFF0FC"/>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8"/>
                <w:szCs w:val="18"/>
                <w:color w:val="auto"/>
              </w:rPr>
              <w:t>6,396</w:t>
            </w: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69,900</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(90.8)%</w:t>
            </w:r>
          </w:p>
        </w:tc>
      </w:tr>
    </w:tbl>
    <w:p>
      <w:pPr>
        <w:spacing w:after="0" w:line="63"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 xml:space="preserve">Provision for income taxes for the three months ended October 31, 2022 decreased by $63.5 million, or 90.8%, compared to the three months ended October 31, 2021. The change was </w:t>
      </w:r>
      <w:r>
        <w:rPr>
          <w:rFonts w:ascii="Times New Roman" w:cs="Times New Roman" w:eastAsia="Times New Roman" w:hAnsi="Times New Roman"/>
          <w:sz w:val="18"/>
          <w:szCs w:val="18"/>
          <w:color w:val="231F20"/>
        </w:rPr>
        <w:t>due</w:t>
      </w:r>
      <w:r>
        <w:rPr>
          <w:rFonts w:ascii="Times New Roman" w:cs="Times New Roman" w:eastAsia="Times New Roman" w:hAnsi="Times New Roman"/>
          <w:sz w:val="18"/>
          <w:szCs w:val="18"/>
          <w:color w:val="auto"/>
        </w:rPr>
        <w:t xml:space="preserve"> primarily to the foreign-derived intangible income deduction for the three months ended October 31, 2022.</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October 31, 2022 and 2021</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60" w:type="dxa"/>
            <w:vAlign w:val="bottom"/>
            <w:gridSpan w:val="6"/>
          </w:tcPr>
          <w:p>
            <w:pPr>
              <w:ind w:left="980"/>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1220" w:type="dxa"/>
            <w:vAlign w:val="bottom"/>
          </w:tcPr>
          <w:p>
            <w:pPr>
              <w:spacing w:after="0"/>
              <w:rPr>
                <w:sz w:val="16"/>
                <w:szCs w:val="16"/>
                <w:color w:val="auto"/>
              </w:rPr>
            </w:pPr>
          </w:p>
        </w:tc>
      </w:tr>
      <w:tr>
        <w:trPr>
          <w:trHeight w:val="23"/>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0"/>
        </w:trPr>
        <w:tc>
          <w:tcPr>
            <w:tcW w:w="66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9"/>
        </w:trPr>
        <w:tc>
          <w:tcPr>
            <w:tcW w:w="6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8"/>
                <w:szCs w:val="18"/>
                <w:color w:val="auto"/>
              </w:rPr>
              <w:t>3,275,157</w:t>
            </w: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3,028,488</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8.1 %</w:t>
            </w:r>
          </w:p>
        </w:tc>
      </w:tr>
    </w:tbl>
    <w:p>
      <w:pPr>
        <w:spacing w:after="0" w:line="27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231F20"/>
        </w:rPr>
        <w:t xml:space="preserve">Revenue for the nine months ended October 31, 2022 increased by $246.7 million, or 8.1%, compared to the nine months ended October 31, 2021. The </w:t>
      </w:r>
      <w:r>
        <w:rPr>
          <w:rFonts w:ascii="Times New Roman" w:cs="Times New Roman" w:eastAsia="Times New Roman" w:hAnsi="Times New Roman"/>
          <w:sz w:val="18"/>
          <w:szCs w:val="18"/>
          <w:color w:val="000000"/>
        </w:rPr>
        <w:t>increase in revenue was due to a 26% increase in revenue from subscription services provided to Enterprise customers, of which 84% and 16% were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from existing and new customers, respectively. This increase was partially offset by a 7% decline in revenue from subscription services provided to Online customers.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2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1260" w:type="dxa"/>
            <w:vAlign w:val="bottom"/>
          </w:tcPr>
          <w:p>
            <w:pPr>
              <w:spacing w:after="0"/>
              <w:rPr>
                <w:sz w:val="16"/>
                <w:szCs w:val="16"/>
                <w:color w:val="auto"/>
              </w:rPr>
            </w:pPr>
          </w:p>
        </w:tc>
      </w:tr>
      <w:tr>
        <w:trPr>
          <w:trHeight w:val="23"/>
        </w:trPr>
        <w:tc>
          <w:tcPr>
            <w:tcW w:w="6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0"/>
        </w:trPr>
        <w:tc>
          <w:tcPr>
            <w:tcW w:w="6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9"/>
        </w:trPr>
        <w:tc>
          <w:tcPr>
            <w:tcW w:w="6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
        </w:trPr>
        <w:tc>
          <w:tcPr>
            <w:tcW w:w="6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0"/>
        </w:trPr>
        <w:tc>
          <w:tcPr>
            <w:tcW w:w="6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806,097</w:t>
            </w:r>
          </w:p>
        </w:tc>
        <w:tc>
          <w:tcPr>
            <w:tcW w:w="780" w:type="dxa"/>
            <w:vAlign w:val="bottom"/>
            <w:gridSpan w:val="3"/>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8"/>
                <w:szCs w:val="18"/>
                <w:color w:val="auto"/>
              </w:rPr>
              <w:t>797,207</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2,469,060</w:t>
            </w:r>
          </w:p>
        </w:tc>
        <w:tc>
          <w:tcPr>
            <w:tcW w:w="78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2,231,281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10.7 %</w:t>
            </w:r>
          </w:p>
        </w:tc>
      </w:tr>
      <w:tr>
        <w:trPr>
          <w:trHeight w:val="230"/>
        </w:trPr>
        <w:tc>
          <w:tcPr>
            <w:tcW w:w="6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75.4 %</w:t>
            </w: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73.7 %</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r>
    </w:tbl>
    <w:p>
      <w:pPr>
        <w:spacing w:after="0" w:line="29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231F20"/>
        </w:rPr>
        <w:t xml:space="preserve">Cost of revenue for the nine months ended October 31, 2022 increased by $8.9 million, or 1.1%, compared to the nine months ended October 31, 2021. The increase </w:t>
      </w:r>
      <w:r>
        <w:rPr>
          <w:rFonts w:ascii="Times New Roman" w:cs="Times New Roman" w:eastAsia="Times New Roman" w:hAnsi="Times New Roman"/>
          <w:sz w:val="18"/>
          <w:szCs w:val="18"/>
          <w:color w:val="000000"/>
        </w:rPr>
        <w:t>was primarily due to</w:t>
      </w:r>
      <w:r>
        <w:rPr>
          <w:rFonts w:ascii="Times New Roman" w:cs="Times New Roman" w:eastAsia="Times New Roman" w:hAnsi="Times New Roman"/>
          <w:sz w:val="18"/>
          <w:szCs w:val="18"/>
          <w:color w:val="231F20"/>
        </w:rPr>
        <w:t xml:space="preserve"> an increase of $98.6 million in personnel-related expenses, which includes an increase of $63.7 million </w:t>
      </w:r>
      <w:r>
        <w:rPr>
          <w:rFonts w:ascii="Times New Roman" w:cs="Times New Roman" w:eastAsia="Times New Roman" w:hAnsi="Times New Roman"/>
          <w:sz w:val="18"/>
          <w:szCs w:val="18"/>
          <w:color w:val="000000"/>
        </w:rPr>
        <w:t xml:space="preserve">in stock-based compensation expense, </w:t>
      </w:r>
      <w:r>
        <w:rPr>
          <w:rFonts w:ascii="Times New Roman" w:cs="Times New Roman" w:eastAsia="Times New Roman" w:hAnsi="Times New Roman"/>
          <w:sz w:val="18"/>
          <w:szCs w:val="18"/>
          <w:color w:val="231F20"/>
        </w:rPr>
        <w:t>mainly driven by additional headcount and expanded equity programs,</w:t>
      </w:r>
      <w:r>
        <w:rPr>
          <w:rFonts w:ascii="Times New Roman" w:cs="Times New Roman" w:eastAsia="Times New Roman" w:hAnsi="Times New Roman"/>
          <w:sz w:val="18"/>
          <w:szCs w:val="18"/>
          <w:color w:val="000000"/>
        </w:rPr>
        <w:t xml:space="preserve"> an increase of </w:t>
      </w:r>
      <w:r>
        <w:rPr>
          <w:rFonts w:ascii="Times New Roman" w:cs="Times New Roman" w:eastAsia="Times New Roman" w:hAnsi="Times New Roman"/>
          <w:sz w:val="18"/>
          <w:szCs w:val="18"/>
          <w:color w:val="231F20"/>
        </w:rPr>
        <w:t>$25.0 million related to subscription to</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 xml:space="preserve">software-based services and </w:t>
      </w:r>
      <w:r>
        <w:rPr>
          <w:rFonts w:ascii="Times New Roman" w:cs="Times New Roman" w:eastAsia="Times New Roman" w:hAnsi="Times New Roman"/>
          <w:sz w:val="18"/>
          <w:szCs w:val="18"/>
          <w:color w:val="000000"/>
        </w:rPr>
        <w:t>an increase in allocated overhead of</w:t>
      </w:r>
      <w:r>
        <w:rPr>
          <w:rFonts w:ascii="Times New Roman" w:cs="Times New Roman" w:eastAsia="Times New Roman" w:hAnsi="Times New Roman"/>
          <w:sz w:val="18"/>
          <w:szCs w:val="18"/>
          <w:color w:val="231F20"/>
        </w:rPr>
        <w:t xml:space="preserve"> $5.8 million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 xml:space="preserve"> partially offset by a decrease of $125.8 million in costs mainly driven by the net impact of the transition from third-party cloud hosting to internal data centers and cloud optimization.</w:t>
      </w:r>
    </w:p>
    <w:p>
      <w:pPr>
        <w:spacing w:after="0" w:line="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 xml:space="preserve">Gross margin increased to 75.4% for the nine months ended </w:t>
      </w:r>
      <w:r>
        <w:rPr>
          <w:rFonts w:ascii="Times New Roman" w:cs="Times New Roman" w:eastAsia="Times New Roman" w:hAnsi="Times New Roman"/>
          <w:sz w:val="18"/>
          <w:szCs w:val="18"/>
          <w:color w:val="231F20"/>
        </w:rPr>
        <w:t>October 31, 2022</w:t>
      </w:r>
      <w:r>
        <w:rPr>
          <w:rFonts w:ascii="Times New Roman" w:cs="Times New Roman" w:eastAsia="Times New Roman" w:hAnsi="Times New Roman"/>
          <w:sz w:val="18"/>
          <w:szCs w:val="18"/>
          <w:color w:val="auto"/>
        </w:rPr>
        <w:t xml:space="preserve"> from 73.7% for the nine months ended </w:t>
      </w:r>
      <w:r>
        <w:rPr>
          <w:rFonts w:ascii="Times New Roman" w:cs="Times New Roman" w:eastAsia="Times New Roman" w:hAnsi="Times New Roman"/>
          <w:sz w:val="18"/>
          <w:szCs w:val="18"/>
          <w:color w:val="231F20"/>
        </w:rPr>
        <w:t>October 31, 2021</w:t>
      </w:r>
      <w:r>
        <w:rPr>
          <w:rFonts w:ascii="Times New Roman" w:cs="Times New Roman" w:eastAsia="Times New Roman" w:hAnsi="Times New Roman"/>
          <w:sz w:val="18"/>
          <w:szCs w:val="18"/>
          <w:color w:val="auto"/>
        </w:rPr>
        <w:t>. The increase in gross margin was mainly due to increased efficiencies as we expanded our internal data center capacity.</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60" w:type="dxa"/>
            <w:vAlign w:val="bottom"/>
            <w:gridSpan w:val="6"/>
          </w:tcPr>
          <w:p>
            <w:pPr>
              <w:ind w:left="980"/>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1220" w:type="dxa"/>
            <w:vAlign w:val="bottom"/>
          </w:tcPr>
          <w:p>
            <w:pPr>
              <w:spacing w:after="0"/>
              <w:rPr>
                <w:sz w:val="16"/>
                <w:szCs w:val="16"/>
                <w:color w:val="auto"/>
              </w:rPr>
            </w:pPr>
          </w:p>
        </w:tc>
      </w:tr>
      <w:tr>
        <w:trPr>
          <w:trHeight w:val="23"/>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0"/>
        </w:trPr>
        <w:tc>
          <w:tcPr>
            <w:tcW w:w="66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9"/>
        </w:trPr>
        <w:tc>
          <w:tcPr>
            <w:tcW w:w="6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0"/>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8"/>
                <w:szCs w:val="18"/>
                <w:color w:val="auto"/>
              </w:rPr>
              <w:t>512,801</w:t>
            </w: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245,994</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108.5 %</w:t>
            </w:r>
          </w:p>
        </w:tc>
      </w:tr>
    </w:tbl>
    <w:p>
      <w:pPr>
        <w:spacing w:after="0" w:line="27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231F20"/>
        </w:rPr>
        <w:t xml:space="preserve">Research and development expense for the nine months ended October 31, 2022 increased by $266.8 million, or 108.5%, compared to the nine months ended October 31, 2021. </w:t>
      </w:r>
      <w:r>
        <w:rPr>
          <w:rFonts w:ascii="Times New Roman" w:cs="Times New Roman" w:eastAsia="Times New Roman" w:hAnsi="Times New Roman"/>
          <w:sz w:val="18"/>
          <w:szCs w:val="18"/>
          <w:color w:val="000000"/>
        </w:rPr>
        <w:t>The increase was primarily due to higher personnel-related expenses of</w:t>
      </w:r>
      <w:r>
        <w:rPr>
          <w:rFonts w:ascii="Times New Roman" w:cs="Times New Roman" w:eastAsia="Times New Roman" w:hAnsi="Times New Roman"/>
          <w:sz w:val="18"/>
          <w:szCs w:val="18"/>
          <w:color w:val="231F20"/>
        </w:rPr>
        <w:t xml:space="preserve"> $248.4 million, which includes </w:t>
      </w:r>
      <w:r>
        <w:rPr>
          <w:rFonts w:ascii="Times New Roman" w:cs="Times New Roman" w:eastAsia="Times New Roman" w:hAnsi="Times New Roman"/>
          <w:sz w:val="18"/>
          <w:szCs w:val="18"/>
          <w:color w:val="000000"/>
        </w:rPr>
        <w:t>a</w:t>
      </w:r>
      <w:r>
        <w:rPr>
          <w:rFonts w:ascii="Times New Roman" w:cs="Times New Roman" w:eastAsia="Times New Roman" w:hAnsi="Times New Roman"/>
          <w:sz w:val="18"/>
          <w:szCs w:val="18"/>
          <w:color w:val="231F20"/>
        </w:rPr>
        <w:t xml:space="preserve"> $137.0 million </w:t>
      </w:r>
      <w:r>
        <w:rPr>
          <w:rFonts w:ascii="Times New Roman" w:cs="Times New Roman" w:eastAsia="Times New Roman" w:hAnsi="Times New Roman"/>
          <w:sz w:val="18"/>
          <w:szCs w:val="18"/>
          <w:color w:val="000000"/>
        </w:rPr>
        <w:t xml:space="preserve">increase in stock-based compensation expense, mainly driven by additional headcount and </w:t>
      </w:r>
      <w:r>
        <w:rPr>
          <w:rFonts w:ascii="Times New Roman" w:cs="Times New Roman" w:eastAsia="Times New Roman" w:hAnsi="Times New Roman"/>
          <w:sz w:val="18"/>
          <w:szCs w:val="18"/>
          <w:color w:val="231F20"/>
        </w:rPr>
        <w:t>expanded equity programs, and</w:t>
      </w:r>
      <w:r>
        <w:rPr>
          <w:rFonts w:ascii="Times New Roman" w:cs="Times New Roman" w:eastAsia="Times New Roman" w:hAnsi="Times New Roman"/>
          <w:sz w:val="18"/>
          <w:szCs w:val="18"/>
          <w:color w:val="000000"/>
        </w:rPr>
        <w:t xml:space="preserve"> an increase in allocated overhead of </w:t>
      </w:r>
      <w:r>
        <w:rPr>
          <w:rFonts w:ascii="Times New Roman" w:cs="Times New Roman" w:eastAsia="Times New Roman" w:hAnsi="Times New Roman"/>
          <w:sz w:val="18"/>
          <w:szCs w:val="18"/>
          <w:color w:val="231F20"/>
        </w:rPr>
        <w:t>$15.6 million.</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60" w:type="dxa"/>
            <w:vAlign w:val="bottom"/>
            <w:gridSpan w:val="6"/>
          </w:tcPr>
          <w:p>
            <w:pPr>
              <w:ind w:left="980"/>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1220" w:type="dxa"/>
            <w:vAlign w:val="bottom"/>
          </w:tcPr>
          <w:p>
            <w:pPr>
              <w:spacing w:after="0"/>
              <w:rPr>
                <w:sz w:val="16"/>
                <w:szCs w:val="16"/>
                <w:color w:val="auto"/>
              </w:rPr>
            </w:pPr>
          </w:p>
        </w:tc>
      </w:tr>
      <w:tr>
        <w:trPr>
          <w:trHeight w:val="23"/>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0"/>
        </w:trPr>
        <w:tc>
          <w:tcPr>
            <w:tcW w:w="66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9"/>
        </w:trPr>
        <w:tc>
          <w:tcPr>
            <w:tcW w:w="6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0"/>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8"/>
                <w:szCs w:val="18"/>
                <w:color w:val="auto"/>
              </w:rPr>
              <w:t>1,191,004</w:t>
            </w: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810,544</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46.9 %</w:t>
            </w:r>
          </w:p>
        </w:tc>
      </w:tr>
    </w:tbl>
    <w:p>
      <w:pPr>
        <w:spacing w:after="0" w:line="29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231F20"/>
        </w:rPr>
        <w:t xml:space="preserve">Sales and marketing expense for the nine months ended October 31, 2022 increased by $380.5 million, or 46.9%, compared to the nine months ended October 31, 2021. The increase in sales and marketing expense was primarily due to higher personnel-related expenses of $285.7 million, mainly driven by additional headcount and expanded equity programs, which includes a $172.2 million </w:t>
      </w:r>
      <w:r>
        <w:rPr>
          <w:rFonts w:ascii="Times New Roman" w:cs="Times New Roman" w:eastAsia="Times New Roman" w:hAnsi="Times New Roman"/>
          <w:sz w:val="18"/>
          <w:szCs w:val="18"/>
          <w:color w:val="000000"/>
        </w:rPr>
        <w:t>increase in stock-based compensation expense and</w:t>
      </w:r>
      <w:r>
        <w:rPr>
          <w:rFonts w:ascii="Times New Roman" w:cs="Times New Roman" w:eastAsia="Times New Roman" w:hAnsi="Times New Roman"/>
          <w:sz w:val="18"/>
          <w:szCs w:val="18"/>
          <w:color w:val="231F20"/>
        </w:rPr>
        <w:t xml:space="preserve"> a $60.9 million increase in amortization of deferred contract acquisition costs. </w:t>
      </w:r>
      <w:r>
        <w:rPr>
          <w:rFonts w:ascii="Times New Roman" w:cs="Times New Roman" w:eastAsia="Times New Roman" w:hAnsi="Times New Roman"/>
          <w:sz w:val="18"/>
          <w:szCs w:val="18"/>
          <w:color w:val="000000"/>
        </w:rPr>
        <w:t>The remaining increase was primarily due to</w:t>
      </w:r>
      <w:r>
        <w:rPr>
          <w:rFonts w:ascii="Times New Roman" w:cs="Times New Roman" w:eastAsia="Times New Roman" w:hAnsi="Times New Roman"/>
          <w:sz w:val="18"/>
          <w:szCs w:val="18"/>
          <w:color w:val="231F20"/>
        </w:rPr>
        <w:t xml:space="preserve"> an increase of $68.6 million in marketing and sales event-related costs, mainly due to an increase in digital and social media programs, and </w:t>
      </w:r>
      <w:r>
        <w:rPr>
          <w:rFonts w:ascii="Times New Roman" w:cs="Times New Roman" w:eastAsia="Times New Roman" w:hAnsi="Times New Roman"/>
          <w:sz w:val="18"/>
          <w:szCs w:val="18"/>
          <w:color w:val="000000"/>
        </w:rPr>
        <w:t>an increase in allocated overhead of</w:t>
      </w:r>
      <w:r>
        <w:rPr>
          <w:rFonts w:ascii="Times New Roman" w:cs="Times New Roman" w:eastAsia="Times New Roman" w:hAnsi="Times New Roman"/>
          <w:sz w:val="18"/>
          <w:szCs w:val="18"/>
          <w:color w:val="231F20"/>
        </w:rPr>
        <w:t xml:space="preserve"> $9.7 million.</w:t>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60" w:type="dxa"/>
            <w:vAlign w:val="bottom"/>
            <w:gridSpan w:val="6"/>
          </w:tcPr>
          <w:p>
            <w:pPr>
              <w:ind w:left="980"/>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1220" w:type="dxa"/>
            <w:vAlign w:val="bottom"/>
          </w:tcPr>
          <w:p>
            <w:pPr>
              <w:spacing w:after="0"/>
              <w:rPr>
                <w:sz w:val="16"/>
                <w:szCs w:val="16"/>
                <w:color w:val="auto"/>
              </w:rPr>
            </w:pPr>
          </w:p>
        </w:tc>
      </w:tr>
      <w:tr>
        <w:trPr>
          <w:trHeight w:val="23"/>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0"/>
        </w:trPr>
        <w:tc>
          <w:tcPr>
            <w:tcW w:w="66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9"/>
        </w:trPr>
        <w:tc>
          <w:tcPr>
            <w:tcW w:w="6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8"/>
                <w:szCs w:val="18"/>
                <w:color w:val="auto"/>
              </w:rPr>
              <w:t>389,939</w:t>
            </w: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362,971</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7.4 %</w:t>
            </w:r>
          </w:p>
        </w:tc>
      </w:tr>
    </w:tbl>
    <w:p>
      <w:pPr>
        <w:spacing w:after="0" w:line="27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231F20"/>
        </w:rPr>
        <w:t xml:space="preserve">General and administrative expense for the nine months ended October 31, 2022 increased by $27.0 million, or 7.4%, compared to the nine months ended October 31, 2021. The increase in general and administrative expense was primarily </w:t>
      </w:r>
      <w:r>
        <w:rPr>
          <w:rFonts w:ascii="Times New Roman" w:cs="Times New Roman" w:eastAsia="Times New Roman" w:hAnsi="Times New Roman"/>
          <w:sz w:val="18"/>
          <w:szCs w:val="18"/>
          <w:color w:val="000000"/>
        </w:rPr>
        <w:t>due to an increase of</w:t>
      </w:r>
      <w:r>
        <w:rPr>
          <w:rFonts w:ascii="Times New Roman" w:cs="Times New Roman" w:eastAsia="Times New Roman" w:hAnsi="Times New Roman"/>
          <w:sz w:val="18"/>
          <w:szCs w:val="18"/>
          <w:color w:val="231F20"/>
        </w:rPr>
        <w:t xml:space="preserve"> $113.6 million </w:t>
      </w:r>
      <w:r>
        <w:rPr>
          <w:rFonts w:ascii="Times New Roman" w:cs="Times New Roman" w:eastAsia="Times New Roman" w:hAnsi="Times New Roman"/>
          <w:sz w:val="18"/>
          <w:szCs w:val="18"/>
          <w:color w:val="000000"/>
        </w:rPr>
        <w:t>in personnel-related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expenses, </w:t>
      </w:r>
      <w:r>
        <w:rPr>
          <w:rFonts w:ascii="Times New Roman" w:cs="Times New Roman" w:eastAsia="Times New Roman" w:hAnsi="Times New Roman"/>
          <w:sz w:val="18"/>
          <w:szCs w:val="18"/>
          <w:color w:val="231F20"/>
        </w:rPr>
        <w:t>which includes a $78.8 million</w:t>
      </w:r>
      <w:r>
        <w:rPr>
          <w:rFonts w:ascii="Times New Roman" w:cs="Times New Roman" w:eastAsia="Times New Roman" w:hAnsi="Times New Roman"/>
          <w:sz w:val="18"/>
          <w:szCs w:val="18"/>
          <w:color w:val="000000"/>
        </w:rPr>
        <w:t xml:space="preserve"> increase in stock-based compensation expense, mainly driven by additional headcount </w:t>
      </w:r>
      <w:r>
        <w:rPr>
          <w:rFonts w:ascii="Times New Roman" w:cs="Times New Roman" w:eastAsia="Times New Roman" w:hAnsi="Times New Roman"/>
          <w:sz w:val="18"/>
          <w:szCs w:val="18"/>
          <w:color w:val="231F20"/>
        </w:rPr>
        <w:t>and expanded equity</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 xml:space="preserve">programs offset by a </w:t>
      </w:r>
      <w:r>
        <w:rPr>
          <w:rFonts w:ascii="Times New Roman" w:cs="Times New Roman" w:eastAsia="Times New Roman" w:hAnsi="Times New Roman"/>
          <w:sz w:val="18"/>
          <w:szCs w:val="18"/>
          <w:color w:val="000000"/>
        </w:rPr>
        <w:t>decrease of</w:t>
      </w:r>
      <w:r>
        <w:rPr>
          <w:rFonts w:ascii="Times New Roman" w:cs="Times New Roman" w:eastAsia="Times New Roman" w:hAnsi="Times New Roman"/>
          <w:sz w:val="18"/>
          <w:szCs w:val="18"/>
          <w:color w:val="231F20"/>
        </w:rPr>
        <w:t xml:space="preserve"> $71.1 million in prior year </w:t>
      </w:r>
      <w:r>
        <w:rPr>
          <w:rFonts w:ascii="Times New Roman" w:cs="Times New Roman" w:eastAsia="Times New Roman" w:hAnsi="Times New Roman"/>
          <w:sz w:val="18"/>
          <w:szCs w:val="18"/>
          <w:color w:val="000000"/>
        </w:rPr>
        <w:t>litigation settlement expense, net of amounts estimated to be covered by insurance, and a</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decrease of </w:t>
      </w:r>
      <w:r>
        <w:rPr>
          <w:rFonts w:ascii="Times New Roman" w:cs="Times New Roman" w:eastAsia="Times New Roman" w:hAnsi="Times New Roman"/>
          <w:sz w:val="18"/>
          <w:szCs w:val="18"/>
          <w:color w:val="231F20"/>
        </w:rPr>
        <w:t>$9.2 million</w:t>
      </w:r>
      <w:r>
        <w:rPr>
          <w:rFonts w:ascii="Times New Roman" w:cs="Times New Roman" w:eastAsia="Times New Roman" w:hAnsi="Times New Roman"/>
          <w:sz w:val="18"/>
          <w:szCs w:val="18"/>
          <w:color w:val="000000"/>
        </w:rPr>
        <w:t xml:space="preserve"> related to the settlement of a contingent liability for sales and other indirect tax in the current period.</w:t>
      </w:r>
    </w:p>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(Losses) Gains on Strategic Investments, Net</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60" w:type="dxa"/>
            <w:vAlign w:val="bottom"/>
            <w:gridSpan w:val="6"/>
          </w:tcPr>
          <w:p>
            <w:pPr>
              <w:ind w:left="980"/>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1220" w:type="dxa"/>
            <w:vAlign w:val="bottom"/>
          </w:tcPr>
          <w:p>
            <w:pPr>
              <w:spacing w:after="0"/>
              <w:rPr>
                <w:sz w:val="16"/>
                <w:szCs w:val="16"/>
                <w:color w:val="auto"/>
              </w:rPr>
            </w:pPr>
          </w:p>
        </w:tc>
      </w:tr>
      <w:tr>
        <w:trPr>
          <w:trHeight w:val="23"/>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0"/>
        </w:trPr>
        <w:tc>
          <w:tcPr>
            <w:tcW w:w="66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9"/>
        </w:trPr>
        <w:tc>
          <w:tcPr>
            <w:tcW w:w="6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0"/>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(Losses) gains on strategic investments, net</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(78,014)</w:t>
            </w: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154,497</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(150.5)%</w:t>
            </w:r>
          </w:p>
        </w:tc>
      </w:tr>
    </w:tbl>
    <w:p>
      <w:pPr>
        <w:spacing w:after="0" w:line="29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231F20"/>
        </w:rPr>
        <w:t>Losses on strategic investments, net recognized during the nine months ended October 31, 2022 was mainly driven by $76.4 million unrealized losses recognized on our publicly traded equity securities, while gains on strategic investments, net, of $154.5 million recognized during the nine months ended October 31, 2021 was driven by unrealized gains recognized on our publicly traded equity securities.</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540" w:type="dxa"/>
            <w:vAlign w:val="bottom"/>
            <w:gridSpan w:val="6"/>
          </w:tcPr>
          <w:p>
            <w:pPr>
              <w:ind w:left="460"/>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1220" w:type="dxa"/>
            <w:vAlign w:val="bottom"/>
          </w:tcPr>
          <w:p>
            <w:pPr>
              <w:spacing w:after="0"/>
              <w:rPr>
                <w:sz w:val="16"/>
                <w:szCs w:val="16"/>
                <w:color w:val="auto"/>
              </w:rPr>
            </w:pPr>
          </w:p>
        </w:tc>
      </w:tr>
      <w:tr>
        <w:trPr>
          <w:trHeight w:val="23"/>
        </w:trPr>
        <w:tc>
          <w:tcPr>
            <w:tcW w:w="66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0"/>
        </w:trPr>
        <w:tc>
          <w:tcPr>
            <w:tcW w:w="660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9"/>
        </w:trPr>
        <w:tc>
          <w:tcPr>
            <w:tcW w:w="66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4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
        </w:trPr>
        <w:tc>
          <w:tcPr>
            <w:tcW w:w="66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0"/>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860" w:type="dxa"/>
            <w:vAlign w:val="bottom"/>
            <w:shd w:val="clear" w:color="auto" w:fill="CFF0FC"/>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(8,482)</w:t>
            </w: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(3,171)</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167.5 %</w:t>
            </w:r>
          </w:p>
        </w:tc>
      </w:tr>
    </w:tbl>
    <w:p>
      <w:pPr>
        <w:spacing w:after="0" w:line="292" w:lineRule="exact"/>
        <w:rPr>
          <w:sz w:val="20"/>
          <w:szCs w:val="20"/>
          <w:color w:val="auto"/>
        </w:rPr>
      </w:pPr>
    </w:p>
    <w:p>
      <w:pPr>
        <w:jc w:val="both"/>
        <w:ind w:firstLine="486"/>
        <w:spacing w:after="0" w:line="263" w:lineRule="auto"/>
        <w:rPr>
          <w:sz w:val="20"/>
          <w:szCs w:val="20"/>
          <w:color w:val="auto"/>
        </w:rPr>
      </w:pPr>
      <w:r>
        <w:rPr>
          <w:rFonts w:ascii="Times New Roman" w:cs="Times New Roman" w:eastAsia="Times New Roman" w:hAnsi="Times New Roman"/>
          <w:sz w:val="18"/>
          <w:szCs w:val="18"/>
          <w:color w:val="231F20"/>
        </w:rPr>
        <w:t>Other expense, net for the nine months ended October 31, 2022 increased by $5.3 million, or 167.5%, compared to the nine months ended October 31, 2021. The increase was primarily attributable to a loss of $29.2 million related to changes in foreign currency exchange rates, partially offset by $14.1 million net accretion on our investments in marketable securities and $9.8 million interest income earned from our investments in marketable securities.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540" w:type="dxa"/>
            <w:vAlign w:val="bottom"/>
            <w:gridSpan w:val="6"/>
          </w:tcPr>
          <w:p>
            <w:pPr>
              <w:ind w:left="460"/>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1220" w:type="dxa"/>
            <w:vAlign w:val="bottom"/>
          </w:tcPr>
          <w:p>
            <w:pPr>
              <w:spacing w:after="0"/>
              <w:rPr>
                <w:sz w:val="16"/>
                <w:szCs w:val="16"/>
                <w:color w:val="auto"/>
              </w:rPr>
            </w:pPr>
          </w:p>
        </w:tc>
      </w:tr>
      <w:tr>
        <w:trPr>
          <w:trHeight w:val="23"/>
        </w:trPr>
        <w:tc>
          <w:tcPr>
            <w:tcW w:w="66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0"/>
        </w:trPr>
        <w:tc>
          <w:tcPr>
            <w:tcW w:w="662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9"/>
        </w:trPr>
        <w:tc>
          <w:tcPr>
            <w:tcW w:w="6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
        </w:trPr>
        <w:tc>
          <w:tcPr>
            <w:tcW w:w="6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0"/>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860" w:type="dxa"/>
            <w:vAlign w:val="bottom"/>
            <w:shd w:val="clear" w:color="auto" w:fill="CFF0FC"/>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8"/>
                <w:szCs w:val="18"/>
                <w:color w:val="auto"/>
                <w:w w:val="92"/>
              </w:rPr>
              <w:t>81,059</w:t>
            </w: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78,100</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3.8 %</w:t>
            </w:r>
          </w:p>
        </w:tc>
      </w:tr>
    </w:tbl>
    <w:p>
      <w:pPr>
        <w:spacing w:after="0" w:line="29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231F20"/>
        </w:rPr>
        <w:t xml:space="preserve">Provision for income taxes for the nine months ended October 31, 2022 increased by $3.0 million, or 3.8%, compared to the nine months ended October 31, 2021. The change was due </w:t>
      </w:r>
      <w:r>
        <w:rPr>
          <w:rFonts w:ascii="Times New Roman" w:cs="Times New Roman" w:eastAsia="Times New Roman" w:hAnsi="Times New Roman"/>
          <w:sz w:val="18"/>
          <w:szCs w:val="18"/>
          <w:color w:val="000000"/>
        </w:rPr>
        <w:t>primarily to tax shortfalls on stock-based compensation and other compensation-related permanent differences as of</w:t>
      </w:r>
      <w:r>
        <w:rPr>
          <w:rFonts w:ascii="Times New Roman" w:cs="Times New Roman" w:eastAsia="Times New Roman" w:hAnsi="Times New Roman"/>
          <w:sz w:val="18"/>
          <w:szCs w:val="18"/>
          <w:color w:val="231F20"/>
        </w:rPr>
        <w:t xml:space="preserve"> October 31, 2022 </w:t>
      </w:r>
      <w:r>
        <w:rPr>
          <w:rFonts w:ascii="Times New Roman" w:cs="Times New Roman" w:eastAsia="Times New Roman" w:hAnsi="Times New Roman"/>
          <w:sz w:val="18"/>
          <w:szCs w:val="18"/>
          <w:color w:val="000000"/>
        </w:rPr>
        <w:t>compared to tax windfalls on stock-based compensation and the full valuation allowance on the U.S. deferred tax assets as of October 31,</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2021, which was released in the fourth quarter of fiscal year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October 31, 2022, our principal sources of liquidity were cash, cash equivalents, and marketable securities of $5.2 billion, which were held for working capital purposes and for investment in growth opportunities. Our marketable securities generally consist of high-grade commercial paper, corporate bonds, agency bonds, corporate and other debt securities, U.S. government agency securities, and treasury bills.</w:t>
      </w:r>
    </w:p>
    <w:p>
      <w:pPr>
        <w:spacing w:after="0" w:line="68"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have financed our operations primarily through income from operations and sales of equity securities. Cash from operations could also be affected by various risks and uncertainties, including, but not limited to, the effects of the COVID-19 pandemic, including timing of cash collections from our customers and other risks detailed in the section titled “Risk Factors.” However, based on our current business plan and revenue prospects, we believe our existing cash, cash equivalents, and marketable securities, together with net cash provided by operations, will be sufficient to meet our needs for at least the next 12 months and allow us to capitalize on growth opportunities. We believe we will meet longer-term expected future cash requirements and obligations through a combination of cash flows from operating activities and available cash balances. Our future capital requirements will depend on many factors, including our revenue growth rate, subscription renewal activity, billing frequency, the timing and extent of spending to support further sales and marketing and research and development efforts, as well as expenses associated with our international expansion, and the timing and extent of additional capital expenditures to invest in existing and new office spaces as well as data center infrastructure. We may, in the future, enter into arrangements to acquire or invest in complementary businesses, services, and technologies, including intellectual property rights. We may choose or be required to seek additional equity or debt financing. In the event that additional financing is required from outside sources, we may not be able to raise it on terms acceptable to us or at all. If we are unable to raise additional capital when desired, our business, results of operations, and financial condition would be materially and adversely affected.</w:t>
      </w:r>
    </w:p>
    <w:p>
      <w:pPr>
        <w:spacing w:after="0" w:line="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have been no material changes to our material cash requirements from known contractual and other obligations from those disclosed in 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included in our Annual Report on Form 10-K for the year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31, 2022, filed with the SEC on March 7, 2022.</w:t>
      </w:r>
    </w:p>
    <w:p>
      <w:pPr>
        <w:spacing w:after="0" w:line="31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0" w:type="dxa"/>
            <w:vAlign w:val="bottom"/>
            <w:gridSpan w:val="4"/>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r>
      <w:tr>
        <w:trPr>
          <w:trHeight w:val="23"/>
        </w:trPr>
        <w:tc>
          <w:tcPr>
            <w:tcW w:w="78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78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9"/>
        </w:trPr>
        <w:tc>
          <w:tcPr>
            <w:tcW w:w="7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8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20" w:type="dxa"/>
            <w:vAlign w:val="bottom"/>
          </w:tcPr>
          <w:p>
            <w:pPr>
              <w:spacing w:after="0"/>
              <w:rPr>
                <w:sz w:val="19"/>
                <w:szCs w:val="19"/>
                <w:color w:val="auto"/>
              </w:rPr>
            </w:pPr>
          </w:p>
        </w:tc>
      </w:tr>
      <w:tr>
        <w:trPr>
          <w:trHeight w:val="23"/>
        </w:trPr>
        <w:tc>
          <w:tcPr>
            <w:tcW w:w="7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1,078,674</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1,395,870</w:t>
            </w:r>
          </w:p>
        </w:tc>
      </w:tr>
      <w:tr>
        <w:trPr>
          <w:trHeight w:val="23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(60,613)</w:t>
            </w:r>
          </w:p>
        </w:tc>
        <w:tc>
          <w:tcPr>
            <w:tcW w:w="12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(2,367,098)</w:t>
            </w: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(948,687)</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20,885</w:t>
            </w:r>
          </w:p>
        </w:tc>
      </w:tr>
    </w:tbl>
    <w:p>
      <w:pPr>
        <w:spacing w:after="0" w:line="3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largest source of operating cash is cash collections from our customers for subscriptions to our platform. Our primary uses of cash from operating activities are for employee-related expenditures, costs related to hosting our platform, and marketing expenses. Net cash provided by operating activities is impacted by our net income adjusted for certain non-cash items, such as stock-based compensation expense, depreciation and amortization expenses, as well as the effect of changes in operating assets and liabilities.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was $1,078.7 million for the nine months ended October 31, 2022, compared to $1,395.9 million for the nine months ended October 31, 2021. The decrease in operating cash flow was due to a decrease in net income of $677.2 million and the negative impact from changes in operating assets and liabilities of $452.2 million, offset by an increase in non-cash adjustments of $812.2 million, which is primarily a result of higher stock-based compensation expense, higher losses on strategic investments, net, and higher deferred contract acquisition cost amortization due to an increase in capitalized commissions as we continue to grow and expand our customer base.</w:t>
      </w:r>
    </w:p>
    <w:p>
      <w:pPr>
        <w:spacing w:after="0" w:line="1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of $60.6 million for the nine months ended October 31, 2022 was primarily due to net maturities of marketable securities of $210.8 million, offset by the cash paid for acquisition, net of cash acquired, of $120.6 million, purchases of strategic investments of $65.1 million, purchases of property and equipment of $75.6 million and purchases of intangible assets of $10.6 million.</w:t>
      </w:r>
    </w:p>
    <w:p>
      <w:pPr>
        <w:spacing w:after="0" w:line="6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of $2,367.1 million for the nine months ended October 31, 2021 was primarily due to net purchases of marketable securities of $2,117.2 million, purchases of strategic investments of $126.3 million, and purchases of property and equipment of $111.8 million, and purchases of intangible assets of $9.6 million.</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 xml:space="preserve">Net cash used in financing activities of $948.7 million for the nine months ended October 31, 2022 was primarily due to cash paid for repurchases of common stock of </w:t>
      </w:r>
      <w:r>
        <w:rPr>
          <w:rFonts w:ascii="Times New Roman" w:cs="Times New Roman" w:eastAsia="Times New Roman" w:hAnsi="Times New Roman"/>
          <w:sz w:val="18"/>
          <w:szCs w:val="18"/>
          <w:color w:val="231F20"/>
        </w:rPr>
        <w:t>$990.8 million</w:t>
      </w:r>
      <w:r>
        <w:rPr>
          <w:rFonts w:ascii="Times New Roman" w:cs="Times New Roman" w:eastAsia="Times New Roman" w:hAnsi="Times New Roman"/>
          <w:sz w:val="18"/>
          <w:szCs w:val="18"/>
          <w:color w:val="auto"/>
        </w:rPr>
        <w:t xml:space="preserve"> offset by proceeds from issuance of common stock under our ESPP of $34.6 million.</w:t>
      </w:r>
    </w:p>
    <w:p>
      <w:pPr>
        <w:spacing w:after="0" w:line="5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of $20.9 million for the nine months ended October 31, 2021 was primarily due to proceeds from issuance of common stock under our ESPP of $37.8 million and proceeds from the exercise of stock options of $11.0 million, offset by proceeds from employee equity transactions remitted to employees and tax authorities, net, of $28.3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Critical accounting estimates are those accounting estimates that require the most difficult, subjective or complex judgments, often as a result of the need to make estimates about the effect of matters that are inherently uncertain. These estimates are developed based on historical experience and various other assumptions that we believe to be reasonable under the circumstances. Critical accounting estimates are accounting estimates where the nature of the estimates are material due to the levels of subjectivity and judgment necessary to account for highly uncertain matters or the susceptibility of such matters to change and the impact of the estimates on financial condition or operating performance is material.</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have been no material changes to our critical accounting estimates as compared to the critical accounting estimates described in 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included in our Annual Report on Form 10-K for the year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31, 2022, filed with the SEC on March 7, 2022.</w:t>
      </w:r>
    </w:p>
    <w:p>
      <w:pPr>
        <w:spacing w:after="0" w:line="16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QUALITATIVE AND QUANTITATIVE DISCLOSURES ABOUT MARKET RISK</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and Exchange Risk</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 xml:space="preserve">The majority of our cash generated from revenue is denominated in U.S. dollars, with a portion of our revenue from amounts denominated in foreign currencies. Our expenses are generally denominated in the currencies of the jurisdictions in which we conduct our operations, which are primarily in the United States, China, Europe, and Australia. Our results of current and future operations and cash flows are, therefore, subject to fluctuations due to changes in foreign currency exchange rates. For the nine months ended </w:t>
      </w:r>
      <w:r>
        <w:rPr>
          <w:rFonts w:ascii="Times New Roman" w:cs="Times New Roman" w:eastAsia="Times New Roman" w:hAnsi="Times New Roman"/>
          <w:sz w:val="18"/>
          <w:szCs w:val="18"/>
          <w:color w:val="231F20"/>
        </w:rPr>
        <w:t>October 31, 2022</w:t>
      </w:r>
      <w:r>
        <w:rPr>
          <w:rFonts w:ascii="Times New Roman" w:cs="Times New Roman" w:eastAsia="Times New Roman" w:hAnsi="Times New Roman"/>
          <w:sz w:val="18"/>
          <w:szCs w:val="18"/>
          <w:color w:val="auto"/>
        </w:rPr>
        <w:t xml:space="preserve"> and 2021, 20.3% and 22.7% of our revenue, respectively and 11.3% and 15.0% of our expenses, respectively were denominated in currencies other then the U.S. dollar. The effect of a hypothetical 10% change in foreign currency exchange rates applicable to our business would not have had a material impact on our historical condensed consolidated financial statements for the three and nine months ended October 31, 2022 and 2021. As the impact of foreign currency exchange rates has not been material to our historical operating results, we have not entered into derivative or hedging transactions, but we may do so in the future if our exposure to foreign currency becomes more significant.</w:t>
      </w:r>
    </w:p>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had cash and cash equivalents of $1,096.2 million and marketable securities of $4,068.8 million as of October 31, 2022. Cash and cash equivalents consist of bank deposits, money market funds, and high-grade commercial paper, and agency bonds. Our marketable securities generally consist of high-grade commercial paper, agency bonds, corporate and other debt securities, U.S. government agency securities, and treasury bills. The cash and cash equivalents and marketable securities are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held for working capital purposes. Such interest-earning instruments carry a degree of interest rate risk. The primary objective of our investment activities is to preserve principal while maximizing income without significantly increasing risk. We do not enter into investments for trading or speculative purposes and have not used any derivative financial instruments to manage our interest rate risk exposure. Due to the short-term nature of our investments, we have not been exposed to, nor do we anticipate being exposed to, material risks due to changes in interest rates. A hypothetical 10% change in interest rates during any of the periods presented would not have had a material impact on our historical condensed consolidated financial statements for the three and nine months ended October 31, 2022 and 2021.</w:t>
      </w:r>
    </w:p>
    <w:p>
      <w:pPr>
        <w:spacing w:after="0" w:line="14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Our management, with the participation of our principal executive officer and principal financial officer, has evaluated the effectiveness of our disclosure controls and procedures (as defined in Rules 13a-15(e) and 15d-15(e) under the Exchange Act) as of the end of the period covered by this Quarterly Report on Form 10-Q. Based on such evaluation, our principal executive officer and principal financial officer have concluded that as of </w:t>
      </w:r>
      <w:r>
        <w:rPr>
          <w:rFonts w:ascii="Times New Roman" w:cs="Times New Roman" w:eastAsia="Times New Roman" w:hAnsi="Times New Roman"/>
          <w:sz w:val="18"/>
          <w:szCs w:val="18"/>
          <w:color w:val="231F20"/>
        </w:rPr>
        <w:t>October 31, 2022</w:t>
      </w:r>
      <w:r>
        <w:rPr>
          <w:rFonts w:ascii="Times New Roman" w:cs="Times New Roman" w:eastAsia="Times New Roman" w:hAnsi="Times New Roman"/>
          <w:sz w:val="18"/>
          <w:szCs w:val="18"/>
          <w:color w:val="000000"/>
        </w:rPr>
        <w:t>, our disclosure controls and procedures were effective at a reasonable assurance level.</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 xml:space="preserve">There has been no change in our internal control over financial reporting (as defined in Rules 13a-15(d) and 15d-15(d) under the Exchange Act) that occurred during the quarter ended </w:t>
      </w:r>
      <w:r>
        <w:rPr>
          <w:rFonts w:ascii="Times New Roman" w:cs="Times New Roman" w:eastAsia="Times New Roman" w:hAnsi="Times New Roman"/>
          <w:sz w:val="18"/>
          <w:szCs w:val="18"/>
          <w:color w:val="231F20"/>
        </w:rPr>
        <w:t>October 31, 2022</w:t>
      </w:r>
      <w:r>
        <w:rPr>
          <w:rFonts w:ascii="Times New Roman" w:cs="Times New Roman" w:eastAsia="Times New Roman" w:hAnsi="Times New Roman"/>
          <w:sz w:val="18"/>
          <w:szCs w:val="18"/>
          <w:color w:val="auto"/>
        </w:rPr>
        <w:t xml:space="preserve"> that has materially affected, or is reasonably likely to materially affect, our internal control over financial reporting.</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Effectiveness of Disclosure Controls and Procedures</w:t>
      </w:r>
    </w:p>
    <w:p>
      <w:pPr>
        <w:spacing w:after="0" w:line="12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Our management, including our principal executive officer and principal financial officer, does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inherent limitations in a cost-effective control system, misstatements due to error or fraud may occur and not be detected.</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3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Information with respect to this item may be found in Note 7 - “Commitments and Contingencies” in the accompanying notes to the condensed consolidated financial statements included in Part I, Item 1, “Financial Statements” of this Quarterly Report on Form 10-Q, under “Legal Proceedings,” which is incorporated herein by reference.</w:t>
      </w:r>
    </w:p>
    <w:p>
      <w:pPr>
        <w:spacing w:after="0" w:line="28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1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Investing in our securities involves a high degree of risk. You should carefully consider the risks and uncertainties described below, together with all of the other information in this Quarterly Report on Form 10-Q, including the section titled “Management’s Discussion and Analysis of Financial Condition and Results of Operations” and our condensed consolidated financial statements and related notes, before making a decision to invest in our securities. The risks and uncertainties described below may not be the only ones we face. If any of the risks actually occur, our business could be materially and adversely affected. In that event, the market price of our Class A common stock could decline, and you could lose part or all of your investment.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Our Industry</w:t>
      </w:r>
    </w:p>
    <w:p>
      <w:pPr>
        <w:spacing w:after="0" w:line="225" w:lineRule="exact"/>
        <w:rPr>
          <w:sz w:val="20"/>
          <w:szCs w:val="20"/>
          <w:color w:val="auto"/>
        </w:rPr>
      </w:pPr>
    </w:p>
    <w:p>
      <w:pPr>
        <w:jc w:val="both"/>
        <w:ind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our ability to attract new customers, retain and upsell additional products and new product categories to existing customers, and upgrade free users to our paid offerings. Any decline in new customers, renewals, or upgrades would harm our business.</w:t>
      </w:r>
    </w:p>
    <w:p>
      <w:pPr>
        <w:spacing w:after="0" w:line="5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business depends upon our ability to attract new customers, and maintain and expand our relationships with our existing customers, including upselling additional products and new product categories to our existing customers and upgrading hosts to a paid Zoom Meeting plan. A host is any user of our unified communications platform who initiates a Zoom Meeting and invites one or more participants to join that meeting. We refer to hosts who subscribe to a paid Zoom Meeting plan as “paid hosts.”</w:t>
      </w:r>
    </w:p>
    <w:p>
      <w:pPr>
        <w:spacing w:after="0" w:line="72"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Our business is subscription based, and customers are not obligated to, and may choose not to, renew their subscriptions after their existing subscriptions expire. As a result, we cannot provide assurance that customers will renew their subscriptions utilizing the same tier of their Zoom Meeting plan, upgrade to a higher-priced tier, or purchase additional products, if they renew at all. Renewals of subscriptions to our platform may decline or fluctuate because of several factors, such as dissatisfaction with our products and support, a customer or host no longer having a need for our products, including any new customers or hosts that have subscribed to our services during the COVID-19 pandemic that may subsequently reduce or discontinue their use after the impact of the pandemic has tapered, a reduction in customer information technology spending budgets, which may be reduced during periods of high inflation or economic recession or the perception that competitive products provide better, more secure, or less expensive options. In addition, some customers downgrade their Zoom Meeting plan or do not renew their subscriptions. Furthermore, as a result of the increased usage of our platform during the COVID-19 pandemic, our customer base has shifted largely from businesses and enterprises to a mix of businesses, enterprises, and consumers. This shift in mix could result in higher non-renewal rates than we have experienced in the past. We must continually add new customers and hosts to grow our business beyond our current user base and to replace customers and hosts who choose not to continue to use our platform. Finally, any decrease in user satisfaction with our products or support would harm our brand, word-of-mouth referrals, and ability to grow.</w:t>
      </w:r>
    </w:p>
    <w:p>
      <w:pPr>
        <w:spacing w:after="0" w:line="82"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encourage customers to purchase additional products and encourage hosts to upgrade to our paid offerings by recommending additional features and through in-product prompts and notifications. Additionally, we seek to expand within organizations by adding new hosts, having workplaces purchase additional products, or expanding the use of Zoom into other teams and departments within an organization. At the same time, we encourage hosts that subscribe to our free Zoom Meeting plan to upgrade to a paid Zoom Meeting plan. However, a majority of these hosts, including those that initially subscribed to our free plan during the COVID-19 pandemic as a result of shelter-in-place and work-from-home mandates, may never upgrade to a paid Zoom Meeting plan. If we fail to upsell our customers or upgrade hosts of our free Zoom Meeting plan to paid subscriptions or expand the number of paid hosts within organizations, our business would be harmed.</w:t>
      </w:r>
    </w:p>
    <w:p>
      <w:pPr>
        <w:spacing w:after="0" w:line="8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addition, our user growth rate may slow or decline in the future as our market penetration rates increase. If we are not able to continue to expand our user base, our revenue may grow more slowly than expected or decline. While we continue to add paid users to our customer base, we expect our user growth rate to continue to slow or decline as the impact of the COVID-19 pandemic continues to taper, particularly as users return to work or school or are otherwise no longer subject to limitations on in-person meetings.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Our revenue growth rate has declined and we expect our revenue growth rate to generally decline in future periods.</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have experienced significant revenue growth in prior periods. You should not rely on the revenue growth of any prior quarterly or annual period as an indication of our future performance. Our revenue growth rate has declined and we expect our revenue growth rate to generally decline in future periods. Many factors may contribute to declines in our growth rate, including higher market penetration, increased competition, slowing demand for our platform, especially as the impact of the COVID-19 pandemic tapers, particularly as users return to work or school or are otherwise no longer subject to limitations on in-person meetings, a slower than anticipated capitalization on growth opportunities, and the maturation of our business, among others. Declines in our growth rate could adversely affect investors’ perceptions of our business and the trading price of our Class A common stock could be adversely affected.</w:t>
      </w:r>
    </w:p>
    <w:p>
      <w:pPr>
        <w:spacing w:after="0" w:line="185"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Interruptions, delays, or outages in service from our co-located data centers and a variety of other factors, including increased usage stemming from the COVID-19 pandemic, would impair the delivery of our services, require us to issue credits or pay penalties, and harm our business.</w:t>
      </w:r>
    </w:p>
    <w:p>
      <w:pPr>
        <w:spacing w:after="0" w:line="51"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We currently serve our users from various co-located data centers located throughout the world. We also utilize Amazon Web Services and Oracle Cloud for the hosting of certain critical aspects of our business, as well as Microsoft Azure for limited customer-specified managed services. As part of our distributed meeting architecture, we establish private links between data centers that automatically transfer data between various data centers. Damage to, or failure of, these data centers has in the past resulted in and could in the future result in interruptions or delays in our services. In addition, we have experienced, and may in the future experience, other interruptions and delays in our services caused by a variety of other factors, including, but not limited to, infrastructure changes, vendor issues, human or software errors, viruses, security attacks, ransomware or cyber extortion, fraud, general internet availability issues, spikes in usage, and denial of service issues. In some instances, we may not be able to identify the cause or causes of these problems within an acceptable period of time. For example, we have experienced partial outages in our services that impacted a subset of our users for a limited number of hours. Additionally, in connection with the addition of new data centers or expansion or consolidation of our existing data center facilities or other reasons, we may move or transfer our data and our users’ metadata to other data centers, not including our China data center. Despite precautions that we take during this process, any unsuccessful data transfers may impair or cause disruptions in the delivery of our service, and we may incur significant costs in connection with any such move or transfer. Interruptions, delays, or outages in our services would reduce our revenue; may require us to issue credits or pay penalties; may subject us to claims and litigation; and may cause customers and hosts to terminate their subscriptions and adversely affect our ability to attract new customers and hosts. Our ability to attract and retain customers and hosts depends on our ability to provide customers and hosts with a highly reliable platform and even minor interruptions or delays in our services could harm our business.</w:t>
      </w:r>
    </w:p>
    <w:p>
      <w:pPr>
        <w:spacing w:after="0" w:line="8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Additionally, if our data centers are unable to keep up with our increasing needs for capacity, including increased usage stemming from the COVID-19 pandemic, customers may experience delays or interruptions in service as we seek to obtain additional capacity, which could result in the loss of customers who use our unified communications platform because of its reliability and performance. We plan to continue our practice of opening new data centers to meet increased demand, but we may be unable to bring additional data centers online in a timely manner, including as a result of current</w:t>
      </w:r>
    </w:p>
    <w:p>
      <w:pPr>
        <w:spacing w:after="0" w:line="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shortages for certain parts, such as servers. In addition, to meet short-term capacity needs, we may need to rely increasingly on public cloud providers, including Amazon Web Services and Oracle Cloud, which may result in higher variable costs, harming our business, financial condition, and operating results.</w:t>
      </w:r>
    </w:p>
    <w:p>
      <w:pPr>
        <w:spacing w:after="0" w:line="68"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do not control, or in some cases have limited control over, the operation of the co-located data center facilities we use, and they are vulnerable to damage or interruption from human error; intentional bad acts; earthquakes; floods; fires; hurricanes; war; terrorist attacks; power losses; hardware failures; systems failures; telecommunications failures; disease, such as the COVID-19 pandemic; and similar events, any of which could disrupt our service. In the event of significant physical damage to one of these data centers, it may take a significant period of time to achieve full resumption of our services and our disaster recovery planning may not account for all eventualities. Despite precautions taken at these facilities, the occurrence of a natural disaster, an act of terrorism, or other act of malfeasance, a decision to close the facilities without adequate notice or other unanticipated problems at the facilities would harm our business.</w:t>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We operate in competitive markets, and we must continue to compete effectively.</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market for communication and collaboration technologies platforms is competitive and rapidly changing. Certain features of our current platform compete in the communication and collaboration technologies market with products offered by:</w:t>
      </w:r>
    </w:p>
    <w:p>
      <w:pPr>
        <w:spacing w:after="0" w:line="54"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web-based meeting providers, including Cisco Webex and GoTo;</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bundled productivity solutions providers with video functionality, including Microsoft Teams and Google G Suite and Meet products;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UCaaS and legacy PBX providers, including Avaya, RingCentral, and 8x8;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consumer-facing platforms that can support small- or medium-sized businesses, including Amazon, Apple, and Facebook.</w:t>
      </w:r>
    </w:p>
    <w:p>
      <w:pPr>
        <w:spacing w:after="0" w:line="117"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Other large established companies may also make investments in video communications tools. In addition, as we introduce new products and services, and with the introduction of new technologies and market entrants, we expect competition to intensify in the future. For example, we recently introduced Zoom Contact Center, an omnichannel contact center solution that is optimized for video, which, as we build out our offering, may result in increased competition against companies that offer similar services, such as Five9, Inc., Genesys and NICE inContact, and new competitors that may enter that market in the future. Also, in connection with the travel restrictions and stay-in-place policies resulting from the COVID-19 pandemic, we saw a significant increase in usage and subscriptions from smaller customers, many of whom are consumers or small and medium sized businesses. With respect to these smaller customers, we face competition from more consumer-oriented platforms, most of which have more experience with the consumer market than we do. Further, many of our actual and potential competitors benefit from competitive advantages over us, such as greater name recognition; longer operating histories; more varied products and services; larger marketing budgets; more established marketing relationships; more third-party integration; greater accessibility across devices or applications; greater access to larger user bases; major distribution agreements with hardware manufacturers and resellers; and greater financial, technical, and other resources. Some of our competitors may make acquisitions or enter into strategic relationships to offer a broader range of products and services than we do. These combinations may make it more difficult for us to compete effectively. We expect these trends to continue as competitors attempt to strengthen or maintain their market positions.</w:t>
      </w:r>
    </w:p>
    <w:p>
      <w:pPr>
        <w:spacing w:after="0" w:line="7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Demand for our platform is also price sensitive. Many factors, including our marketing, user acquisition, and technology costs, and our current and future competitors’ pricing and marketing strategies, can significantly affect our pricing strategies. Certain competitors offer, or may in the future offer, lower-priced or free products, or services that compete with our platform, or may bundle and offer a broader range of products and services than we do. Similarly, certain competitors may use marketing strategies that enable them to acquire customers at a lower cost than we can. Furthermore, third parties could build products similar to ours that rely on open source software. Even if such products do not include all the features and functionality that our platform provides, we could face pricing pressure from these third parties to the extent that users find such alternative products to be sufficient to meet their video communications needs. There can be no assurance that we will not be forced to engage in price-cutting initiatives or other discounts or to increase our marketing and other expenses to attract and retain customers in response to competitive pressures, either of which would harm our business. We, on occasion, offer customers a free period of time at the beginning of the subscription term that can result in deferred billings or long-term accounts receivable and increase the risk of loss on uncollected accounts receivable.</w:t>
      </w:r>
    </w:p>
    <w:p>
      <w:pPr>
        <w:spacing w:after="0" w:line="190"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quarterly results have fluctuated and may in the future fluctuate significantly and may not fully reflect the underlying performance of our business.</w:t>
      </w:r>
    </w:p>
    <w:p>
      <w:pPr>
        <w:spacing w:after="0" w:line="5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quarterly results of operations have fluctuated and may in the future fluctuate significantly, and period-to-period comparisons of our results of operations may not be meaningful. Accordingly, the results of any one quarter should not be relied upon as an indication of future performance. Our quarterly results of operations may fluctuate as a result of a variety of factors, many of which are outside of our control, and as a result, may not fully reflect the underlying performance of our business. For example, beginning in the fiscal quarter ended April 30, 2020, we faced unprecedented usage of our unified communications platform largely due to the COVID-19 pandemic, a significant portion of which is attributable to free Basic accounts, which do not generate any revenue. To meet this increased demand, we have incurred and expect to continue to incur significant costs associated with upgrading our infrastructure and expanding our capacity, including higher variable costs to the extent we have had to rely on public cloud providers rather than our own data centers. Fluctuation in quarterly results may negatively impact the value of our securities. Factors that may cause fluctuations in our quarterly results of operations include, without limitation, those listed below:</w:t>
      </w:r>
    </w:p>
    <w:p>
      <w:pPr>
        <w:spacing w:after="0" w:line="80"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and upgrade customers to higher-priced tiers of Zoom Meeting plans;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hosts and upgrade hosts that subscribe to our free Zoom Meeting plan to one of our paid Zoom Meeting plans;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employees, in particular those responsible for the selling or marketing of our platform;</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develop, and retain talented sales personnel who are able to achieve desired productivity levels in a reasonable period of time and provide sales leadership in areas in which we are expanding our sales and marketing efforts;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way we organize and compensate our sales teams;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expenses and recognition of revenue;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sales to large organizations;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our sales cycles and linearity of our bookings, especially with respect to sales to large enterprises and highly regulated industries, including financial services and U.S. federal and state and foreign governmental agencies;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operating expenses related to the maintenance and expansion of our business, operations, and infrastructure, as well as international expansion and entry into operating leases, and the hiring and retention of personnel who can build, manage, and maintain our expanded business operations and infrastructure;</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effectiveness of new sales and marketing initiatives;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pricing policies or those of our competitors;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experienced research and development personnel to design new products, features, and functionality that meet our privacy and security standards;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new products, features, and functionality by us or our competitors;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or delays in our service, network outages, or actual, alleged, or perceived privacy violations or issues or security vulnerabilities, incidents, or breaches;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lawsuits, regulatory actions or investigations, legislator scrutiny, or negative publicity arising from actual, alleged, or perceived privacy violations or issues or security vulnerabilities, incidents, or breaches;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competitive dynamics of our industry, including consolidation among competitors;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that impact our business;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large indemnification payments to our users or other third parties;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expenses related to any future acquisitions;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market conditions.</w:t>
      </w:r>
    </w:p>
    <w:p>
      <w:pPr>
        <w:spacing w:after="0" w:line="221"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Failures in internet infrastructure or interference with broadband access could cause current or potential users to believe that our systems are unreliable, possibly leading our customers and hosts to switch to our competitors, or to cancel their subscriptions to our platform.</w:t>
      </w:r>
    </w:p>
    <w:p>
      <w:pPr>
        <w:spacing w:after="0" w:line="5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Unlike traditional communications and collaborations technologies, our services depend on our users’ high-speed broadband access to the internet, usually provided through a cable or digital subscriber line connection. Increasing numbers of users and increasing bandwidth requirements may degrade the performance of our platform due to capacity constraints and other internet infrastructure limitations. As our number of users has grown and their usage of communications capacity has increased, we have been required to make additional investments in network capacity to maintain adequate data transmission speeds, the availability of which may be limited, or the cost of which may be on terms unacceptable to us. If adequate capacity does not continue to be available to us as our user base grows in the future, our network may be unable to achieve or maintain sufficiently high data transmission capacity, reliability, or performance. In addition, if internet service providers and other third parties providing internet services have outages or deteriorations in their quality of service, our users will not have access to our platform or may experience a decrease in the quality of our platform. Furthermore, as the rate of adoption of new technologies increases, the networks our platform relies on may not be able to sufficiently adapt to the increased demand for these services, including ours. Frequent or persistent interruptions could cause current or potential users to believe that our systems or platform are unreliable, leading them to switch to our competitors or to avoid our platform, which could permanently harm our business.</w:t>
      </w:r>
    </w:p>
    <w:p>
      <w:pPr>
        <w:spacing w:after="0" w:line="84"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 addition, users who access our platform through mobile devices, such as smartphones and tablets, must have a high-speed connection, such as 3G, 4G, 5G, LTE, satellite, or Wi-Fi, to use our services and applications. Currently, this access is provided by companies that have significant and increasing market power in the broadband and internet access marketplace, including incumbent phone companies, cable companies, satellite companies, and wireless companies. Some of these providers offer products and subscriptions that directly compete with our own offerings, which can potentially give them a competitive advantage. Also, these providers could take measures that degrade, disrupt, or increase the cost of user access to third-party services, including our platform, by restricting or prohibiting the use of their infrastructure to support or facilitate third-party services or by charging increased fees to third parties or the users of third-party services, any of which would make our platform less attractive to users and reduce our revenue.</w:t>
      </w:r>
    </w:p>
    <w:p>
      <w:pPr>
        <w:spacing w:after="0" w:line="8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On January 4, 2018, the Federal Communications Commission (“FCC”) released an order reclassifying broadband internet access as an information service, subject to certain provisions of Title I of the Communications Act. The order requires broadband providers to publicly disclose accurate information regarding network management practices, performance characteristics, and commercial terms of their broadband internet access services sufficient to enable consumers to make informed choices regarding the purchase and use of such services, and entrepreneurs and other small businesses to develop,</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market, and maintain internet offerings. The new rules went into effect on June 11, 2018. Numerous parties filed judicial challenges to the order, and on October 1, 2019, the United States Court of Appeals for the District of Columbia Circuit released a decision that rejected nearly all of the challenges to the new rules, but reversed the FCC’s decision to prohibit all state and local regulation targeted at broadband internet service, requiring case-by-case determinations as to whether state and local regulation conflicts with the FCC’s rules. The court also required the FCC to reexamine three issues from the order but allowed the order to remain in effect, while the FCC conducts that review. On February 6, 2020, the court denied requests for rehearing of the original decision, and the deadline for petitions requesting the Supreme Court to review the decision has passed without the filing of any such petitions. On February 19, 2020, the FCC released a public notice asking for comment on the three issues the court required it to reexamine. On October 27, 2020, the FCC adopted an order concluding that the three issues remanded by the court did not provide a basis to alter its conclusions in the 2018 order. Petitions for reconsideration of this decision are pending and could be reversed by the current FCC once Democrats gain control. In addition, a number of states have adopted or are adopting or considering legislation or executive actions that would regulate the conduct of broadband providers. A federal court judge denied a request for a preliminary injunction against California’s state-specific network neutrality law, and as a result, California began enforcing that law on March 25, 2021. On March 10, 2021, trade associations representing internet service providers appealed the district court’s ruling denying the preliminary injunction, and the appeal was denied on January 28, 2022. The trade associations sought a rehearing with the full court of appeal, and on April 20, 2022 it declined to rehear the case. The appellants did not appeal to the U.S. Supreme Court. A number of other states have adopted or are adopting or considering legislation or executive actions that would regulate the conduct of broadband providers. For instance, a temporary injunction preventing implementation of a similar law in Vermont expired on April 20, 2022, but the challenge to that law remains pending. We cannot predict whether the FCC order or other state initiatives will be enforced, modified, overturned, or vacated by legal action of the court, federal legislation, or the FCC. Under the FCC’s new rules, broadband internet access providers may be able to charge web-based services such as ours for priority access or favor services offered by our competitors or by the internet access providers themselves, which could result in increased costs and a loss of existing customers and hosts, impair our ability to attract new customers and hosts, and harm our business.</w:t>
      </w:r>
    </w:p>
    <w:p>
      <w:pPr>
        <w:spacing w:after="0" w:line="8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If there are changes to the regulatory structures in the United States or elsewhere that reduce investment in infrastructure by internet service providers, including a return of the network neutrality regulations that were repealed, any impacts of reduced investment that reduce network capacity or speed could have a negative effect on our business, operating results, and financial condition.</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As we increase sales to large organizations, our sales cycles could lengthen, and we could experience greater deployment challenges.</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have begun investing more resources into sales to large organizations. Large organizations typically undertake a significant evaluation and negotiation process due to their leverage, size, organizational structure, and approval requirements, all of which can lengthen our sales cycle. We may also face unexpected deployment challenges with large organizations or more complicated deployment of our platform. Large organizations may demand additional features, support services and pricing concessions, or require additional security management or control features. We may spend substantial time, effort, and money on sales efforts to large organizations without any assurance that our efforts will produce any sales or that these customers will deploy our platform widely enough across their organization to justify our substantial up-front investment. As a result, we anticipate increased sales to large organizations will lead to higher up-front sales costs and greater unpredictability in our business, results of operations, and financial condition.</w:t>
      </w:r>
    </w:p>
    <w:p>
      <w:pPr>
        <w:spacing w:after="0" w:line="185"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generate revenue from sales of subscriptions to our platform, and any decline in demand for our platform or for communications and collaboration technologies in general would harm our business.</w:t>
      </w:r>
    </w:p>
    <w:p>
      <w:pPr>
        <w:spacing w:after="0" w:line="5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generate, and expect to continue to generate, revenue from the sale of subscriptions to our platform. As a result, widespread acceptance and use of communications and collaboration technologies in general, and our platform in particular, is critical to our future growth and success. If the communications and collaboration technologies market fails to grow, or grows more slowly than we currently anticipate, or if any new customers or hosts that have subscribed to our services during the COVID-19 pandemic subsequently reduce or discontinue their use after the impact of the pandemic has tapered, demand for our platform could be negatively affected.</w:t>
      </w:r>
    </w:p>
    <w:p>
      <w:pPr>
        <w:spacing w:after="0" w:line="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Changes in user preferences for communications and collaboration technologies may have a disproportionately greater impact on us than if we offered multiple platforms or disparate products. Demand for communications and collaboration technologies in general, and our platform in particular, is affected by a number of factors, many of which are beyond our control. Some of these potential factors include:</w:t>
      </w:r>
    </w:p>
    <w:p>
      <w:pPr>
        <w:spacing w:after="0" w:line="68"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awareness of the communications and collaboration technologies category;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products and services that compete with ours;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modes of communications and collaboration that may be developed in the future;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adoption and use;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features and platform experience;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reliability of our platform, including frequency of outages;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user support;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w:t>
      </w:r>
    </w:p>
    <w:p>
      <w:pPr>
        <w:spacing w:after="0" w:line="11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communications and collaboration technologies market is subject to rapidly changing user demand and trends in preferences. If we fail to successfully predict and address these changes and trends, meet user demands, or achieve more widespread market acceptance of our platform, our business would be harmed.</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We expect to continue to increase our expenses in the future, which could decrease our profitability or prevent us from maintaining profitability.</w:t>
      </w:r>
    </w:p>
    <w:p>
      <w:pPr>
        <w:spacing w:after="0" w:line="121"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We have incurred net losses in the past and could incur net losses in the future. We intend to continue to expend significant funds to expand our direct sales force and marketing efforts to attract new customers and hosts and to develop and enhance our products and for general corporate purposes, including operations, hiring additional personnel, including through acquisitions of other businesses, upgrading our infrastructure, and addressing security and privacy issues, including those stemming from the unprecedented numbers of first-time users during the COVID-19 pandemic who may not have full IT support or established protocols like our larger customers, and expanding into new geographical markets. To the extent we are successful in increasing our user base, we may also incur increased losses because, other than sales commissions, the costs associated with acquiring customers and hosts are generally incurred up front, while the subscription revenue is generally recognized ratably over the subscription term, which can be monthly, annual, or on a multiyear basis. Our efforts to grow our business may be costlier than we expect, and we may not be able to increase our revenue enough to offset our higher operating expenses, which may result in decreased profitability. We may incur significant losses in the future for a number of reasons, including as a result of the other risks described herein, and unforeseen expenses, difficulties, complications, delays, and other unknown events. For example, we have faced unprecedented usage during the COVID-19 pandemic and, to meet this increased demand, have incurred and expect to continue to incur significant costs associated with upgrading our infrastructure and expanding our capacity, including higher variable costs to the extent we have to rely on public cloud providers rather than our own data centers. While free users continue to be a meaningful portion of the user base, we have directed marketing programs focused on converting free users to paid subscriptions. Some of these new hosts using our platform on a free Basic account have upgraded to a paid Zoom Meeting plan but the remainder have not and may never do so. If we are unable to increase or sustain our profitability, the value of our business and Class A common stock may significantly decrease. Furthermore, it is difficult to predict the size and growth rate of our market, customer demand for our platform, user adoption and renewal of our platform, the entry of competitive products and services, or the success of existing competitive products and services. As a result, we may not increase or maintain profitability in future periods. If we fail to grow our revenue sufficiently to keep pace with our investments and other expenses, our business would be harmed.</w:t>
      </w:r>
    </w:p>
    <w:p>
      <w:pPr>
        <w:spacing w:after="0" w:line="187"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experience of our users depends upon the interoperability of our platform across devices, operating systems, and third-party applications that we do not control, and if we are not able to maintain and expand our relationships with third parties to integrate our platform with their solutions, our business may be harmed.</w:t>
      </w:r>
    </w:p>
    <w:p>
      <w:pPr>
        <w:spacing w:after="0" w:line="6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One of the most important features of our platform is its broad interoperability with a range of diverse devices, operating systems, and third-party applications. Our platform is accessible from the web and from devices running Windows, Mac OS, iOS, Android, and Linux. We also have integrations with Atlassian, Dropbox, Google, Microsoft, Salesforce, Slack, and a variety of other productivity, collaboration, data management, and security vendors. We are dependent on the accessibility of our platform across these and other third-party operating systems and applications that we do not control. For example, given the broad adoption of Microsoft Office and other productivity software, it is important that we are able to integrate with this software. Several of our competitors own, develop, operate, or distribute operating systems, app stores, co-located data center services, and other software, and also have material business relationships with companies that own, develop, operate, or distribute operating systems, applications markets, co-located data center services, and other software that our platform requires in order to operate. Moreover, some of these competitors have inherent advantages developing products and services that more tightly integrate with their software and hardware platforms or those of their business partners.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Third-party services and products are constantly evolving, and we may not be able to modify our platform to assure its compatibility with that of other third parties following development changes. In addition, some of our competitors may be able to disrupt the operations or compatibility of our platform with their products or services, or exert strong business influence on our ability to, and terms on which we, operate and distribute our platform. For example, we currently offer products that directly compete with several large technology companies that we rely on to ensure the interoperability of our platform with their products or services. As our respective products evolve, we expect this level of competition to increase. Should any of our competitors modify their products or standards in a manner that degrades the functionality of our platform or gives preferential treatment to competitive products or services, whether to enhance their competitive position or for any other reason, the interoperability of our platform with these products could decrease and our business could be harmed.</w:t>
      </w:r>
    </w:p>
    <w:p>
      <w:pPr>
        <w:spacing w:after="0" w:line="8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addition, we provide, develop, and create applications for our platform partners that integrate our platform with our partners’ various offerings. For example, our Zoom Meetings product integrates with tools offered by companies, such as Atlassian and Dropbox, to help teams get more done together. If we are not able to continue and expand on existing and new relationships to integrate our platform with our partners’ solutions, or there are quality issues with our products or service interruptions of our products that integrate with our partners’ solutions, our business will be harmed.</w:t>
      </w:r>
    </w:p>
    <w:p>
      <w:pPr>
        <w:spacing w:after="0" w:line="7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are subject to requirements imposed by app stores such as those operated by Apple and Google, who may change their technical requirements or policies in a manner that adversely impacts the way in which we or our partners collect, use and share data from users. For example, Apple recently began requiring mobile applications using its iOS mobile operating system to obtain a user’s permission to track them or access their device’s advertising identifier for certain purposes. The long-term impact of these and any other privacy and regulatory changes remains uncertain. If we do not comply with applicable requirements imposed by app stores, we could lose access to the app store and users, and our business would be harmed.</w:t>
      </w:r>
    </w:p>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respond to rapid technological changes, extend our platform, or develop new features.</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communications and collaboration technologies market is characterized by rapid technological change and frequent new product and service introductions. Our ability to grow our user base and increase revenue from customers will depend heavily on our ability to enhance and improve our platform; introduce new features and products; and interoperate across an increasing range of devices, operating systems, and third-party applications. Our customers may require features and capabilities that our current platform does not have. We invest significantly in research and development, and our goal is to focus our spending on measures that improve quality and ease of adoption, enhance privacy and security, and create organic user demand for our platform. There is no assurance that new additions or other future enhancements to our platform or new product experiences, features, or capabilities will be compelling to our users or gain market acceptance, or that they will perform as expected. If our research and development investments do not accurately anticipate user demand or if we fail to develop our platform in a manner that satisfies user preferences and requirements in a timely and cost-effective manner, we may fail to retain our existing users or increase demand for our platform.</w:t>
      </w:r>
    </w:p>
    <w:p>
      <w:pPr>
        <w:spacing w:after="0" w:line="80"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introduction of new products and services by competitors or the development of entirely new technologies to replace existing offerings could make our platform obsolete or adversely affect our business, results of operations, and financial condition. We may experience difficulties with software development, design, or marketing that could delay or prevent our development, introduction, or implementation of new product experiences, features, or capabilities. We have in the past experienced delays in our internally planned release dates of new features and capabilities and there can be no assurance that new product experiences, features, or capabilities will be released according to schedule. Any delays could result in adverse publicity, loss of revenue or market acceptance, or claims by users brought against us, all of which could harm our business. Moreover, new productivity features to our platform may require substantial investment, and we have no assurance that such investments will be successful. If customers and hosts do not widely adopt our new product experiences, features, and capabilities, or they do not perform as expected, we may not be able to realize a return on our investment. If we are unable to develop, license, or acquire new features and capabilities to our platform on a timely and cost-effective basis, or if such enhancements do not achieve market acceptance, our business would be harmed.</w:t>
      </w:r>
    </w:p>
    <w:p>
      <w:pPr>
        <w:spacing w:after="0" w:line="190"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failure to effectively develop and expand our marketing and sales capabilities could harm our ability to increase our customer base and achieve broader market acceptance of our platform.</w:t>
      </w:r>
    </w:p>
    <w:p>
      <w:pPr>
        <w:spacing w:after="0" w:line="5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ability to increase our customer and host base and achieve broader market acceptance of our products and services will depend to a significant extent on our ability to expand our marketing and sales operations. We plan to continue expanding our sales force and strategic partners, both domestically and internationally. If we are unable to hire a sufficient number of qualified sales personnel in the near term, our future revenue growth and business could be adversely impacted.</w:t>
      </w:r>
    </w:p>
    <w:p>
      <w:pPr>
        <w:spacing w:after="0" w:line="7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Identifying and recruiting qualified sales representatives and training them is time consuming and resource intensive, and they may not be fully trained and productive for a significant amount of time. We also plan to dedicate significant resources to sales and marketing programs, including internet and other online advertising. All of these efforts will require us to invest significant financial and other resources. In addition, the cost to acquire customers and hosts is high due to these marketing and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sales efforts. Our business will be harmed if our efforts do not generate a correspondingly significant increase in revenue. We will not achieve anticipated revenue growth from expanding our sales force if we are unable to hire, develop, and retain talented sales personnel, our new sales personnel are unable to achieve desired productivity levels in a reasonable period of time, or if our sales and marketing programs are not effective.</w:t>
      </w:r>
    </w:p>
    <w:p>
      <w:pPr>
        <w:spacing w:after="0" w:line="172" w:lineRule="exact"/>
        <w:rPr>
          <w:sz w:val="20"/>
          <w:szCs w:val="20"/>
          <w:color w:val="auto"/>
        </w:rPr>
      </w:pPr>
    </w:p>
    <w:p>
      <w:pPr>
        <w:jc w:val="both"/>
        <w:ind w:firstLine="48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security measures have been compromised in the past and may be compromised in the future. If our security measures are compromised in the future or if our information technology fails, this could harm our reputation, expose us to significant fines and liability, impair our sales, and harm our business. In addition, our products and services may be perceived as not being secure. This perception may result in customers and hosts curtailing or ceasing their use of our products, our incurring significant liabilities, and our business being harmed.</w:t>
      </w:r>
    </w:p>
    <w:p>
      <w:pPr>
        <w:spacing w:after="0" w:line="7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operations involve the storage and transmission of customer and user information. Security incidents have occurred in the past and may occur in the future, resulting in unauthorized access to, loss or unauthorized disclosure of, or inadvertent disclosure of, this information, interruptions, delays, or outages in our operations and services, regulatory investigations or enforcement actions, litigation, indemnity obligations, and other possible liabilities, as well as negative publicity, which could damage our reputation, impair our sales, and harm our business.</w:t>
      </w:r>
    </w:p>
    <w:p>
      <w:pPr>
        <w:spacing w:after="0" w:line="72"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Cyberattacks and other malicious internet-based activity continue to increase, and cloud-based platform providers of products and services have been and are expected to continue to be targeted. In addition to traditional computer “hackers,” we face security risks from sophisticated nation-state and nation-state supported actors, and advanced persistent threat intrusions. 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upon which we rely may be vulnerable to a heightened risk of these attacks, including cyberattacks, that could materially disrupt our systems and operations, supply chain, and ability to provide our services. We may be subject to a variety of evolving threats, including but not limited to social-engineering attacks (including through phishing attacks), malicious code (such as viruses and worms), malware (including as a result of advanced persistent threat intrusions), denial-of-service attacks (such as credential stuffing), personnel misconduct or error, supply-chain attacks, software bugs, server malfunctions, software or hardware failures, loss of data or other information technology assets, adware, telecommunications failures, earthquakes, fires, floods, and other similar threats. Ransomware attacks, including those perpetrated by organized criminal threat actors, nation-states, and nation-state-supported actors, are becoming increasingly prevalent and severe and can lead to significant interruptions in our operations, loss of data and income, reputational harm, and diversion of funds. Extortion payments may alleviate the negative impact of a ransomware attack, but we may be unwilling or unable to make such payments due to, for example, applicable laws or regulations prohibiting such payments.</w:t>
      </w:r>
    </w:p>
    <w:p>
      <w:pPr>
        <w:spacing w:after="0" w:line="79"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If our security measures are compromised, our reputation could be damaged; our data, information or intellectual property, or that of our customers, may be destroyed, stolen, or otherwise compromised; our business may be harmed; and we could incur significant liability. We have not always been able in the past and may be unable in the future to anticipate or prevent threats or techniques used to detect or exploit vulnerabilities in our services or software or third-party software, or obtain unauthorized access to or compromise our systems, because such threats and techniques change frequently and are generally not detected until after an incident has occurred. In addition, security researchers and other individuals have in the past and will continue in the future to actively search for and exploit actual and potential vulnerabilities in our software or services. This activity may increase because of increased demand for our services and increased media scrutiny of our unified communications platform, and can lead to additional adverse publicity, reputational harm, extortion threats, business and operational interruptions, security incidents, additional expenses, litigation, regulatory investigations and actions, and substantial harm to our business, some of which we have experienced during the COVID-19 pandemic. For example, in July 2019, a security researcher published a blog highlighting concerns with the Zoom Meeting platform, including certain video-on features. We were able to release updates to the software addressing these vulnerabilities, and we are not aware of any customers being affected or meetings compromised by these vulnerabilities. In most cases customers are responsible for installing this update to the software, and their software is subject to these vulnerabilities until they do so. Additionally, in March 2020, a security researcher reported certain vulnerabilities related to our macOS version that could have allowed an unauthorized person to gain root access to a user’s system.</w:t>
      </w:r>
    </w:p>
    <w:p>
      <w:pPr>
        <w:spacing w:after="0" w:line="8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Given the nature of our business and operations, our products and services will inevitably contain vulnerabilities or critical security defects that have not been identified or remediated and cannot be disclosed without compromising security. We have identified vulnerabilities in our products and services in the past, and we expect that we will continue to identify vulnerabilities in the future. We cannot be certain that we will be able to address any vulnerabilities in our software products and services that we may become aware of in the future, or there may be delays in developing patches that can be effectively deployed to address vulnerabilities. We expect security issues to arise in the future as our products and services are more widely adopted, and as we continue to expand the features and functionality of existing products and introduce new products.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will continue to make prioritization decisions to determine which vulnerabilities or security defects to fix and the timing of these fixes, which could result in an exploit that compromises security. Further, in many cases, customers are responsible for installing our software updates, and until they do so, their service remains subject to the vulnerabilities addressed in the software update. Vulnerabilities and critical security defects, errors in remediating vulnerabilities or security defects, failure of third-party providers to remediate vulnerabilities or security defects, or customers not deploying security releases or deciding not to install software updates could result in claims of liability against us, damage our reputation, or otherwise harm our business.</w:t>
      </w:r>
    </w:p>
    <w:p>
      <w:pPr>
        <w:spacing w:after="0" w:line="75"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Security incidents and vulnerabilities, and concerns regarding privacy, data protection, and information security may also cause some of our customers and hosts to stop using our solutions and fail to upgrade or renew their subscriptions. Further, as we rely on third-party and public-cloud infrastructure, we depend in part on third-party security measures to protect against unauthorized access, cyberattacks, and the mishandling of data and information. Failures to meet customers’ and hosts’ expectations with respect to security and confidentiality of their data and information could damage our reputation and affect our ability to retain customers and hosts, attract new customers and hosts, and grow our business. In addition, cybersecurity events or security vulnerabilities could result in breaches of our agreements with customers, lawsuits against us (including class action litigation), regulatory investigations or actions, and significant increases in costs, including costs for remediating the effects of such an event or vulnerability, lost revenue due to network downtime, and a decrease in customer, host, and user trust, increases in insurance premiums due to cybersecurity incidents, increased costs to address cybersecurity issues, and attempts to prevent future incidents, fines, penalties, judgments and settlements, and attorney fees, and harm to our business and our reputation because of any such incident.</w:t>
      </w:r>
    </w:p>
    <w:p>
      <w:pPr>
        <w:spacing w:after="0" w:line="86"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Many governments have enacted laws requiring companies to provide notice of data security incidents involving certain types of personal information. Such laws are inconsistent, and compliance in the event of a widespread data breach is costly. In addition, some of our customers require us to notify them of data security breaches. Security compromises experienced by our competitors, our customers, or us may lead to public disclosures, which may lead to widespread negative publicity. In addition, while more than half of our employees are based in the United States, like many similarly situated technology companies, we have a sizable number of research and development personnel in China, which has exposed and could continue to expose us to governmental and regulatory as well as market and media scrutiny regarding the actual or perceived integrity of our platform or data security and privacy features.</w:t>
      </w:r>
    </w:p>
    <w:p>
      <w:pPr>
        <w:spacing w:after="0" w:line="8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Any security compromise in our industry, whether actual or perceived, could harm our reputation, erode confidence in the effectiveness of our security measures; negatively affect our ability to attract new customers and hosts; cause existing customers to elect not to renew their subscriptions; or subject us to third-party lawsuits, regulatory investigations, proceedings, and fines, or other action or liability, which could harm our business and reputation. Increased usage of our services, novel uses of our services, and additional awareness of Zoom and our brand could lead to greater public scrutiny of, press related to, or a negative perception of our information security and potential vulnerabilities associated with, our platform. For example, in connection with the COVID-19 pandemic, we opened our platform to unprecedented numbers of first-time users, leading to challenges for users who did not have full IT support or established protocols for security and privacy like our larger customers. As a result, we have experienced negative publicity related to meeting disruptions and security and privacy issues, including on encryption. Such unfavorable publicity and scrutiny could result in material reputational harm, a loss of customer and user confidence, increased regulatory or litigation exposure, additional expenses, and other harm to our business.</w:t>
      </w:r>
    </w:p>
    <w:p>
      <w:pPr>
        <w:spacing w:after="0" w:line="80"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There can be no assurance that any limitations of liability provisions in our subscription agreements, terms of use or other agreements would be enforceable or adequate or would otherwise protect us from any such liabilities or damages with respect to any particular claim. We also cannot be sure that our existing general liability insurance coverage and coverage for cyber liability or errors or omissions will continue to be available on acceptable terms or will be available in sufficient amounts to cover one or more large claims or that the insurer will not deny coverage as to any future claim. The successful assertion of one or more large claims against us that are not covered or exceed available insurance coverage, or the occurrence of changes in our insurance policies, including premium increases or the imposition of large deductible or co-insurance requirements, could harm our business.</w:t>
      </w:r>
    </w:p>
    <w:p>
      <w:pPr>
        <w:spacing w:after="0" w:line="183"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a strong brand, and if we are not able to maintain and enhance our brand, our ability to expand our base of users will be impaired and our business will be harmed.</w:t>
      </w:r>
    </w:p>
    <w:p>
      <w:pPr>
        <w:spacing w:after="0" w:line="5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believe that maintaining and enhancing the Zoom brand is critical to expanding our base of customers, hosts, and users and, in particular, conveying to users and the public that the Zoom brand consists of a broad communications platform, rather than just one distinct product. For example, if users view the Zoom brand primarily as a video conferencing point solution or utility rather than as a platform that connects people through video, voice, chat and content sharing, or have a negative perception of our privacy and security, then our market position may be detrimentally impacted. We anticipate that, as our market becomes increasingly competitive, maintaining and enhancing our brand may become increasingly difficult and expensive. Any unfavorable publicity or perception of our platform, including any delays or interruptions in service due to</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capacity constraints stemming from increased usage due to the COVID-19 pandemic, or of our privacy or security features, or of the providers of communication and collaboration technologies generally, could adversely affect our reputation and our ability to attract and retain hosts. Similarly, any unfavorable perception of our company, including due to any actual or perceived violation by our employees of our policies, such as our Code of Business Conduct and Ethics, could cause us reputational harm and customer loss, impact our financial performance, expose us to litigation, and harm our business, among other things. If we fail to promote and maintain the Zoom brand, including consumer and public perception of our platform or our company, or if we incur excessive expenses in this effort, our business will be harmed.</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We may not successfully manage our growth or plan for future growth.</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Since our founding in 2011, we have experienced rapid growth. For example, our headcount has grown from 6,269 full-time employees as of October 31, 2021, to 8,422 full-time employees as of October 31, 2022, with employees located both in the United States and internationally. The growth and expansion of our business places a continuous, significant strain on our management, operational, and financial resources. Further growth of our operations to support our user base, our expanding third-party relationships, our information technology systems, and our internal controls and procedures may not be adequate to support our operations. In addition, as we continue to grow, we face challenges integrating, developing, and motivating a rapidly growing employee base in various countries around the world. For example, a significant number of our employees were hired in the last two years and have never been to one of our office locations. Certain members of our management have not previously worked together for an extended period of time, and some do not have prior experience managing a public company, which may affect how they manage our growth. Managing our growth will also require significant expenditures and allocation of valuable management resources.</w:t>
      </w:r>
    </w:p>
    <w:p>
      <w:pPr>
        <w:spacing w:after="0" w:line="8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addition, our rapid growth may make it difficult to evaluate our future prospects. Our ability to forecast our future results of operations is subject to a number of uncertainties, including our ability to effectively plan for and model future growth. We have encountered in the past, and may encounter in the future, risks and uncertainties frequently experienced by growing companies in rapidly changing industries. If we fail to achieve the necessary level of efficiency in our organization as it grows, or if we are not able to accurately forecast future growth, our business would be harmed.</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be significantly affected by a change in the economy, including any resulting effect on consumer or business spending.</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business may be affected by changes in the economy generally, including as a result of the COVID-19 pandemic, any resulting effect on spending by our customers, and inflation. Some customers may view a subscription to our platform as a discretionary purchase, and our customers may reduce their discretionary spending on our platform during an economic downturn. Given current economic conditions, including inflation, we could experience a reduction in demand and loss of customers, especially if the effects of the current economic environment have a prolonged impact on various industries that our unified communications platform addresses. We would lose customers as a result of customers ceasing to do business, and we could experience a material increase in longer payment cycles and greater difficulty in collecting accounts receivable from certain customers. While we have seen increased usage stemming from the COVID-19 pandemic, a significant portion of the increase in usage of our platform is attributable to free Basic accounts, which do not generate any revenue. Moreover, while we continue to add paid users to our customer base, we expect our user growth rate to continue to slow or decline as the impact of the COVID-19 pandemic continues to taper, particularly in light of a potential economic downturn.</w:t>
      </w:r>
    </w:p>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sell subscriptions to our platform could be harmed by real or perceived material defects or errors in our platform.</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software technology underlying our platform is inherently complex and may contain material defects or errors, particularly when new products are first introduced or when new features or capabilities are released. We have from time to time found defects or errors in our platform, and new defects or errors in our existing platform or new products may be detected in the future by us or our users. There can be no assurance that our existing platform and new products will not contain defects. Any real or perceived errors, failures, vulnerabilities, or bugs in our platform have in the past resulted and could in the future result in negative publicity or lead to data security, access, retention, or other performance issues, all of which could harm our business. The costs incurred in correcting such defects or errors may be substantial and could harm our business. Moreover, the harm to our reputation and legal liability related to such defects or errors may be substantial and would harm our business.</w:t>
      </w:r>
    </w:p>
    <w:p>
      <w:pPr>
        <w:spacing w:after="0" w:line="8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also utilize hardware purchased or leased and software and services licensed from third parties to offer our platform. Any defects in, or unavailability of, our or third-party hardware, software, or services that cause interruptions to the availability of our services, loss of data, or performance issues could, among other things:</w:t>
      </w:r>
    </w:p>
    <w:p>
      <w:pPr>
        <w:spacing w:after="0" w:line="68"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a reduction in revenue or delay in market acceptance of our platform;</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issue refunds to our customers or expose us to claims for damages;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us to lose existing hosts and make it more difficult to attract new customers and hosts;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divert our development resources or require us to make extensive changes to our platform, which would increase our expenses;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technical support costs;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 our reputation and brand.</w:t>
      </w:r>
    </w:p>
    <w:p>
      <w:pPr>
        <w:spacing w:after="0" w:line="221" w:lineRule="exact"/>
        <w:rPr>
          <w:sz w:val="20"/>
          <w:szCs w:val="20"/>
          <w:color w:val="auto"/>
        </w:rPr>
      </w:pPr>
    </w:p>
    <w:p>
      <w:pPr>
        <w:jc w:val="both"/>
        <w:ind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were to lose the services of our Chief Executive Officer or other members of our senior management team, we may not be able to execute our business strategy.</w:t>
      </w:r>
    </w:p>
    <w:p>
      <w:pPr>
        <w:spacing w:after="0" w:line="5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Our success depends in a large part upon the continued service of key members of our senior management team. In particular, our founder, President and Chief Executive Officer, Eric S. Yuan, is critical to our overall management, as well as the continued development of our products, services, the Zoom platform, our culture, our strategic direction, engineering, and our global operations, including regions such as the United States, Europe, Middle East, and Africa (“EMEA”), and Asia Pacific (“APAC”). All of our executive officers are at-will employees, and we do not maintain any key person life insurance policies. Any changes in our senior management team in particular, even in the ordinary course of business, may be disruptive to our business. Such changes may result in a loss of institutional knowledge and cause disruptions to our business. If our senior management team fails to work together effectively or execute our plans and strategies on a timely basis as a result of management turnover or otherwise, our business could be harmed.</w:t>
      </w:r>
    </w:p>
    <w:p>
      <w:pPr>
        <w:spacing w:after="0" w:line="185"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failure to attract and retain additional qualified personnel or to maintain our happiness-centric company culture could harm our business and culture and prevent us from executing our business strategy.</w:t>
      </w:r>
    </w:p>
    <w:p>
      <w:pPr>
        <w:spacing w:after="0" w:line="5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To execute our business strategy, we must attract and retain highly qualified personnel. Competition for executives, software developers, sales personnel, and other key employees in our industry is intense. In particular, we compete with many other companies for software developers with high levels of experience in designing, developing, and managing software for communication and collaboration technologies, as well as for skilled sales and operations professionals. At times, we have experienced, and we may continue to experience, difficulty in hiring and retaining employees with appropriate qualifications, and we may not be able to fill positions in a timely manner or at all. In addition, our recruiting personnel, methodology, and approach may need to be altered to address a changing candidate pool and profile. We may not be able to identify or implement such changes in a timely manner. In addition, we have experienced and may continue to experience employee turnover as a result of the ongoing “great resignation” occurring throughout the U.S. economy. New hires require training and take time before they achieve full productivity. New employees may not become as productive as we expect, and we may be unable to hire or retain sufficient numbers of qualified individuals. If we fail to attract new personnel or fail to retain and motivate our current personnel, our business could be harmed.</w:t>
      </w:r>
    </w:p>
    <w:p>
      <w:pPr>
        <w:spacing w:after="0" w:line="86"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Many of the companies with which we compete for experienced personnel have greater resources than we have, and some of these companies may offer more attractive compensation packages. Particularly in the San Francisco Bay Area, job candidates and existing employees carefully consider the value of the equity awards they receive in connection with their employment. If the perceived value of our equity awards declines, or if the mix of equity and cash compensation that we offer is unattractive, it may adversely affect our ability to recruit and retain highly skilled employees. Job candidates may also be threatened with legal action under agreements with their existing employers if we attempt to hire them, which could impact hiring and result in a diversion of our time and resources. Additionally, laws and regulations, such as restrictive immigration laws, may limit our ability to recruit internationally. Moreover, as we plan to reopen our offices, vaccine mandates and similar government orders and restrictions could result in employee attrition and difficulty in recruiting. We must also continue to retain and motivate existing employees through our compensation practices, company culture, and career development opportunities. If we fail to attract new personnel or to retain our current personnel, our business would be harmed.</w:t>
      </w:r>
    </w:p>
    <w:p>
      <w:pPr>
        <w:spacing w:after="0" w:line="8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believe that a critical component to our success and our ability to retain our best people is our culture. As we continue to grow and develop a public company infrastructure, we may find it difficult to maintain our happiness-centric company culture. Transparency is also an important part of our culture, and one that we practice every day. As we continue to grow, maintaining this culture of transparency will present its own challenges that we will need to address, including the type of information and level of detail that we share with our employees.</w:t>
      </w:r>
    </w:p>
    <w:p>
      <w:pPr>
        <w:spacing w:after="0" w:line="7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addition, as our stock price has fluctuated since our IPO, employees joining us at different times could have significant disparities in proceeds from sales of our equity in the public markets, which could create disparities in wealth among our employees, which may harm our culture and relations among employees and our business. Further, the volatility of our stock price may make our equity compensation less attractive to current and potential employees, and could contribute to increased turnover or difficulties in hiring.</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significant and expanding operations outside the United States, which may subject us to increased business, regulatory and economic risks that could harm our business.</w:t>
      </w:r>
    </w:p>
    <w:p>
      <w:pPr>
        <w:spacing w:after="0" w:line="51"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Our platform addresses the communications needs of users worldwide, and we see international expansion as a major opportunity. Our revenue from APAC and EMEA collectively represented 31% and 33% of our revenue for the nine months ended October 31, 2022 and 2021, respectively. We plan to add local sales support in further select international markets over time. Our customers include multinational corporations with global users, and we expect to continue to expand our international operations, which may include opening offices in new jurisdictions and providing our platform in additional languages to support the needs of these multinational corporations. Any new markets or countries into which we attempt to allow users to access our services or sell subscriptions to our platform may not be receptive. For example, if we are not able to satisfy certain government- and industry-specific requirements, we may experience service outages or other adverse consequences which would impair our ability to expand further into certain markets. In addition, our ability to manage our business and conduct our operations internationally in the future may require considerable management attention and resources and is subject to the particular challenges of supporting a rapidly growing business in an environment of multiple languages, cultures, customs, legal and regulatory systems, alternative dispute systems, and commercial markets. Future international expansion will require investment of significant funds and other resources. We also face risks related to recruiting and retaining talented and capable employees outside the United States, including complying with complex employment- and compensation-related laws, regulations, and practices in these international jurisdictions, and maintaining our company culture across all of our offices. We may also be unable to grant equity compensation to employees in certain countries outside of the United States due to the complexities of local laws and regulations. This may require us to offer equally compelling alternatives to supplement our compensation, such as long-term cash compensation plans or increased short-term cash compensation, in order to continue to attract and retain employees in these jurisdictions.</w:t>
      </w:r>
    </w:p>
    <w:p>
      <w:pPr>
        <w:spacing w:after="0" w:line="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Operating internationally subjects us to new risks and may increase risks that we currently face, including risks associated with:</w:t>
      </w:r>
    </w:p>
    <w:p>
      <w:pPr>
        <w:spacing w:after="0" w:line="117" w:lineRule="exact"/>
        <w:rPr>
          <w:sz w:val="20"/>
          <w:szCs w:val="20"/>
          <w:color w:val="auto"/>
        </w:rPr>
      </w:pPr>
    </w:p>
    <w:p>
      <w:pPr>
        <w:ind w:left="660" w:right="2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our platform and operating our business across a significant distance, in different languages and among different cultures, including the potential need to modify our platform and features to ensure that they are culturally appropriate and relevant in different countries;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applicable international laws and regulations, including laws and regulations with respect to privacy, information security, telecommunications requirements, data protection, consumer protection, and unsolicited email, and the risk of penalties to us and individual members of management or employees if our practices are deemed to be out of compliance;</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 foreign jurisdictions where the government may impede or interrupt our ability to provide our services;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of an employee base in jurisdictions that may not give us the same employment and retention flexibility as does the United States;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 jurisdictions that do not protect intellectual property rights to the same extent as does the United States and the practical enforcement of such intellectual property rights outside of the United States;</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government interference with our non-core intellectual property that resides outside of the United States, such as the risk of changes in foreign laws that could restrict our ability to use our intellectual property outside of the foreign jurisdiction in which we developed it;</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with partners outside of the United States;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by us and our business partners with anti-corruption laws, import and export control laws, tariffs, trade barriers, economic sanctions, and other regulatory limitations on our ability to provide our platform in certain international markets;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controls that might require significant lead time in setting up operations in certain geographic territories and might prevent us from repatriating cash earned outside the United States;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instability, including as a result of the United Kingdom's (“U.K.”) withdrawal from the European Union (“EU”), and other political tensions between countries in which we do business;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diplomatic and trade relationships, including the imposition of new trade restrictions, trade protection measures, import or export requirements, trade embargoes, and other trade barriers;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longer payment cycles and greater difficulty in collecting accounts receivable, a risk that may increase as a result of the impact of the COVID-19 pandemic on our customers' ability to pay for our service on a timely basis;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right="2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double taxation of our international earnings and potentially adverse tax consequences due to changes in the income and other tax laws of the United States or the international jurisdictions in which we operate, including the imposition of digital services taxes;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costs of doing business internationally, including increased accounting, travel, infrastructure, and legal compliance costs.</w:t>
      </w:r>
    </w:p>
    <w:p>
      <w:pPr>
        <w:spacing w:after="0" w:line="11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 addition, following Russia’s military invasion of Ukraine in February 2022, the United States, European Union, and other nations announced various sanctions against Russia and export restrictions against Russia and Belarus. Such restrictions include blocking sanctions on some of the largest state-owned and private Russian financial institutions, and their removal from the Society for Worldwide Interbank Financial Telecommunication, or the SWIFT, payment system. The invasion of Ukraine and the retaliatory measures that have been taken, and could be taken in future, by the U.S., NATO, and other countries have created global security concerns that could result in a regional conflict and otherwise have a lasting impact on regional and global economies, any or all of which could adversely affect our business, including preventing us from performing existing contracts, pursuing new business opportunities, or receiving payments for services already provided to customers.</w:t>
      </w:r>
    </w:p>
    <w:p>
      <w:pPr>
        <w:spacing w:after="0" w:line="8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Compliance with laws and regulations applicable to our global operations substantially increases our cost of doing business in international jurisdictions. We may be unable to keep current with changes in laws and regulations as they occur. Although we have implemented policies and procedures designed to support compliance with these laws and regulations, there can be no assurance that we will always maintain compliance or that all of our employees, contractors, partners, and agents will comply. Any violations could result in enforcement actions, fines, civil and criminal penalties, damages, injunctions, or reputational harm. If we are unable to comply with these laws and regulations or manage the complexity of our global operations successfully, we may need to relocate or cease operations in certain foreign jurisdictions. Additionally, while our engineering team is headquartered in the United States, we employ a product development team that has a relatively significant footprint in China today, where personnel costs are less expensive than in many other geographies. This product development team carries out the design and architecture decisions made by our U.S. engineering team. We also intend to expand our research and development presence in Phoenix, Arizona and Pittsburgh, Pennsylvania, as well as in Singapore and India. As a result of this expansion, we could experience, among other things, difficulty in attracting and retaining talent in these locations and higher operating expenses, which would adversely impact our operating margins and harm our business.</w:t>
      </w:r>
    </w:p>
    <w:p>
      <w:pPr>
        <w:spacing w:after="0" w:line="84"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At the same time, our operations in China have caused and may in the future cause us to be subject to regulatory scrutiny both in China and in the United States. For example, in September 2019, the Chinese government turned off our service in China without warning and requested that we take certain steps prior to restoring our service, including designating an in-house contact for law enforcement requests and transferring China-based user data housed in the United States to a data center in China. Also, in June and July 2020, we received subpoenas from the Department of Justice’s U.S. Attorney’s Office for the Eastern District of New York (“EDNY”) and the Department of Justice’s U.S. Attorney’s Office for the Northern District of California (“NDCA”). The EDNY and NDCA subpoenas requested information about (among other things) our interactions with foreign governments and/or foreign political parties, including the Chinese government, as well as about storage of and access to user data, including the use of servers based overseas. In addition, the EDNY subpoena requested information about the actions we took relating to the Tiananmen commemorations on Zoom. The NDCA subpoena also requested documents and information about (among other things) contacts between our employees and representatives of the Chinese government, and any attempted or successful influence by any foreign government in our policies, procedures, practices, and actions as they relate to users in the United States. We are fully cooperating with these investigations and have been conducting our own thorough internal investigation. These investigations are ongoing, and we do not know when they will be completed, which facts we will ultimately discover as a result of the investigations, or what actions the government may or may not take. We cannot predict the outcome of these investigations, and a negative outcome in any or all of these matters could cause us to incur substantial fines, penalties, or other financial exposure, as well as material reputational harm, a loss of customer and user confidence and business, additional expenses, and other harm to our business.</w:t>
      </w:r>
    </w:p>
    <w:p>
      <w:pPr>
        <w:spacing w:after="0" w:line="178"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We recognize revenue from subscriptions to our platform over the terms of these subscriptions. Consequently, increases or decreases in new sales may not be immediately reflected in our results of operations and may be difficult to discern.</w:t>
      </w:r>
    </w:p>
    <w:p>
      <w:pPr>
        <w:spacing w:after="0" w:line="64"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recognize revenue from subscriptions to our platform over the terms of these subscriptions. As a result, a portion of the revenue we report in each quarter is derived from the recognition of deferred revenue relating to subscriptions entered into during previous quarters. Consequently, a decline in new or renewed subscriptions in any single quarter may have an immaterial impact on the revenue that we recognize for that quarter. However, such a decline will negatively affect our revenue in future quarters. Accordingly, the effect of significant downturns in sales and potential changes in our pricing policies or rate of customer expansion or retention may not be fully reflected in our results of operations until future periods. In addition, a significant portion of our costs is expensed as incurred, while revenue is recognized over the term of the subscription. As a result, growth in the number of new customers and hosts could continue to result in our recognition of higher costs and lower</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in the earlier periods of our subscriptions. Finally, our subscription-based revenue model also makes it difficult for us to rapidly increase our revenue through additional sales in any period, as revenue from new customers or from existing customers that increase their use of our platform or upgrade to a higher-priced tier of Zoom Meeting plan must be recognized over the applicable subscription term.</w:t>
      </w:r>
    </w:p>
    <w:p>
      <w:pPr>
        <w:spacing w:after="0" w:line="172"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to offer high-quality support for our customers and hosts may harm our relationships with our customers and hosts and, consequently, our business.</w:t>
      </w:r>
    </w:p>
    <w:p>
      <w:pPr>
        <w:spacing w:after="0" w:line="5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Increased user demand for support may result in increased costs that may harm our results of operations. Surging demand during the COVID-19 pandemic has required us to allocate additional resources to support our expanded user base, including many hosts and customers who are using our platform for the first time. In addition, as we continue to grow our operations and support our global user base, we need to be able to continue to provide efficient support that meets our customers and hosts’ needs globally at scale. As the number of our hosts has grown significantly, it has put additional pressure on our support organization. If we are unable to provide efficient user support globally at scale or if we need to hire additional support personnel, including as a result of increased demand during the COVID-19 pandemic, our business may be harmed. Our new customer and host signups are highly dependent on our business reputation and on recommendations from our existing customers and hosts. Any failure to maintain high-quality support, or a market perception that we do not maintain high-quality support for our customers and hosts, would harm our business.</w:t>
      </w:r>
    </w:p>
    <w:p>
      <w:pPr>
        <w:spacing w:after="0" w:line="188"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utilize our network of resellers to sell our products and services, and our failure to effectively develop, manage, and maintain our indirect sales channels would harm our business.</w:t>
      </w:r>
    </w:p>
    <w:p>
      <w:pPr>
        <w:spacing w:after="0" w:line="5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Our future success depends on our continued ability to establish and maintain a network of channel relationships, and we expect that we will need to maintain and expand our network as we expand into international markets. A small portion of our revenue is derived from our network of sales agents and resellers, which we refer to collectively as resellers, many of which sell or may in the future decide to sell their own products and services or services from other communications solutions providers. Loss of or reduction in sales through these third parties could reduce our revenue. Our competitors may in some cases be effective in causing our reseller or potential reseller to favor their products and services or prevent or reduce sales of our products and services. Recruiting and retaining qualified resellers in our network and training them in our technology and product offerings requires significant time and resources. If we decide to further develop and expand our indirect sales channels, we must continue to scale and improve our processes and procedures to support these channels, including investment in systems and training. Many resellers may not be willing to invest the time and resources required to train their staff to effectively sell our platform. If we fail to maintain relationships with our resellers, fail to develop relationships with new resellers in new markets, or expand the number of resellers in existing markets or fail to manage, train, or provide appropriate incentives to our existing resellers, our ability to increase the number of new customers and hosts and increase sales to existing customers could be adversely impacted, which would harm our business.</w:t>
      </w:r>
    </w:p>
    <w:p>
      <w:pPr>
        <w:spacing w:after="0" w:line="188"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which are reported in U.S. dollars, could be adversely affected if currency exchange rates fluctuate substantially in the future.</w:t>
      </w:r>
    </w:p>
    <w:p>
      <w:pPr>
        <w:spacing w:after="0" w:line="5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sell to customers globally and have international operations primarily in Australia, China, and the U.K. As we continue to expand our international operations, we will become more exposed to the effects of fluctuations in currency exchange rates. Although the majority of our cash generated from revenue is denominated in U.S. dollars, a portion of our revenue is denominated in foreign currencies, and our expenses are generally denominated in the currencies of the jurisdictions in which we conduct our operations. For the nine months ended October 31, 2022 and 2021, 20.3% and 22.7% of our revenue, respectively, and 11.3% and 15.0% of our expenses, respectively, were denominated in currencies other than U.S. dollars. Because we conduct business in currencies other than U.S. dollars but report our results of operations in U.S. dollars, we also face remeasurement exposure to fluctuations in currency exchange rates, which could hinder our ability to predict our future results and earnings and could materially impact our results of operations. For example, for the quarter ended October 31, 2022, our total revenue was lower than anticipated in part due to the strengthening of the U.S. dollar. We do not currently maintain a program to hedge exposures to non-U.S. dollar currencies.</w:t>
      </w:r>
    </w:p>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Our sales to government entities and other government contractors are subject to a number of additional challenges and risks.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expect to continue selling our products and services to U.S. federal and state and foreign governmental agency customers, which may occur through sales to other companies that re-sell our services to government customers and/or through direct sales to government entities. While we are a U.S. Federal Risk and Authorization Management Program (“FedRAMP”) authorized SaaS service, selling to government entities and other government contractors presents a number of unique challenges and risks including the following:</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right="2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to governmental entities can be more competitive, expensive, and time-consuming than selling to private entities, often requiring significant up-front time and expense and ongoing compliance costs without any assurance that these efforts will generate a sale;</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certification requirements may change, or we may be unable to achieve or sustain one or more government certifications, including FedRAMP, which may restrict our ability to sell into the government sector until we have attained such certificates;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with governmental entities and other government contractors, including resellers in the government market, contain terms that differ less favorably from what we generally agree to in our standard agreements, including, terms and conditions required by regulation that are not negotiable with the customer;</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non-compliance with terms and conditions of government contracts, or with representations or certifications made in connection with government contracts, can result in significantly more adverse consequences than we typically would expect in the commercial market, including, depending on the circumstances, criminal liability, liability under the civil False Claims Act, and/or suspension or debarment from doing business with governmental entities;</w:t>
      </w:r>
    </w:p>
    <w:p>
      <w:pPr>
        <w:spacing w:after="0" w:line="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demand and payment for our products may be influenced, among other things, by public sector budgetary cycles and funding authorizations, with funding reductions or delays having an adverse impact on public sector demand for our products; and</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government-imposed vaccine mandates could result in increased attrition and difficulties in recruiting, and non-compliance with any such mandates could restrict our ability to do business with governmental entities.</w:t>
      </w:r>
    </w:p>
    <w:p>
      <w:pPr>
        <w:spacing w:after="0" w:line="54"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To the extent that we become more reliant on contracts with government entities and/or other government contractors in the future, our exposure to such risks and challenges could increase, which in turn could adversely impact our business.</w:t>
      </w:r>
    </w:p>
    <w:p>
      <w:pPr>
        <w:spacing w:after="0" w:line="54"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May 2021, the Biden Administration issued an Executive Order requiring federal agencies to implement additional information technology security measures, including, among other things, requiring agencies to adopt multifactor authentication and encryption for data at rest and in transit to the maximum extent consistent with Federal records laws and other applicable laws. The Executive Order will lead to the development of secure software development practices and/or criteria for a consumer software labeling program, which will reflect a baseline level of secure practices, for software that is developed and sold to the U.S. federal government. Software developers will be required to provide visibility into their software and make security data publicly available. Due to this Executive Order, federal agencies may require us to modify our cybersecurity practices and policies, thereby increasing our compliance costs. If we are unable to meet the requirements of the Executive Order, our ability to work with the U.S. government may be impaired and may result in a loss of revenue.</w:t>
      </w:r>
    </w:p>
    <w:p>
      <w:pPr>
        <w:spacing w:after="0" w:line="188"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current products, as well as products, features, and functionality that we may introduce in the future, may not be widely accepted by our customers and hosts or may receive negative attention or may require us to compensate or reimburse third parties, any of which may lower our margins and harm our business.</w:t>
      </w:r>
    </w:p>
    <w:p>
      <w:pPr>
        <w:spacing w:after="0" w:line="67"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Our ability to engage, retain, and increase our base of customers and hosts and to increase our revenue will depend on our ability to successfully create new products, features, and functionality, both independently and together with third parties. We may introduce significant changes to our existing products or develop and introduce new and unproven products, including technologies with which we have little or no prior development or operating experience. These new products and updates may not perform as expected, may fail to engage, retain, and increase our base of customers and hosts or may create lag in adoption of such new products. New products may initially suffer from performance and quality issues that may negatively impact our ability to market and sell such products to new and existing customers and hosts. The short- and long-term impact of any major change to our products, or the introduction of new products, is particularly difficult to predict. If new or enhanced products fail to engage, retain, and increase our base of customers and hosts, or do not perform as expected, we may fail to generate sufficient revenue, operating margin, or other value to justify our investments in such products, any of which may harm our business in the short term, long term, or both. In addition, our current products, as well as products, features, and functionality that we may introduce in the future, may require us to compensate or reimburse third parties. For example, our cloud phone system, Zoom Phone, is a PBX phone solution that requires us to compensate carriers that operate the PSTN. As a result, a portion of the payments that we will receive from customers that will use our Zoom Phone product will be allocated towards compensating these telephone carriers, which lowers our margins for Zoom Phone as compared to our other products. In addition, new products that we introduce in the future may similarly require us to compensate or reimburse third parties, all of which would lower our profit margins for any such new products. If this trend continues with our new and existing products, including Zoom Phone, it could harm our business.</w:t>
      </w:r>
    </w:p>
    <w:p>
      <w:pPr>
        <w:spacing w:after="0" w:line="192" w:lineRule="exact"/>
        <w:rPr>
          <w:sz w:val="20"/>
          <w:szCs w:val="20"/>
          <w:color w:val="auto"/>
        </w:rPr>
      </w:pPr>
    </w:p>
    <w:p>
      <w:pPr>
        <w:jc w:val="both"/>
        <w:ind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excessive fraudulent activity or cannot meet evolving credit card association merchant standards, we could incur substantial costs and lose the right to accept credit cards for payment, which could cause our customer and paid host base to decline significantly.</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A large portion of our customers authorize us to bill their credit card accounts directly for our products. If customers pay for their subscriptions with stolen credit cards, we could incur substantial third-party vendor costs for which we may not be reimbursed. Further, our customers provide us with credit card billing information online or over the phone, and we do not review the physical credit cards used in these transactions, which increases our risk of exposure to fraudulent activity. We also incur charges, which we refer to as chargebacks, from the credit card companies for claims that the customer did not authorize the credit card transaction for our products, something that we have experienced in the past. If the number of claims of unauthorized credit card transactions becomes excessive, we could be assessed substantial fines for excess chargebacks, and we could lose the right to accept credit cards for payment. In addition, credit card issuers may change merchant standards, including data protection and documentation standards, required to utilize their services from time to time. If we fail to maintain compliance with current merchant standards or fail to meet new standards, the credit card associations could fine us or terminate their agreements with us, and we would be unable to accept credit cards as payment for our products. Our products may also be subject to fraudulent usage and schemes, including third parties accessing customer accounts or viewing and recording data from our communications solutions. These fraudulent activities can result in unauthorized access to customer accounts and data, unauthorized use of our products, and charges and expenses to customers for fraudulent usage. We may be required to pay for these charges and expenses with no reimbursement from the customer, and our reputation may be harmed if our products are subject to fraudulent usage. Although we implement multiple fraud prevention and detection controls, we cannot assure you that these controls will be adequate to protect against fraud. Substantial losses due to fraud or our inability to accept credit card payments would cause our customer base to significantly decrease and would harm our business.</w:t>
      </w:r>
    </w:p>
    <w:p>
      <w:pPr>
        <w:spacing w:after="0" w:line="1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We may have exposure to greater than anticipated tax liabilities, which could harm our business.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are subject to income taxes in the United States and various jurisdictions outside of the United States. Our effective tax rate could fluctuate due to changes in the proportion of our earnings and losses in countries with differing statutory tax rates. Our tax expense could also be impacted by changes in non-deductible expenses; changes in excess tax benefits of stock-based compensation expense; changes in the valuation of, or our ability to use, deferred tax assets; the applicability of withholding taxes and effects from acquisitions.</w:t>
      </w:r>
    </w:p>
    <w:p>
      <w:pPr>
        <w:spacing w:after="0" w:line="7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provision for taxes on our condensed consolidated financial statements could also be impacted by changes in accounting principles; changes in U.S. federal, state, or foreign tax laws applicable to corporate multinationals (including provisions of the recently enacted federal tax legislation titled the Inflation Reduction Act), other fundamental changes in tax law currently being considered by many countries; and changes in taxing jurisdictions’ administrative interpretations, decisions, policies, and positions. In addition, we are subject to review and audit by U.S. federal, state, local, and foreign tax authorities. Such tax authorities may disagree with tax positions we take, and if any such tax authority were to successfully challenge any such position, our business could be adversely impacted.</w:t>
      </w:r>
    </w:p>
    <w:p>
      <w:pPr>
        <w:spacing w:after="0" w:line="7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Tax Cuts and Jobs Act of 2017 requires the capitalization and amortization of research and development expenses effective for years beginning after December 31, 2021. Absent a change in legislation, we expect it will have a material impact on our cash flows beginning in this current fiscal year ending January 31, 2023. Although Congress is considering legislation that would defer the amortization requirement to later years, we have no assurance that the provision will be deferred, repealed, or otherwise modified.</w:t>
      </w:r>
    </w:p>
    <w:p>
      <w:pPr>
        <w:spacing w:after="0" w:line="72"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may also be subject to additional tax liabilities due to changes in non-income-based taxes resulting from changes in U.S. federal, state, local, or foreign tax laws; changes in taxing jurisdictions’ administrative interpretations, decisions, policies, and positions; results of tax examinations, settlements, or judicial decisions; changes in accounting principles, changes to our business operations, including acquisitions; as well as the evaluation of new information that results in a change to a tax position taken in a prior period. Further, the Organization for Economic Co-operation and Development (“OECD”) and the Inclusive Framework of G20 and other countries have issued proposals related to the taxation of the digital economy. In addition, several countries have proposed or enacted Digital Services Taxes (“DST”), many of which would apply to revenue derived from digital services. Future developments related to such proposals, in particular any unilateral actions outside of the OECD's Inclusive Framework such as the imposition of DST rules, could have an adverse impact on our business by increasing our future tax obligations.</w:t>
      </w:r>
    </w:p>
    <w:p>
      <w:pPr>
        <w:spacing w:after="0" w:line="188"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acquired and may continue to acquire other businesses or receive offers to be acquired, which could require significant management attention, disrupt our business, or dilute stockholder value.</w:t>
      </w:r>
    </w:p>
    <w:p>
      <w:pPr>
        <w:spacing w:after="0" w:line="5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have made and may continue in the future to make acquisitions of other companies, products, and technologies. We have limited experience in acquisitions. We may not be able to find suitable acquisition candidates and we may not be able to complete acquisitions on favorable terms, if at all. If we do complete acquisitions, we may not ultimately strengthen our competitive position or achieve our goals, and any acquisitions we complete could be viewed negatively by users, developers, or investors. In addition, we may not be able to integrate acquired businesses successfully or effectively manage the combined company following an acquisition. If we fail to successfully integrate our acquisitions, or the people or technologies associated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those acquisitions, into our company, the results of operations of the combined company could be adversely affected. Any integration process will require significant time and resources, require significant attention from management and disrupt the ordinary functioning of our business, and we may not be able to manage the process successfully, which could harm our business. In addition, we may not successfully evaluate or utilize the acquired technology and accurately forecast the financial impact of an acquisition transaction, including accounting charges.</w:t>
      </w:r>
    </w:p>
    <w:p>
      <w:pPr>
        <w:spacing w:after="0" w:line="7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may have to pay cash, incur debt, or issue equity securities to pay for any such acquisition, each of which could affect our financial condition or the value of our capital stock. The sale of equity to finance any such acquisitions could result in dilution to our stockholders. If we incur more debt, it would result in increased fixed obligations and could also subject us to covenants or other restrictions that would impede our ability to flexibly operate our business.</w:t>
      </w:r>
    </w:p>
    <w:p>
      <w:pPr>
        <w:spacing w:after="0" w:line="68" w:lineRule="exact"/>
        <w:rPr>
          <w:sz w:val="20"/>
          <w:szCs w:val="20"/>
          <w:color w:val="auto"/>
        </w:rPr>
      </w:pPr>
    </w:p>
    <w:p>
      <w:pPr>
        <w:jc w:val="both"/>
        <w:ind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at the current scale of our business, which makes it difficult to evaluate our prospects and future results of operations.</w:t>
      </w:r>
    </w:p>
    <w:p>
      <w:pPr>
        <w:spacing w:after="0" w:line="5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Beginning in the fiscal quarter ended April 30, 2020, we faced unprecedented usage of our unified communications platform largely due to the COVID-19 pandemic. This usage dramatically changed the scale of our business, and we have a limited operating history at the current scale of our business. As a result, our ability to forecast our future results of operations is limited and subject to a number of uncertainties, including our ability to plan for and model future growth and expenses. Our historical revenue growth should not be considered indicative of our future performance. Further, in future periods, our revenue growth could continue to slow or our revenue could decline for a number of reasons, including any reduction in demand for our platform; increased competition; contraction of our overall market; our inability to accurately forecast demand for our platform and plan for capacity constraints; our failure, for any reason, to capitalize on growth opportunities; or our failure to adapt and respond to inflationary factors affecting our business or future economic recessions. The COVID-19 pandemic has also made it difficult to forecast revenue, costs, and expenses, as our platform has recently faced unprecedented usage from free users and new and existing customers, requiring us to devote significant resources to bolster our capacity and infrastructure. We have encountered and will encounter risks and uncertainties frequently experienced by growing companies in rapidly changing industries, such as the risks and uncertainties described herein. If our assumptions regarding these risks and uncertainties, which we use to plan our business, are incorrect or change, or if we do not address these risks successfully, our business would be harmed.</w:t>
      </w:r>
    </w:p>
    <w:p>
      <w:pPr>
        <w:spacing w:after="0" w:line="78" w:lineRule="exact"/>
        <w:rPr>
          <w:sz w:val="20"/>
          <w:szCs w:val="20"/>
          <w:color w:val="auto"/>
        </w:rPr>
      </w:pPr>
    </w:p>
    <w:p>
      <w:pPr>
        <w:jc w:val="both"/>
        <w:ind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data from tools to calculate certain of our key business metrics. Real or perceived inaccuracies in such metrics may harm our reputation and negatively affect our business.</w:t>
      </w:r>
    </w:p>
    <w:p>
      <w:pPr>
        <w:spacing w:after="0" w:line="5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track our key business metrics with tools that are not independently verified by any third party. Our tools have limitations, and our methodologies for tracking these metrics may change over time, which could result in unexpected changes to our performance metrics, including the key metrics we report. If the tools we use to track these metrics over- or undercount performance or contain errors, the data we report may not be accurate and our understanding of certain details of our business may be distorted, which could affect our longer-term strategies.</w:t>
      </w:r>
    </w:p>
    <w:p>
      <w:pPr>
        <w:spacing w:after="0" w:line="7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are continually seeking to improve our ability to measure our key business metrics, and regularly review our processes to assess potential improvements.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Laws and Regulations</w:t>
      </w:r>
    </w:p>
    <w:p>
      <w:pPr>
        <w:spacing w:after="0" w:line="225"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actual or perceived failure by us, our customers, partners or vendors to comply with stringent and evolving privacy, data protection, and information security laws, regulations, standards, policies, and contractual obligations could harm our reputation and business or subject us to significant fines and liability.</w:t>
      </w:r>
    </w:p>
    <w:p>
      <w:pPr>
        <w:spacing w:after="0" w:line="67"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receive, store, process, generate, use, and share personal information and other customer and user content necessary to provide our service and ensure it is delivered effectively, to operate our business, for legal and marketing purposes, and for other business-related purposes. There are numerous federal, state, local, and international laws and regulations regarding privacy, data protection, information security and the collection, storing, sharing, use, processing, transfer, disclosure, and protection of personal information and other content, the scope of which is changing, subject to differing applications and interpretations and may be inconsistent among countries, or conflict with other rules. We are also subject to the terms of our privacy policies and contractual obligations to third parties related to privacy, data protection, and information security. Although we endeavor to comply with applicable laws and our policies, publications, certifications, and documentation, and other obligations, we may at times fail to do so or may be perceived to have failed to do so. Moreover, we may not be successful in achieving compliance if our employees, vendors or business partners do not comply with our policies, certifications, and documentation. Any actual or perceived compliance failure, as well as greater public scrutiny of our privacy, data protection, and information security practices, could result in increased governmental and regulatory scrutiny and litigation exposure, as well as material reputational harm, a loss of customer and user confidence and business, additional expenses, and other harm to our business.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For example, in June 2020, we received a grand jury subpoena from the Department of Justice’s U.S. Attorney’s Office for the EDNY, which requested information regarding our interactions with foreign governments and foreign political parties, including the Chinese government, as well as information regarding storage of and access to user data, the development and implementation of Zoom’s privacy policies, and the actions we took relating to the Tiananmen commemorations on Zoom. In July 2020, we received subpoenas from the Department of Justice’s U.S. Attorney’s Office for the NDCA and the SEC. Both subpoenas seek documents and information relating to various security, data protection and privacy matters, including our encryption, and our statements relating thereto, as well as calculation of usage metrics and related public statements. In addition, the NDCA subpoena seeks information relating to any contacts between our employees and representatives of the Chinese government, and any attempted or successful influence by any foreign government in our policies, procedures, practices, and actions as they relate to users in the United States. We have since received additional subpoenas from EDNY and NDCA seeking related information. We are fully cooperating with all of these investigations and have been conducting our own thorough internal investigation. These investigations are ongoing, and we do not know when they will be completed, which facts we will ultimately discover as a result of the investigations, or what actions the government may or may not take. We cannot predict the outcome of these investigations, and a negative outcome in any or all of these matters could cause us to incur substantial fines, penalties, or other financial exposure, as well as material reputational harm, a loss of customer and user confidence and business, additional expenses, and other harm to our business.</w:t>
      </w:r>
    </w:p>
    <w:p>
      <w:pPr>
        <w:spacing w:after="0" w:line="79"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We also expect that there will continue to be new or amended laws, regulations, industry standards, guidance and contractual obligations concerning privacy, data protection, and information security proposed and enacted in various jurisdictions. For example, in May 2018, the General Data Protection Regulation (“GDPR”) went into effect in the EU, and the United Kingdom (U.K.) implemented the U.K. GDPR. The GDPR and the U.K. GDPR impose more stringent data protection requirements and provide greater penalties for noncompliance than previous data protection laws. Companies that violate the GDPR can face private litigation (including cases brought by consumer protection organizations), restrictions on data processing, and fines of up to the greater of 20 million Euros or 4% of their worldwide annual revenue. Our or our customers’, partners’, or vendors’ failure to comply with the GDPR could lead to significant fines imposed by regulators or restrictions on our ability to process personal information as needed to provide our product and services. We may also be obligated to assist our customers, partners, and vendors with their own compliance obligations under the GDPR, which could require expenditure of significant resources. Furthermore, in Europe, there is a proposed regulation related to artificial intelligence (“AI”) that, if adopted, could impose onerous obligations related to the use of AI-related systems. We may have to change our business practices to comply with such obligations. Additionally, Brazil recently enacted the General Data Protection Law (Lei Geral de Proteção de Dados Pessoais or LGPD) (Law No. 13,709/2018), which broadly regulates the processing of personal information and imposes compliance obligations and penalties comparable to those of the GDPR. Additionally, in August 2021, China adopted the Personal Information Protection Law (“PIPL”), which took effect on November 1, 2021. The PIPL introduces a legal framework similar to the GDPR and is viewed as the beginning of a comprehensive system for the protection of personal information in China, although numerous aspects of the law remain uncertain and developing and the impact that PIPL will have on businesses remains uncertain. We also target customers in Asia and have operations in Japan and Singapore, and may be subject to new and emerging privacy, data protection, and information security regimes in Asia, including Japan’s Act on the Protection of Personal Information and Singapore’s Personal Data Protection Act.</w:t>
      </w:r>
    </w:p>
    <w:p>
      <w:pPr>
        <w:spacing w:after="0" w:line="85"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Certain jurisdictions have enacted data localization laws and cross-border data transfer laws. For example, absent appropriate safeguards or other circumstances, the GDPR generally restricts the transfer of personal information to countries outside of the EEA, such as the United States, which the European Commission does not consider to provide an adequate level of data privacy and security. The European Commission released a set of Standard Contractual Clauses that are designed to be a lawful mechanism by which entities can transfer personal information out of the EEA to jurisdictions that the European Commission has not found to provide an adequate level of protection. The Standard Contractual Clauses require parties that rely upon them to comply with additional obligations, such as conducting transfer impact assessments to determine whether additional security measures are necessary to protect the at-issue personal information. Moreover, due to potential legal challenges, there exists some uncertainty regarding whether the Standard Contractual Clauses will remain a valid mechanism for transfers of personal information out of the EEA. In addition, laws in Switzerland and the U.K. similarly restrict transfers of personal information outside of those jurisdictions to countries such as the United States that do not provide an adequate level of personal information protection.</w:t>
      </w:r>
    </w:p>
    <w:p>
      <w:pPr>
        <w:spacing w:after="0" w:line="86"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 addition to European restrictions on cross-border transfers of personal information, other jurisdictions (e.g., Russia, China, and Brazil) have enacted or are considering similar cross-border personal information transfer laws and local personal information residency laws, any of which could increase the cost and complexity of doing business. If we cannot implement a valid compliance mechanism for cross-border transfers, we may face increased exposure to regulatory actions, substantial fines, and injunctions against processing or transferring personal information from Europe or elsewhere. The inability to import personal information to the United States could significantly and negatively impact our business operations; limiting our ability to collaborate with parties that are subject to European and other privacy, data protection, and information security laws; or requiring us to increase our personal information processing capabilities in Europe and/or elsewhere at significant expense.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are also subject to evolving EU and U.K. privacy laws on cookies and e-marketing. European regulators are increasingly focusing on compliance with requirements in the online behavioral advertising ecosystem, and current national laws that implement the ePrivacy Directive are likely to be replaced by the ePrivacy Regulation, which could lead to substantial costs, limit the effectiveness of our marketing and personalization activities, and subject us to additional liabilities.</w:t>
      </w:r>
    </w:p>
    <w:p>
      <w:pPr>
        <w:spacing w:after="0" w:line="72"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States have also begun to introduce more comprehensive privacy legislation. For example, the California Consumer Privacy Act of 2018 (“CCPA”), which went into effect on January 1, 2020, affords consumers expanded privacy protections. The CCPA allows for statutory fines for noncompliance (up to $7,500 per violation). The CCPA will be expanded substantially on January 1, 2023 when the California Privacy Rights Act of 2020 (the “CPRA”) becomes fully operative and will apply to personal information of business representatives and employees and establish a new regulatory agency to implement and enforce the law. Aspects of the CCPA and CPRA, and their interpretation and enforcement remain uncertain. The potential effects of the CCPA and CPRA are far-reaching and may require us to modify our data processing practices and policies and to incur substantial costs and expenses in an effort to comply.</w:t>
      </w:r>
    </w:p>
    <w:p>
      <w:pPr>
        <w:spacing w:after="0" w:line="8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CCPA appears to mark the beginning of a trend toward more stringent privacy legislation in the United States, as other states have followed California’s lead and increase protections for their residents. The CCPA has already prompted a number of proposals for new federal and state privacy legislation that, if passed, could increase our potential liability, increase our compliance costs and adversely affect our business. In addition, effective October 1, 2019, Nevada amended its existing Security of Personal Information Law (“SPI Law”) to now require, among other things, that businesses provide an online mechanism or toll-free phone number to intake requests from consumers to opt out of the sale of their personal information. Virginia, Colorado, Utah and Connecticut have similarly enacted comprehensive privacy, data protection and information security laws, that emulate the CCPA and CPRA in many respects and take effect in 2023.</w:t>
      </w:r>
    </w:p>
    <w:p>
      <w:pPr>
        <w:spacing w:after="0" w:line="81"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The Children’s Online Privacy Protection Act (“COPPA”) is a U.S. Federal law that applies to operators of commercial websites and online services directed to U.S. children under the age of 13 that collect personal information from children, and to operators of general audience websites with actual knowledge that they are collecting personal information from U.S. children under the age of 13. We provide video communications services to schools, school districts, and school systems to support traditional, virtual, and hybrid classrooms, distance learning, educational office hours, guest lectures, and other services. As part of these services, Zoom may be used by students, including students under the age of 13, and we collect personal information from such students on behalf of our school subscribers. School subscribers must contractually consent to Zoom’s information practices on behalf of students, prior to students using the services. In addition, the GDPR prohibits certain processing of the personal information of children under the age of 13-16 (depending on the country) without parental consent. Additionally, the U.K.’s Information Commissioner’s Office recently enacted the Age-Appropriate Design Code ("Children’s Code"), which imposes various obligations relating to the processing of children's data. Moreover, in September 2022, the California Governor signed into law the California Age-Appropriate Design Code Act, which takes effect July 1, 2024, and which is intended to protect the wellbeing, data, and privacy of children using online platforms. If we fail to accurately anticipate the application, interpretation, or legislative expansion of COPPA, HIPAA, GDPR, Children's Code, and CCPA, we could be subject to governmental enforcement actions, data processing restrictions, litigation, fines and penalties, adverse publicity or loss of customers. Moreover, as a result of any such failures, we could be in breach of our K-12 school customer contracts, and our customers could lose trust in us, which could harm our reputation and business.</w:t>
      </w:r>
    </w:p>
    <w:p>
      <w:pPr>
        <w:spacing w:after="0" w:line="8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With laws and regulations, such as the GDPR and UK GDPR in the EU as well as the CCPA, SPI Law, HIPAA, and COPPA in the United States imposing relatively burdensome obligations, and with substantial uncertainty over the interpretation and application of these and other laws and regulations, we have faced and may face additional challenges in addressing their requirements and making necessary changes to our policies and practices. Additional uses of our services arising out of increased demand associated with the COVID-19 pandemic may require us to address additional privacy, data protection, and information security laws, regulations, standards, policies, and contractual obligations.</w:t>
      </w:r>
    </w:p>
    <w:p>
      <w:pPr>
        <w:spacing w:after="0" w:line="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have in the past and may in the future receive inquiries or be subject to investigations by domestic and international government entities regarding, among other things, our privacy, data protection, and information security practices. The result of these proceedings could impact our brand reputation, subject us to monetary remedies and costs, interrupt or require us to change our business practices, divert resources and the attention of management from our business, or subject us to other remedies that adversely affect our business. We also face litigation regarding our privacy and security practices, including alleged data sharing with third parties, in various jurisdictions. See Part I, Item 3 “Legal Proceedings” for additional information.</w:t>
      </w:r>
    </w:p>
    <w:p>
      <w:pPr>
        <w:spacing w:after="0" w:line="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were also the subject of an investigation by the FTC relating to our privacy and security representations and practices. We have reached a settlement agreement with the FTC, which the FTC voted to make final on January 19, 2021. We could fail or be perceived to fail to comply with the terms of the settlement with the FTC or any other orders or settlements relating to litigation or governmental investigations with respect to our privacy and security practices. Any failure or perceived failure to comply with such orders or settlements may increase the possibility of additional adverse consequences, including litigation, additional regulatory actions, injunctions, or monetary penalties, or require further changes to our business practices,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significant management time, or the diversion of significant operational resources. Furthermore, the costs of compliance with, and other burdens imposed by, the laws, regulations, policies, and other obligations that are applicable to the businesses of our users may limit the adoption and use of, and reduce the overall demand for, our platform and services, which could have an adverse impact on our business.</w:t>
      </w:r>
    </w:p>
    <w:p>
      <w:pPr>
        <w:spacing w:after="0" w:line="68"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Additionally, we rely on the administrators of our customers in the healthcare and education industries to obtain the necessary consents from users of our products and services and to ensure their account settings are configured correctly for their compliance under applicable laws and regulations, including HIPAA. Furthermore, if third parties we work with, such as vendors or developers, make misrepresentations, violate applicable laws and regulations, or our policies, such misrepresentations and violations may also put our users’ content at risk and could in turn have an adverse effect on our business. Any significant change to applicable laws, regulations, or industry practices regarding the collection, use, retention, security, or disclosure of our users’ content, or regarding the manner in which the express or implied consent of users for the collection, use, retention, or disclosure of such content is obtained, could increase our costs and require us to modify our services and features, possibly in a material manner, which we may be unable to complete and may limit our ability to store and process user data or provide or develop new services and features.</w:t>
      </w:r>
    </w:p>
    <w:p>
      <w:pPr>
        <w:spacing w:after="0" w:line="84"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Increased usage of our services and additional awareness of Zoom and our brand stemming from the COVID-19 pandemic has led to greater public scrutiny of, press related to, or a negative perception of our collection, use, storage, disclosure, and processing of personal information, and our privacy policies and practices. For example, users and customers, particularly those that are new to Zoom, may not have significant IT or security knowledge or have their own IT controls like those of a larger organization to configure our service in a manner that provides them with control over user settings. This has resulted in reports of users and customers experiencing meeting disruptions by malicious actors. Additional unfavorable publicity and scrutiny has led to increased governmental and regulatory scrutiny and litigation exposure, and could result in material reputational harm, a loss of customer and user confidence, additional expenses and other harm to our business.</w:t>
      </w:r>
    </w:p>
    <w:p>
      <w:pPr>
        <w:spacing w:after="0" w:line="185"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government trade policies, including the imposition of tariffs and export restrictions, could limit our ability to sell our products to certain customers, which may materially adversely affect our sales and results of operations.</w:t>
      </w:r>
    </w:p>
    <w:p>
      <w:pPr>
        <w:spacing w:after="0" w:line="51"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The U.S. or foreign governments may take administrative, legislative, or regulatory action that could materially interfere with our ability to sell products in certain countries. For example, while we stopped selling our products directly in China during the six months ended July 31, 2020, the prior U.S. administration had threatened tougher trade terms with China and other countries, leading to the imposition, or announcement of future imposition, of substantially higher U.S. Section 301 tariffs on roughly $500 billion of imports from China. In response, China imposed and proposed new or higher tariffs on U.S. products. The direct and indirect effects of tariffs and other restrictive trade policies are difficult to measure and are only one part of a larger U.S./China economic and trade policy disagreement. The effects of tariffs are uncertain because of the dynamic nature of governmental action and responses. Sustained uncertainty about, or worsening of, current global economic conditions and further escalation of trade tensions between the United States and its trading partners, especially China, could result in a global economic slowdown and long-term changes to global trade, including retaliatory trade restrictions that restrict our ability to operate in China. We cannot predict what actions may ultimately be taken by the new U.S. administration with respect to tariffs or trade relations between the United States and China or other countries, what products may be subject to such actions, or what actions may be taken by the other countries in retaliation. Any further deterioration in the relations between the United States and China could exacerbate these actions and other governmental intervention. For example, the implementation of China’s national-security law in Hong Kong has created additional U.S.-China tensions and could potentially increase the risks associated with the business and operations of U.S.-based technology companies in China. Any alterations to our business strategy or operations made in order to adapt to or comply with any such changes would be time-consuming and expensive, and certain of our competitors may be better suited to withstand or react to these changes.</w:t>
      </w:r>
    </w:p>
    <w:p>
      <w:pPr>
        <w:spacing w:after="0" w:line="88"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Further, in recent years, the U.S. Government has expressed concerns with the security of information and communications technology and services (“ICTS”) sourced from providers in China, Russia, and other jurisdictions. In May 2019, former President Trump issued an executive order that invoked national emergency economic powers to implement a framework to regulate the acquisition or transfer of ICTS in transactions that imposed undue national security risks. The executive order is subject to implementation by the Secretary of Commerce and applies to contracts entered into prior to the effective date of the order. On March 22, 2021, the U.S. Department of Commerce issued an interim final rule allowing it to identify, review, and prohibit ICTS transactions that pose a national security risk, including transactions involving specified countries, such as China. Several aspects of this rule remain unclear including the scope of affected transactions and how the rule will be implemented and enforced in practice. In addition, the U.S. Commerce Department has implemented additional restrictions and may implement further restrictions that would affect conducting business with certain Chinese companies. Due to the uncertainty regarding the timing, content, and extent of any such changes in policy, we cannot assure you that we will successfully mitigate any negative impact. Depending upon their duration and implementation, these tariffs, the executive order and its implementation, and other regulatory actions could materially affect our business, including in the form of increased cost of revenue, decreased margins, increased pricing for customers, and reduced sales.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additional liabilities on past sales for taxes, surcharges, and fees.</w:t>
      </w:r>
    </w:p>
    <w:p>
      <w:pPr>
        <w:spacing w:after="0" w:line="12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currently collect and remit applicable indirect taxes in jurisdictions where we, through our employees, have a presence and where we have determined, based on legal precedents in the jurisdiction, that sales of our platform are classified as taxable. State and local taxing authorities have differing rules and regulations which are subject to varying interpretations. This makes the applicability of sales tax to e-commerce businesses, such as ours, uncertain and complex. We believe that we are not otherwise subject to, or required to collect, additional taxes, fees, or surcharges imposed by state and local jurisdictions because we do not have a sufficient physical presence or “nexus” in the relevant taxing jurisdiction, or such taxes, fees, or surcharges do not apply to sales of our platform in the relevant taxing jurisdiction. There is uncertainty as to what constitutes sufficient nexus for sales made over the Internet and, after the U.S. Supreme Court’s ruling in South Dakota v. Wayfair, states may require an e-commerce business with no in-state property or personnel to collect and remit sales tax. Therefore, it is possible that we could face future audits or challenges of our positions by taxing authorities and that our liability for these taxes could exceed our estimates. The application of existing, new, or future laws, whether in the U.S. or internationally, could harm our business.</w:t>
      </w:r>
    </w:p>
    <w:p>
      <w:pPr>
        <w:spacing w:after="0" w:line="190"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export and import controls that could impair our ability to compete in international markets due to licensing requirements and subject us to liability if we are not in compliance with applicable laws.</w:t>
      </w:r>
    </w:p>
    <w:p>
      <w:pPr>
        <w:spacing w:after="0" w:line="5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Our platform and associated products are subject to various restrictions under U.S. export control and sanctions laws and regulations, including the U.S. Department of Commerce’s Export Administration Regulations (“EAR”) and various economic and trade sanctions regulations administered by the U.S. Department of the Treasury’s Office of Foreign Assets Control (“OFAC”). The U.S. export control laws and U.S. economic sanctions laws include restrictions or prohibitions on the sale or supply of certain products and services to U.S.-embargoed or U.S.-sanctioned countries, governments, persons, and entities, and also require authorization for the export of certain encryption items. In addition, various countries regulate the import of certain encryption technology, including through import permitting and licensing requirements and have enacted or could enact laws that could limit our ability to distribute our platform or could limit our hosts’ ability to implement our platform in those countries.</w:t>
      </w:r>
    </w:p>
    <w:p>
      <w:pPr>
        <w:spacing w:after="0" w:line="8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Although we have taken precautions to prevent our platform and associated products from being accessed or used in violation of such laws, we have inadvertently allowed our platform and associated products to be accessed or used by some customers in potential violation of U.S. economic sanction laws. In addition, we may have inadvertently made our software products available to some customers in potential violation of the EAR. As a result, we have submitted and from time to time will continue to submit as warranted initial and final voluntary self-disclosures regarding compliance with U.S. sanctions and export control laws and regulations to OFAC and the U.S. Department of Commerce’s Bureau of Industry and Security (“BIS”). For instance, in March 2022, we submitted a voluntary self-disclosure to BIS regarding compliance with certain U.S. export control laws and regulations.</w:t>
      </w:r>
    </w:p>
    <w:p>
      <w:pPr>
        <w:spacing w:after="0" w:line="7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If we are found to be in violation of U.S. economic sanctions or export control laws in the future, it could result in fines and penalties. We may also be adversely affected through other penalties, business disruption, reputational harm, loss of access to certain markets, or otherwise. While we are working to implement additional controls designed to prevent similar activity from occurring in the future, these controls may not be fully effective.</w:t>
      </w:r>
    </w:p>
    <w:p>
      <w:pPr>
        <w:spacing w:after="0" w:line="68"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Changes in our platform, or changes in export, sanctions, and import laws, may delay the introduction and sale of subscriptions to our platform in international markets; prevent our customers with international operations from using our platform; or, in some cases, prevent the access or use of our platform to and from certain countries, governments, persons, or entities altogether. Further, any change in export or import regulations, economic sanctions or related laws, shift in the enforcement or scope of existing regulations or change in the countries, governments, persons, or technologies targeted by such regulations could result in decreased use of our platform or in our decreased ability to export or sell our platform to existing or potential customers with international operations. Any decreased use of our platform or limitation on our ability to export or sell our platform would likely harm our business.</w:t>
      </w:r>
    </w:p>
    <w:p>
      <w:pPr>
        <w:spacing w:after="0" w:line="185"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or assist law enforcement with enforcement of, a variety of U.S. and international laws that could result in claims, increase the cost of operations or otherwise harm our business due to changes in the laws, changes in the interpretations of the laws, greater enforcement of the laws, or investigations into compliance with the laws.</w:t>
      </w:r>
    </w:p>
    <w:p>
      <w:pPr>
        <w:spacing w:after="0" w:line="6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may be subject to, or assist law enforcement with enforcement of, various laws, including those covering copyright, indecent content, child protection, consumer protection, telecommunications services, taxation, and similar matters. It may be difficult, expensive, and disruptive for us to address law enforcement requests, subpoenas and other legal process, and laws in various jurisdictions may conflict and hamper our ability to satisfy or comply with such requests, subpoenas and other legal process. There have been instances where improper or illegal content has been shared on our platform without our knowledge. As a service provider and as a matter of policy, we do not monitor user meetings. However, to ensure user safety and prevent conduct that is illegal, violent, or harmful to others, we enforce our terms of service through use of a mix of tools that suggest</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when such activity may be occurring on our platform. We also recently created an in-product security feature that allows the host or co-host of a meeting to easily select a meeting participant that may be engaging in illegal or harmful behavior and send a report about that behavior to our trust and safety team for evaluation. Our trust and safety team may take further action as appropriate, including suspension or termination of the participant's account or referral to law enforcement. While to date we have not been subject to material legal or administrative actions as a result of improper or illegal content, the laws in this area are currently in a state of flux and vary widely between jurisdictions. Accordingly, it may be possible that in the future we and our competitors may be subject to legal actions along with the users who shared such content. In addition, regardless of any legal liability we may face, our reputation could be harmed should there be an incident generating extensive negative publicity about the content shared on our platform. Such publicity would harm our business.</w:t>
      </w:r>
    </w:p>
    <w:p>
      <w:pPr>
        <w:spacing w:after="0" w:line="84"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are also subject to consumer protection laws that may affect our sales and marketing efforts, including laws related to subscriptions, billing, and auto-renewal. These laws, as well as any changes in these laws, could adversely affect our self-serve model and make it more difficult for us to retain and upgrade customers and attract new customers and hosts. Additionally, we have in the past, are currently, and may from time to time in the future become the subject of inquiries and other actions by regulatory authorities as a result of our business practices, including our subscription, billing, and auto-renewal policies. Consumer protection laws may be interpreted or applied by regulatory authorities in a manner that could require us to make changes to our operations or incur fines, penalties, or settlement expenses, which may result in harm to our business.</w:t>
      </w:r>
    </w:p>
    <w:p>
      <w:pPr>
        <w:spacing w:after="0" w:line="7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platform depends on the ability of our customers, hosts, and users to access the internet, and our platform has been blocked or restricted in some countries for various reasons. If we fail to anticipate developments in the law, or fail for any reason to comply with relevant law, our platform could be further blocked or restricted, and we could be exposed to significant liability that could harm our business.</w:t>
      </w:r>
    </w:p>
    <w:p>
      <w:pPr>
        <w:spacing w:after="0" w:line="68"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are also subject to various U.S. and international anti-corruption laws, such as the U.S. Foreign Corrupt Practices Act of 1977, as amended (the “FCPA”), and the U.K. Bribery Act 2010, as well as other similar anti-bribery and anti-kickback laws and regulations. These laws and regulations generally prohibit companies and their employees and intermediaries, from directly or indirectly authorizing, offering, or providing improper payments or benefits to government officials and other recipients for improper purposes. The FCPA also requires public companies to make and keep books and records that accurately and fairly reflect the transactions of the corporation and to device and maintain an adequate system of internal accounting controls. Although we take precautions to prevent violations of anti-corruption laws, our exposure for violating these laws increases as we continue to expand our international presence, and any failure to comply with such laws could harm our business, financial condition, and results of operations.</w:t>
      </w:r>
    </w:p>
    <w:p>
      <w:pPr>
        <w:spacing w:after="0" w:line="185"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Zoom Phone is subject to U.S. federal and international regulation, and other products we may introduce in the future may also be subject to U.S. federal, state, or international laws, rules, and regulations. Any failure to comply with such laws, rules, and regulations could harm our business and expose us to liability.</w:t>
      </w:r>
    </w:p>
    <w:p>
      <w:pPr>
        <w:spacing w:after="0" w:line="17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Federal Regulation</w:t>
      </w:r>
    </w:p>
    <w:p>
      <w:pPr>
        <w:spacing w:after="0" w:line="11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Zoom Phone is provided through our wholly owned subsidiary, Zoom Voice Communications, Inc., which is regulated by the FCC as an interconnected voice over internet protocol (“VoIP”) service provider. As a result, Zoom Phone is subject to existing or potential FCC regulations, including, but not limited to, regulations relating to privacy, disability access, porting of numbers, federal Universal Service Fund (“USF”), contributions and other regulatory assessments, emergency calling/Enhanced 911 (“E-911”), access charges for long distance services, and law enforcement access. Congress or the FCC may expand the scope of Zoom Phone’s regulatory obligations at any time. In addition, FCC classification of Zoom Phone as a common carrier or telecommunications service could result in additional federal and state regulatory obligations. If we do not comply with any current or future state regulations that apply to our business, we could be subject to substantial fines and penalties, we may have to restructure our product offerings, exit certain markets, or raise the price of our products, any of which could ultimately harm our business and results of operations. Any enforcement action by the FCC, which may be a public process, would hurt our reputation in the industry, possibly impair our ability to sell Zoom Phone to our customers and harm our business.</w:t>
      </w:r>
    </w:p>
    <w:p>
      <w:pPr>
        <w:spacing w:after="0" w:line="86"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As described above, the FCC could reinstate its prior network neutrality regulations or adopt new regulations. See Part 1A – Failures in internet infrastructure or interference with broadband access could cause current or potential users to believe that our systems are unreliable, possibly leading our customers and hosts to switch to our competitors, or to cancel their subscriptions to our platform. Changes in FCC regulation of the internet and internet-based services also could impose new regulatory obligations on our other services. Such action could result in extension of common carrier regulation to internet-based communications services like the ones we offer. The imposition of common carrier regulation would increase our costs, and we could be required to modify our service offerings to comply with regulatory requirements. The failure to comply with such regulation could result in substantial fines and penalties and other sanctions.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There have been various Congressional and executive efforts to eliminate or modify Section 230 of the Communications Act of 1934, enacted as part of the Communications Decency Act of 1996. President Biden and many Members of Congress from both parties support the reform or repeal of Section 230, so the possibility of Congressional action remains. In addition, the FCC is considering a petition, filed by the Trump Administration, to adopt rules interpreting Section 230, which limits the liability of internet platforms for third-party content that is transmitted via those platforms and for good-faith moderation of offensive content. No date has been set for a vote on that proposal and the FCC has not released any document describing the rules that would be proposed. The Democratic members of the FCC have indicated that they are opposed to the petition and now control the agenda of the FCC. There is no schedule for action by the FCC on the petition. If Congress revises or repeals Section 230 or the FCC adopts rules, we may no longer be afforded the same level of protection offered by Section 230. In addition, there are pending cases before the judiciary that may result in changes to the protections afforded to internet platforms, including a lawsuit by former President Trump that, if successful, would greatly limit the scope of Section 230. Further, on October 3, 2022, the U.S. Supreme Court agreed to hear a case to determine whether Google should be liable for damages because YouTube’s suggestion algorithm promoted radical Islamic videos that incited a terrorist attack in France. These various efforts to limit the protections provided by Section 230 would increase the risks faced by internet-based businesses, like Zoom, that rely on third-party content. Even if claims asserted against us do not result in liability, we may incur substantial costs in investigating and defending such claims. If we are found liable for our customers’ or other users’ activities, we could be required to pay fines or penalties, redesign business methods or otherwise expend resources to remedy any damages caused by such actions and to avoid future liability.</w:t>
      </w:r>
    </w:p>
    <w:p>
      <w:pPr>
        <w:spacing w:after="0" w:line="8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State Regulation</w:t>
      </w:r>
    </w:p>
    <w:p>
      <w:pPr>
        <w:spacing w:after="0" w:line="11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State telecommunications regulation of Zoom Phone is generally preempted by the FCC. However, states are allowed to assess state USF contributions, E-911 fees, and other surcharges. A number of states require us to contribute to state USF and pay E-911 and other assessments and surcharges, while others are actively considering extending their programs to include the products we offer and the California Public Utilities Commission is now taking the position that it can require VoIP providers like Zoom Phone to obtain authority to operate in that state. We generally pass USF, E-911 fees, and other surcharges through to our customers where we are permitted to do so, which may result in our products becoming more expensive. We expect that state public utility commissions will continue their attempts to apply state telecommunications regulations to services like Zoom Phone. If we do not comply with any current or future state regulations that apply to our business, we could be subject to substantial fines and penalties, we may have to restructure our product offerings, exit certain markets, or raise the price of our products, any of which could harm our business.</w:t>
      </w:r>
    </w:p>
    <w:p>
      <w:pPr>
        <w:spacing w:after="0" w:line="8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 federal court judge denied a request for a preliminary injunction against California’s state-specific network neutrality law, and as a result, California began enforcing that law on March 25, 2021. Trade associations representing internet service providers appealed the district court’s ruling denying the preliminary injunction, and the appeal was denied on January 28, 2022. On April 20, 2022 the Ninth Circuit declined to rehear the case and the appellants have since announced that they will not file for an appeal with the U.S. Supreme Court. We cannot predict whether other state initiatives will be enforced, modified, overturned, or vacated.</w:t>
      </w:r>
    </w:p>
    <w:p>
      <w:pPr>
        <w:spacing w:after="0" w:line="75"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Legislation has been adopted in Florida and Texas that is intended to reduce or eliminate the power of businesses operating on the Internet to moderate user-generated content, implicitly eliminating the federal protections granted under Section 230. Similar legislation has been introduced in other states in 2022, including a bill that has passed the Georgia State Senate and is pending before the Georgia House. Implementation of the Florida and Texas statutes has been stayed by various federal courts, including the U.S. Supreme Court. On August 18, the parties in the Florida case requested, and were granted, a stay of the appeals court mandate pending Supreme Court review, and on September 21, 2022, Florida requested that the Supreme Court review the case. On September 16, the U.S. Court of Appeals for the Fifth Circuit issued a decision upholding the Texas law. On September 30, the parties in that case filed an unopposed motion to stay the Fifth Circuit decision pending Supreme Court review, and the Fifth Circuit granted that request on October 13. The conflict between the decisions on the two laws increases the likelihood that the Supreme Court will review these statutes. Florida recently amended its statute in an effort to address issues that led the court to issue the stay. It is likely that any other such state legislation also would be challenged under the First Amendment to the U.S. Constitution and on the ground that it is preempted by Section 230. We cannot predict whether any such state legislation will be adopted, enforced, modified, overturned, or vacated.</w:t>
      </w:r>
    </w:p>
    <w:p>
      <w:pPr>
        <w:spacing w:after="0" w:line="19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International Regulation</w:t>
      </w:r>
    </w:p>
    <w:p>
      <w:pPr>
        <w:spacing w:after="0" w:line="11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we expand internationally, we may be subject to telecommunications, consumer protection, privacy, data protection, and other laws and regulations in the foreign countries where we offer our products. If we do not comply with any current or future international regulations that apply to our business, we could be subject to substantial fines and penalties, we may have to restructure our product offerings, exit certain markets, or raise the price of our products, any of which could harm our business.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currently, and may be in the future, party to intellectual property rights claims and other litigation matters, which, if resolved adversely, could harm our business.</w:t>
      </w:r>
    </w:p>
    <w:p>
      <w:pPr>
        <w:spacing w:after="0" w:line="51"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We protect our intellectual property through patents, copyrights, trademarks, domain names, and trade secrets and, from time to time, are subject to litigation based on allegations of infringement, misappropriation, or other violations of intellectual property or other rights. Some companies, including some of our competitors, own large numbers of patents, copyrights, and trademarks, which they may use to assert claims against us. As we face increasing competition and gain an increasingly high profile, the possibility of intellectual property rights claims, commercial claims, and other assertions against us grows. We have in the past been, are currently, and may from time to time in the future become, a party to litigation and disputes related to our intellectual property, our business practices, and our platform. While we intend to defend these lawsuits vigorously and believe that we have valid defenses to these claims, litigation can be costly and time consuming, divert the attention of our management and key personnel from our business operations and dissuade potential customers from subscribing to our services, which would harm our business. Furthermore, with respect to these lawsuits, there can be no assurances that favorable outcomes will be obtained. We may need to settle litigation and disputes on terms that are unfavorable to us, or we may be subject to an unfavorable judgment that may not be reversible upon appeal. The terms of any settlement or judgment may require us to cease some or all of our operations or pay substantial amounts to the other party. In addition, our agreements with certain larger customers include certain provisions for indemnifying them against liabilities if our services infringe a third party’s intellectual property rights, which could require us to make payments to our customers. During the course of any litigation or dispute, we may make announcements regarding the results of hearings and motions and other interim developments. If securities analysts and investors regard these announcements as negative, the market price of our Class A common stock may decline. With respect to any intellectual property rights claim, we may have to seek a license to continue practices found to be in violation of third-party rights, which may not be available on reasonable terms and may significantly increase our operating expenses. A license to continue such practices may not be available to us at all, and we may be required to develop alternative non-infringing technology or practices or discontinue the practices. The development of alternative, non-infringing technology or practices could require significant effort and expense. Our business could be harmed as a result.</w:t>
      </w:r>
    </w:p>
    <w:p>
      <w:pPr>
        <w:spacing w:after="0" w:line="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Our failure to protect our intellectual property rights and proprietary information could diminish our brand and other intangible assets.</w:t>
      </w:r>
    </w:p>
    <w:p>
      <w:pPr>
        <w:spacing w:after="0" w:line="121" w:lineRule="exact"/>
        <w:rPr>
          <w:sz w:val="20"/>
          <w:szCs w:val="20"/>
          <w:color w:val="auto"/>
        </w:rPr>
      </w:pPr>
    </w:p>
    <w:p>
      <w:pPr>
        <w:jc w:val="both"/>
        <w:ind w:firstLine="486"/>
        <w:spacing w:after="0" w:line="251" w:lineRule="auto"/>
        <w:rPr>
          <w:sz w:val="20"/>
          <w:szCs w:val="20"/>
          <w:color w:val="auto"/>
        </w:rPr>
      </w:pPr>
      <w:r>
        <w:rPr>
          <w:rFonts w:ascii="Times New Roman" w:cs="Times New Roman" w:eastAsia="Times New Roman" w:hAnsi="Times New Roman"/>
          <w:sz w:val="18"/>
          <w:szCs w:val="18"/>
          <w:color w:val="auto"/>
        </w:rPr>
        <w:t>We primarily rely and expect to continue to rely on a combination of patent, patent licenses, trade secret and domain name protection, trademark and copyright laws, as well as confidentiality and license agreements with our employees, consultants, and third parties, to protect our intellectual property and proprietary rights. We make business decisions about when to seek patent protection for a particular technology and when to rely upon copyright or trade secret protection, and the approach we select may ultimately prove to be inadequate. Even in cases where we seek patent protection, there is no assurance that the resulting patents will effectively protect every significant feature of our products. In addition, we believe that the protection of our trademark rights is an important factor in product recognition, protecting our brand and maintaining goodwill. If we do not adequately protect our rights in our trademarks from infringement and unauthorized use, any goodwill that we have developed in those trademarks could be lost or impaired, which could harm our brand and our business. Third parties may knowingly or unknowingly infringe our proprietary rights; third parties may challenge our proprietary right; pending and future patent, trademark, and copyright applications may not be approved; and we may not be able to prevent infringement without incurring substantial expense. We have also devoted substantial resources to the development of our proprietary technologies and related processes. In order to protect our proprietary technologies and processes, we rely in part on trade secret laws and confidentiality agreements with our employees, consultants, and third parties. These agreements may not effectively prevent disclosure of confidential information and may not provide an adequate remedy in the event of unauthorized disclosure of confidential information. In addition, others may independently discover our trade secrets, in which case we would not be able to assert trade secret rights, or develop similar technologies and processes. Further, the laws of certain foreign countries do not provide the same level of protection of corporate proprietary information and assets such as intellectual property, trademarks, trade secrets, know-how, and records, as the laws of the United States. For instance, the legal systems of certain countries, particularly certain developing countries, do not favor the enforcement of patents and other intellectual property protection. As a result, we may encounter significant problems in protecting and defending our intellectual property or proprietary rights abroad. Additionally, we may also be exposed to material risks of theft or unauthorized reverse engineering of our proprietary information and other intellectual property, including technical data, manufacturing processes, data sets, or other sensitive information. Our efforts to enforce our intellectual property rights in such foreign countries may be inadequate to obtain a significant commercial advantage from the intellectual property that we develop, which could have a material adverse effect on our business, financial condition, and results of operations. Costly and time-consuming litigation could be necessary to enforce and determine the scope of our proprietary rights. If the protection of our proprietary rights is inadequate to prevent use or appropriation by third parties, the value of our platform, brand, and other intangible assets may be diminished, and competitors may be able to more effectively replicate our platform and its features. Any of these events would harm our business.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use of third-party open source software could negatively affect our ability to offer and sell subscriptions to our platform and subject us to possible litigation.</w:t>
      </w:r>
    </w:p>
    <w:p>
      <w:pPr>
        <w:spacing w:after="0" w:line="51"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We have incorporated, and may in the future incorporate, third-party open source software in our technologies. Open source software is generally licensed by its authors or other third parties under open source licenses. From time to time, companies that use third-party open source software have faced claims challenging the use of such open source software and requesting compliance with the open source software license terms. Accordingly, we may be subject to suits by parties claiming ownership of what we believe to be open source software or claiming non-compliance with the applicable open source licensing terms. Some open source software licenses require end-users who use, distribute or make available across a network software and services that include open source software to offer aspects of the technology that incorporates the open source software for no cost. We may also be required to make publicly available source code (which in some circumstances could include valuable proprietary code) for modifications or derivative works we create based upon incorporating or using the open source software and/or to license such modifications or derivative works under the terms of the particular open source license. Additionally, if a third-party software provider has incorporated open source software into software that we license from such provider, we could be required to disclose any of our source code that incorporates or is a modification of our licensed software. While we use tools designed to help us monitor and comply with the licenses of third-party open source software and protect our valuable proprietary source code, we may inadvertently use third-party open source software in a manner that exposes us to claims of non-compliance with the terms of their licenses, including claims of intellectual property rights infringement or for breach of contract. Furthermore, there exists today an increasing number of types of open source software licenses, almost none of which have been tested in courts of law to provide guidance of their proper legal interpretations. If we were to receive a claim of non-compliance with the terms of any of these open source licenses, we may be required to publicly release certain portions of our proprietary source code. We could also be required to expend substantial time and resources to re-engineer some of our software. Any of the foregoing could disrupt and harm our business.</w:t>
      </w:r>
    </w:p>
    <w:p>
      <w:pPr>
        <w:spacing w:after="0" w:line="8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addition, the use of third-party open source software typically exposes us to greater risks than the use of third-party commercial software because open source licensors generally do not provide warranties or controls on the functionality or origin of the software. Use of open source software may also present additional security risks because the public availability of such software may make it easier for hackers and other third parties to determine how to compromise our platform. Any of the foregoing could harm our business and could help our competitors develop products and services that are similar to or better than ours.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Class A Common Stock</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our Class A common stock may be volatile, and you could lose all or part of your investment.</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trading price of our Class A common stock has been and will likely continue to be volatile and could be subject to fluctuations in response to various factors, some of which are beyond our control. For example, in connection with the COVID-19 pandemic, we have experienced an increase in the usage of our unified communications platform, and as a result, the trading price of our Class A common stock has significantly increased, while at the same time, the broader market has experienced significant declines and volatility. There are no assurances that the trading price of our Class A common stock will continue at this level for any period of time. Moreover, the trading price of our Class A common stock could experience a significant decrease once the scope and impact of the COVID-19 pandemic is better understood. These fluctuations could cause you to lose all or part of your investment in our Class A common stock. Factors that could cause fluctuations in the trading price of our Class A common stock include the following:</w:t>
      </w:r>
    </w:p>
    <w:p>
      <w:pPr>
        <w:spacing w:after="0" w:line="81"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 from time to time;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trading prices and trading volumes of technology stocks;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performance and stock market valuations of other technology companies generally, or those in our industry in particular;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shares of our Class A common stock by us or our stockholders;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securities analysts to maintain coverage of us, changes in financial estimates by securities analysts who follow our company, or our failure to meet these estimates or the expectations of investors;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projections we may provide to the public, any changes in those projections, or our failure to meet those projections;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new products, features, or services;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 releases, other public announcements, and filings with the SEC;</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rumors and market speculation involving us or other companies in our industry;</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results of operations or fluctuations in our results of operations;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developments in our business, our competitors’ businesses, or the competitive landscape generally;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us, our industry, or both, or investigations by regulators into our operations or those of our competitors;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our intellectual property or other proprietary rights;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or completed acquisitions of businesses, products, services, or technologies by us or our competitors;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laws or regulations or new interpretations of existing laws or regulations applicable to our business;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guidelines, interpretations, or principles;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change in our management;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slow or negative growth of our markets.</w:t>
      </w:r>
    </w:p>
    <w:p>
      <w:pPr>
        <w:spacing w:after="0" w:line="11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addition, in the past, following periods of volatility in the overall market and in the market price of a particular company’s securities, securities class action litigation has often been instituted against these companies. For example, in April 2020, June 2020, July 2020 and October 2021, we and certain of our officers and directors were sued in putative class action lawsuits and purported shareholder derivative lawsuits alleging violations of the federal securities laws for allegedly making materially false and misleading statements about our data privacy and security measures. Securities litigation against us could result in substantial costs and divert our management’s time and attention from other business concerns, which could harm our business. We may be the target of additional litigation of this type in the future as well.</w:t>
      </w:r>
    </w:p>
    <w:p>
      <w:pPr>
        <w:spacing w:after="0" w:line="183"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dual class structure of our common stock as contained in our amended and restated certificate of incorporation has the effect of concentrating voting control with those stockholders who held our stock prior to our IPO, including our executive officers, employees, and directors and their affiliates, limiting your ability to influence corporate matters.</w:t>
      </w:r>
    </w:p>
    <w:p>
      <w:pPr>
        <w:spacing w:after="0" w:line="67"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Our Class B common stock has 10 votes per share and our Class A common stock has one vote per share. As of October 31, 2022, the holders of our outstanding Class B common stock held 65.5% of the voting power of our outstanding capital stock, with our directors, executive officers and 5% stockholders and their respective affiliates holding 58.0% of such voting power in the aggregate. As of October 31, 2022, our founder, President and Chief Executive Officer, Eric S. Yuan, together with his affiliates, held approximately 7.7% of our outstanding capital stock but controlled approximately 31.6% of the voting power of our outstanding capital stock. Therefore, these holders have significant influence over our management and affairs and over all matters requiring stockholder approval, including election of directors and significant corporate transactions, such as a merger or other sale of Zoom or our assets, for the foreseeable future. Each share of Class B common stock will be automatically converted into one share of Class A common stock upon the earliest of (i) the date that is six months following the death or incapacity of Mr. Yuan, (ii) the date that is six months following the date that Mr. Yuan is no longer providing services to us or his employment is terminated for cause, (iii) the date specified by the holders of a majority of the then outstanding shares of Class B common stock, voting as a separate class, and (iv) the 15-year anniversary of the closing of our IPO.</w:t>
      </w:r>
    </w:p>
    <w:p>
      <w:pPr>
        <w:spacing w:after="0" w:line="8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addition, the holders of Class B common stock collectively will continue to be able to control all matters submitted to our stockholders for approval even if their stock holdings represent less than a majority of the outstanding shares of our common stock. This concentrated control will limit your ability to influence corporate matters for the foreseeable future, and, as a result, the market price of our Class A common stock could be adversely affected.</w:t>
      </w:r>
    </w:p>
    <w:p>
      <w:pPr>
        <w:spacing w:after="0" w:line="6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Future transfers by holders of Class B common stock will generally result in those shares converting to Class A common stock, which will have the effect, over time, of increasing the relative voting power of those holders of Class B common stock who retain their shares in the long term. If, for example, Mr. Yuan retains a significant portion of his holdings of Class B common stock for an extended period of time, he could, in the future, control a majority of the combined voting power of our Class A and Class B common stock. As a board member, Mr. Yuan owes a fiduciary duty to our stockholders and must act in good faith in a manner he reasonably believes to be in the best interests of our stockholders. As a stockholder, even a controlling stockholder, Mr. Yuan is entitled to vote his shares in his own interests, which may not always be in the interests of our stockholders generally.</w:t>
      </w:r>
    </w:p>
    <w:p>
      <w:pPr>
        <w:spacing w:after="0" w:line="7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addition, in July 2017, FTSE Russell and Standard &amp; Poor’s announced that they would cease to allow most newly public companies utilizing dual- or multi-class capital structures to be included in their indices. Affected indices include the Russell 2000 and the S&amp;P 500, S&amp;P MidCap 400, and S&amp;P SmallCap 600, which together make up the S&amp;P Composite 1500. Under the announced policies, our dual-class capital structure would make us ineligible for inclusion in any of these indices, and as a result, mutual funds, exchange-traded funds, and other investment vehicles that attempt to passively track these indices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will not be investing in our stock. These policies may depress the valuations of publicly traded companies excluded from the indices, or depress our trading volume compared to those of other similar companies that are included.</w:t>
      </w:r>
    </w:p>
    <w:p>
      <w:pPr>
        <w:spacing w:after="0" w:line="158" w:lineRule="exact"/>
        <w:rPr>
          <w:sz w:val="20"/>
          <w:szCs w:val="20"/>
          <w:color w:val="auto"/>
        </w:rPr>
      </w:pPr>
    </w:p>
    <w:p>
      <w:pPr>
        <w:jc w:val="both"/>
        <w:ind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and issuances of our capital stock or rights to purchase capital stock could result in additional dilution of the percentage ownership of our stockholders and could cause our stock price to decline.</w:t>
      </w:r>
    </w:p>
    <w:p>
      <w:pPr>
        <w:spacing w:after="0" w:line="5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Future sales and issuances of our capital stock or rights to purchase our capital stock could result in substantial dilution to our existing stockholders. We may sell Class A common stock, convertible securities, and other equity securities in one or more transactions at prices and in a manner as we may determine from time to time. If we sell any such securities in subsequent transactions, investors may be materially diluted. New investors in such subsequent transactions could gain rights, preferences, and privileges senior to those of holders of our Class A common stock.</w:t>
      </w:r>
    </w:p>
    <w:p>
      <w:pPr>
        <w:spacing w:after="0" w:line="176"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Substantial future sales of shares of our Class A common stock and Class B common stock could cause the market price of our Class A common stock to decline.</w:t>
      </w:r>
    </w:p>
    <w:p>
      <w:pPr>
        <w:spacing w:after="0" w:line="5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Sales of a substantial number of shares of our Class A common stock and Class B common stock (after automatically converting to Class A common stock) in the public market, or the perception that these sales might occur, could depress the market price of our Class A common stock.</w:t>
      </w:r>
    </w:p>
    <w:p>
      <w:pPr>
        <w:spacing w:after="0" w:line="5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addition, certain of our stockholders have registration rights that would require us to register shares owned by them for public sale in the United States. We have also filed a registration statement to register shares reserved for future issuance under our equity compensation plans. As a result, subject to the satisfaction of applicable exercise periods and applicable volume and restrictions that apply to affiliates, the shares issued upon exercise of outstanding stock options or upon settlement of outstanding restricted stock unit (“RSU”) awards are available for immediate resale in the United States in the open market.</w:t>
      </w:r>
    </w:p>
    <w:p>
      <w:pPr>
        <w:spacing w:after="0" w:line="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Sales of our shares could also impair our ability to raise capital through the sale of additional equity securities in the future and at a price we deem appropriate. These sales could also cause the trading price of our Class A common stock to fall and make it more difficult for you to sell shares of our Class A common stock.</w:t>
      </w:r>
    </w:p>
    <w:p>
      <w:pPr>
        <w:spacing w:after="0" w:line="172"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corporate charter documents and under Delaware law may prevent or frustrate attempts by our stockholders to change our management or hinder efforts to acquire a controlling interest in us, and the market price of our Class A common stock may be lower as a result.</w:t>
      </w:r>
    </w:p>
    <w:p>
      <w:pPr>
        <w:spacing w:after="0" w:line="5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There are provisions in our certificate of incorporation and bylaws that may make it difficult for a third party to acquire, or attempt to acquire, control of Zoom, even if a change in control was considered favorable by our stockholders.</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charter documents also contain other provisions that could have an anti-takeover effect, such as:</w:t>
      </w:r>
    </w:p>
    <w:p>
      <w:pPr>
        <w:spacing w:after="0" w:line="117" w:lineRule="exact"/>
        <w:rPr>
          <w:sz w:val="20"/>
          <w:szCs w:val="20"/>
          <w:color w:val="auto"/>
        </w:rPr>
      </w:pPr>
    </w:p>
    <w:p>
      <w:pPr>
        <w:ind w:left="1300" w:hanging="482"/>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 classified board of directors so that not all members of our board of directors are elected at one time;</w:t>
      </w:r>
    </w:p>
    <w:p>
      <w:pPr>
        <w:spacing w:after="0" w:line="117" w:lineRule="exact"/>
        <w:rPr>
          <w:rFonts w:ascii="Times New Roman" w:cs="Times New Roman" w:eastAsia="Times New Roman" w:hAnsi="Times New Roman"/>
          <w:sz w:val="18"/>
          <w:szCs w:val="18"/>
          <w:color w:val="auto"/>
        </w:rPr>
      </w:pPr>
    </w:p>
    <w:p>
      <w:pPr>
        <w:ind w:left="1300" w:hanging="482"/>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permitting the board of directors to establish the number of directors and fill any vacancies and newly created directorships;</w:t>
      </w:r>
    </w:p>
    <w:p>
      <w:pPr>
        <w:spacing w:after="0" w:line="117" w:lineRule="exact"/>
        <w:rPr>
          <w:rFonts w:ascii="Times New Roman" w:cs="Times New Roman" w:eastAsia="Times New Roman" w:hAnsi="Times New Roman"/>
          <w:sz w:val="18"/>
          <w:szCs w:val="18"/>
          <w:color w:val="auto"/>
        </w:rPr>
      </w:pPr>
    </w:p>
    <w:p>
      <w:pPr>
        <w:ind w:left="1300" w:hanging="482"/>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that directors may only be removed for cause;</w:t>
      </w:r>
    </w:p>
    <w:p>
      <w:pPr>
        <w:spacing w:after="0" w:line="117" w:lineRule="exact"/>
        <w:rPr>
          <w:rFonts w:ascii="Times New Roman" w:cs="Times New Roman" w:eastAsia="Times New Roman" w:hAnsi="Times New Roman"/>
          <w:sz w:val="18"/>
          <w:szCs w:val="18"/>
          <w:color w:val="auto"/>
        </w:rPr>
      </w:pPr>
    </w:p>
    <w:p>
      <w:pPr>
        <w:ind w:left="1300" w:hanging="482"/>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cumulative voting for directors;</w:t>
      </w:r>
    </w:p>
    <w:p>
      <w:pPr>
        <w:spacing w:after="0" w:line="117" w:lineRule="exact"/>
        <w:rPr>
          <w:rFonts w:ascii="Times New Roman" w:cs="Times New Roman" w:eastAsia="Times New Roman" w:hAnsi="Times New Roman"/>
          <w:sz w:val="18"/>
          <w:szCs w:val="18"/>
          <w:color w:val="auto"/>
        </w:rPr>
      </w:pPr>
    </w:p>
    <w:p>
      <w:pPr>
        <w:ind w:left="1300" w:hanging="482"/>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super-majority voting to amend some provisions in our certificate of incorporation and bylaws;</w:t>
      </w:r>
    </w:p>
    <w:p>
      <w:pPr>
        <w:spacing w:after="0" w:line="117" w:lineRule="exact"/>
        <w:rPr>
          <w:rFonts w:ascii="Times New Roman" w:cs="Times New Roman" w:eastAsia="Times New Roman" w:hAnsi="Times New Roman"/>
          <w:sz w:val="18"/>
          <w:szCs w:val="18"/>
          <w:color w:val="auto"/>
        </w:rPr>
      </w:pPr>
    </w:p>
    <w:p>
      <w:pPr>
        <w:ind w:left="1300" w:hanging="482"/>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the issuance of “blank check” preferred stock that our board of directors could use to implement a stockholder rights plan;</w:t>
      </w:r>
    </w:p>
    <w:p>
      <w:pPr>
        <w:spacing w:after="0" w:line="117" w:lineRule="exact"/>
        <w:rPr>
          <w:rFonts w:ascii="Times New Roman" w:cs="Times New Roman" w:eastAsia="Times New Roman" w:hAnsi="Times New Roman"/>
          <w:sz w:val="18"/>
          <w:szCs w:val="18"/>
          <w:color w:val="auto"/>
        </w:rPr>
      </w:pPr>
    </w:p>
    <w:p>
      <w:pPr>
        <w:ind w:left="1300" w:hanging="482"/>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eliminating the ability of stockholders to call special meetings of stockholders;</w:t>
      </w:r>
    </w:p>
    <w:p>
      <w:pPr>
        <w:spacing w:after="0" w:line="117" w:lineRule="exact"/>
        <w:rPr>
          <w:rFonts w:ascii="Times New Roman" w:cs="Times New Roman" w:eastAsia="Times New Roman" w:hAnsi="Times New Roman"/>
          <w:sz w:val="18"/>
          <w:szCs w:val="18"/>
          <w:color w:val="auto"/>
        </w:rPr>
      </w:pPr>
    </w:p>
    <w:p>
      <w:pPr>
        <w:ind w:left="1300" w:hanging="482"/>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stockholder action by written consent, which requires all stockholder actions to be taken at a meeting of our stockholders; and</w:t>
      </w:r>
    </w:p>
    <w:p>
      <w:pPr>
        <w:spacing w:after="0" w:line="117" w:lineRule="exact"/>
        <w:rPr>
          <w:rFonts w:ascii="Times New Roman" w:cs="Times New Roman" w:eastAsia="Times New Roman" w:hAnsi="Times New Roman"/>
          <w:sz w:val="18"/>
          <w:szCs w:val="18"/>
          <w:color w:val="auto"/>
        </w:rPr>
      </w:pPr>
    </w:p>
    <w:p>
      <w:pPr>
        <w:ind w:left="1300" w:hanging="482"/>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dual-class common stock structure as described above.</w:t>
      </w:r>
    </w:p>
    <w:p>
      <w:pPr>
        <w:spacing w:after="0" w:line="11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Delaware General Corporation Law, which prohibit a person who owns 15% or more of our outstanding voting stock from merging or combining with us for a period of three years after the date of the transaction in which the person acquired in excess of 15% of our outstanding voting stock, unless the merger or combination is approved in a prescribed manner. Any provision in our certificate of incorporation or our bylaws or Delaware law that has the effect of delaying or deterring a change in control could limit the opportunity for our stockholders to receive a premium for their shares of our Class A common stock and could also affect the price that some investors are willing to pay for our Class A common stock.</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designates the Court of Chancery of the State of Delaware and the federal district courts of the United States of America as the exclusive forums for certain disputes between us and our stockholders, which could limit our stockholders’ ability to choose the judicial forum for disputes with us or our directors, officers, or employees.</w:t>
      </w:r>
    </w:p>
    <w:p>
      <w:pPr>
        <w:spacing w:after="0" w:line="67"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unless we consent in writing to the selection of an alternative forum, the sole and exclusive forum for the following types of actions or proceedings under Delaware statutory or common law: (i) any derivative action or proceeding brought on our behalf; (ii) any action asserting a claim of breach of a fiduciary duty owed by any of our directors, officers, or other employees to us or our stockholders; (iii) any action arising pursuant to any provision of the Delaware General Corporation Law, or the certificate of incorporation or the amended and restated bylaws; or (iv) any other action asserting a claim that is governed by the internal affairs doctrine shall be the Court of Chancery of the State of Delaware (or, if the Court of Chancery does not have jurisdiction, the federal district court for the District of Delaware), in all cases subject to the court having jurisdiction over indispensable parties named as defendants. 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provides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8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Any person or entity purchasing or otherwise acquiring any interest in any of our securities shall be deemed to have notice of and consented to these provisions. These exclusive-forum provisions may limit a stockholder’s ability to bring a claim in a judicial forum of its choosing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harm our results of operations.</w:t>
      </w:r>
    </w:p>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for the foreseeable future.</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have never declared nor paid cash dividends on our capital stock. We currently intend to retain any future earnings to finance the operation and expansion of our business, and we do not expect to declare or pay any dividends in the foreseeable future. As a result, stockholders must rely on sales of their Class A common stock after price appreciation as the only way to realize any future returns on their investment.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Estimates of our market opportunity and forecasts of market growth may prove to be inaccurate, and even if the market in which we compete achieves the forecasted growth, our business could fail to grow at similar rates, if at all.</w:t>
      </w:r>
    </w:p>
    <w:p>
      <w:pPr>
        <w:spacing w:after="0" w:line="5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Market opportunity estimates and growth forecasts for the markets in which we compete, including those we have generated ourselves, are subject to significant uncertainty and are based on assumptions and estimates that may not prove to be accurate. Not every organization covered by our market opportunity estimates will necessarily buy video communications platforms, and some or many of those organizations may choose to continue using legacy communication methods or point solutions offered by our competitors. It is impossible to build every product feature that every customer or host wants, and our competitors may develop and offer features that our platform does not provide. The variables that go into the calculation of our market opportunity are subject to change over time, and there is no guarantee that any particular number or percentage of the organizations covered by our market opportunity estimates will purchase our solutions at all or generate any particular level of revenue for us. Even if the markets in which we compete meet the size estimates and growth forecasts, our business could fail to grow for a variety of reasons outside of our control, including competition in our industry. If any of these risks materializes, it could harm our business and prospects.</w:t>
      </w:r>
    </w:p>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disrupted by catastrophic events.</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Occurrence of any catastrophic event, including earthquake, fire, flood, tsunami or other weather event, power loss, telecommunications failure, software or hardware malfunctions, cyber-attack, war, terrorist attack, disease, or health epidemics,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could result in lengthy interruptions in our service. In particular, our U.S. headquarters and some of the data centers we utilize are located in the San Francisco Bay Area, a region known for seismic activity, and our insurance coverage may not compensate us for losses that may occur in the event of an earthquake or other significant natural disaster. In addition, acts of terrorism could cause disruptions to the internet or the economy as a whole. Even with our disaster recovery arrangements, our service could be interrupted. Moreover, if our systems were to fail or be negatively impacted as a result of a natural disaster or other event, our ability to deliver products to our users would be impaired, or we could lose critical data. If we are unable to develop adequate plans to ensure that our business functions continue to operate during and after a disaster and to execute successfully on those plans in the event of a disaster or emergency, our business would be harmed.</w:t>
      </w:r>
    </w:p>
    <w:p>
      <w:pPr>
        <w:spacing w:after="0" w:line="8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also face risks related to health epidemics, such as the COVID-19 pandemic, which has impacted virtually every country in the world. An outbreak of a contagious disease, and other adverse health developments could have an adverse effect on global economic conditions and on our business. The effects could include business and service disruptions, such as the temporary closure of our facilities, restrictions on our employees' ability to travel to support our facilities and services, and difficulties in hiring new employees. While we have seen increased usage of our service globally, a significant portion of such increase is attributable to free Basic accounts, which do not generate any revenue. For example, we have removed the 40-minute time limit</w:t>
      </w:r>
    </w:p>
    <w:p>
      <w:pPr>
        <w:spacing w:after="0" w:line="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our free Basic accounts for customers in K-12 schools in certain countries. We cannot make any assurances that we will experience an increase in paid hosts or that new or existing users will continue to utilize our services at the same levels after the COVID-19 pandemic has tapered. Furthermore, such increased usage by free Basic account users during this time has required and will continue to require us to expand our network capacity which will increase our operating costs.</w:t>
      </w:r>
    </w:p>
    <w:p>
      <w:pPr>
        <w:spacing w:after="0" w:line="176" w:lineRule="exact"/>
        <w:rPr>
          <w:sz w:val="20"/>
          <w:szCs w:val="20"/>
          <w:color w:val="auto"/>
        </w:rPr>
      </w:pPr>
    </w:p>
    <w:p>
      <w:pPr>
        <w:jc w:val="both"/>
        <w:ind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our strategic investments, including partial or complete loss of invested capital. Significant changes in the fair value of our investment portfolio could negatively impact our financial results.</w:t>
      </w:r>
    </w:p>
    <w:p>
      <w:pPr>
        <w:spacing w:after="0" w:line="5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have strategic investments in publicly traded and privately held companies. The financial success of our investments in any privately held company is typically dependent on a liquidity event, such as a public offering, acquisition or other favorable market event reflecting appreciation to the cost of our initial investment. In addition, valuations of privately held companies are inherently complex due to the lack of readily available market data. Likewise, the financial success of our investment in any publicly held company is typically dependent upon an exit in favorable market conditions, and to a lesser extent on liquidity events. The capital markets for public offerings and acquisitions are dynamic and the likelihood of successful liquidity events for the companies we have invested in could significantly worsen. In addition, valuations of privately held companies are inherently complex due to the lack of readily available market data.</w:t>
      </w:r>
    </w:p>
    <w:p>
      <w:pPr>
        <w:spacing w:after="0" w:line="8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record all fair value adjustments of our publicly traded and privately held non-marketable securities through the condensed consolidated statement of operations. As a result, we may experience additional volatility to our statements of operations due to changes in market prices of our investments in publicly held securities and the valuation and timing of observable price changes or impairments of our investments in privately held securities. Our ability to mitigate this volatility in any given period may be impacted by our contractual obligations to hold securities for a set period of time. All of our investments are subject to a risk of a partial or total loss of investment capital. Changes in the fair value or partial or total loss of investment capital of these individual companies could be material to our financial statements and negatively impact our business and financial results.</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Our reported results of operations may be adversely affected by changes in accounting principles generally accepted in the United States.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Generally accepted accounting principles in the United States are subject to interpretation by the FASB, the SEC, and various bodies formed to promulgate and interpret appropriate accounting principles. A change in these principles or interpretations could have a significant effect on our reported results of operations and may even affect the reporting of transactions completed before the announcement or effectiveness of a change. It is also difficult to predict the impact of future changes to accounting principles or our accounting policies, any of which could harm our business.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We may need additional capital, and we cannot be certain that additional financing will be available on favorable terms, or at all.</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Historically, we have funded our operations and capital expenditures primarily through equity issuances and cash generated from our operations. Although we currently anticipate that our existing cash and cash equivalents and cash flow from operations will be sufficient to meet our cash needs for the foreseeable future, we may require additional financing. We evaluate financing opportunities from time to time, and our ability to obtain financing will depend, among other things, on our development efforts, business plans, operating performance, and condition of the capital markets at the time we seek financing. We cannot assure you that additional financing will be available to us on favorable terms when required, or at all, particularly during times of market volatility and general economic instability. If we raise additional funds through the issuance of equity or</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equity-linked or debt securities, those securities may have rights, preferences, or privileges senior to the rights of our Class A common stock, and our stockholders may experience dilution.</w:t>
      </w:r>
    </w:p>
    <w:p>
      <w:pPr>
        <w:spacing w:after="0" w:line="158"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disclosure controls and internal control over financial reporting, our ability to produce timely and accurate consolidated financial statements or comply with applicable regulations could be impaired.</w:t>
      </w:r>
    </w:p>
    <w:p>
      <w:pPr>
        <w:spacing w:after="0" w:line="5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are subject to the reporting requirements of the Exchange Act, the Sarbanes-Oxley Act of 2002 (the “Sarbanes-Oxley Act”) and the rules and regulations of the applicable listing standards of The Nasdaq Stock Market.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72"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spacing w:after="0" w:line="8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current controls and any new controls that we develop may become inadequate because of changes in conditions in our business. In addition, changes in accounting principles or interpretations could also challenge our internal controls and require that we establish new business processes, systems, and controls to accommodate such changes. We have limited experience with implementing the systems and controls that will be necessary to operate as a public company, as well as adopting changes in accounting principles or interpretations mandated by the relevant regulatory bodies. Additionally, if these new systems, controls, or standards and the associated process changes do not give rise to the benefits that we expect or do not operate as intended, it could adversely affect our financial reporting systems and processes, our ability to produce timely and accurate financial reports, or the effectiveness of internal control over financial reporting. Moreover, our business may be harmed if we experience problems with any new systems and controls that result in delays in their implementation or increased costs to correct any post-implementation issues that may arise.</w:t>
      </w:r>
    </w:p>
    <w:p>
      <w:pPr>
        <w:spacing w:after="0" w:line="84"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Further, weaknesses in our disclosure controls and internal control over financial reporting may be discovered in the future. Any failure to develop or maintain effective controls or any difficulties encountered in their implementation or improvement could harm our business or cause us to fail to meet our reporting obligations and may result in a restatement of our condensed consolidated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Nasdaq Stock Market. We are required to provide an annual management report on the effectiveness of our internal control over financial reporting.</w:t>
      </w:r>
    </w:p>
    <w:p>
      <w:pPr>
        <w:spacing w:after="0" w:line="8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independent registered public accounting firm is required to formally attest to the effectiveness of our internal control over financial reporting.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harm our business and could cause a decline in the trading price of our Class A common stock.</w:t>
      </w:r>
    </w:p>
    <w:p>
      <w:pPr>
        <w:spacing w:after="0" w:line="176" w:lineRule="exact"/>
        <w:rPr>
          <w:sz w:val="20"/>
          <w:szCs w:val="20"/>
          <w:color w:val="auto"/>
        </w:rPr>
      </w:pPr>
    </w:p>
    <w:p>
      <w:pPr>
        <w:jc w:val="both"/>
        <w:ind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Class A common stock market price and trading volume could decline if securities or industry analysts do not publish research or publish inaccurate or unfavorable research about our business.</w:t>
      </w:r>
    </w:p>
    <w:p>
      <w:pPr>
        <w:spacing w:after="0" w:line="5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trading market for our Class A common stock depends in part on the research and reports that securities or industry analysts publish about us or our business. The analysts’ estimates are based upon their own opinions and are often different from our estimates or expectations. If one or more of the analysts who cover us downgrade our Class A common stock or publish inaccurate or unfavorable research about our business, the price of our securities would likely decline. If one or more securities analysts cease coverage of us or fail to publish reports on us regularly, demand for our securities could decrease, which might cause the price and trading volume of our Class A common stock to decline.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costs and demands upon management as a result of complying with the laws and regulations affecting public companies in the United States, which may harm our business.</w:t>
      </w:r>
    </w:p>
    <w:p>
      <w:pPr>
        <w:spacing w:after="0" w:line="5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As a public company listed in the United States, we incur significant additional legal, accounting, and other expenses. In addition, changing laws, regulations, and standards relating to corporate governance and public disclosure, including regulations implemented by the SEC and The Nasdaq Stock Market, may increase legal and financial compliance costs and make some activities more time consuming. These laws, regulations, and standards are subject to varying interpretations, and as a result, their application in practice may evolve over time as new guidance is provided by regulatory and governing bodies.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we fail to comply with new laws, regulations, and standards, regulatory authorities may initiate legal proceedings against us and our business may be harmed.</w:t>
      </w:r>
    </w:p>
    <w:p>
      <w:pPr>
        <w:spacing w:after="0" w:line="8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Failure to comply with these rules might also make it more difficult for us to obtain certain types of insurance, including director and officer liability insurance, and we might be forced to accept reduced policy limits and coverage or incur substantially higher costs to obtain the same or similar coverage. The impact of these events would also make it more difficult for us to attract and retain qualified persons to serve on our board of directors, on committees of our board of directors, or as members of senior management.</w:t>
      </w:r>
    </w:p>
    <w:p>
      <w:pPr>
        <w:spacing w:after="0" w:line="28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tab/>
        <w:t>UNREGISTERED SALES OF EQUITY SECURITIES AND USE OF PROCEEDS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information with respect to our repurchases of Class A common stock during the three months ended October 31, 2022:</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left="720"/>
        <w:spacing w:after="0"/>
        <w:rPr>
          <w:sz w:val="20"/>
          <w:szCs w:val="20"/>
          <w:color w:val="auto"/>
        </w:rPr>
      </w:pPr>
      <w:r>
        <w:rPr>
          <w:rFonts w:ascii="Times New Roman" w:cs="Times New Roman" w:eastAsia="Times New Roman" w:hAnsi="Times New Roman"/>
          <w:sz w:val="16"/>
          <w:szCs w:val="16"/>
          <w:color w:val="auto"/>
        </w:rPr>
        <w:t>Period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0" w:right="80"/>
        <w:spacing w:after="0" w:line="310" w:lineRule="auto"/>
        <w:rPr>
          <w:sz w:val="20"/>
          <w:szCs w:val="20"/>
          <w:color w:val="auto"/>
        </w:rPr>
      </w:pPr>
      <w:r>
        <w:rPr>
          <w:rFonts w:ascii="Times New Roman" w:cs="Times New Roman" w:eastAsia="Times New Roman" w:hAnsi="Times New Roman"/>
          <w:sz w:val="16"/>
          <w:szCs w:val="16"/>
          <w:color w:val="auto"/>
        </w:rPr>
        <w:t>August 1 – 31, 2022 September 1 – 30, 2022 October 1 – 31, 2022 Total</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222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rPr>
              <w:t>Total Number of Shares</w:t>
            </w:r>
          </w:p>
        </w:tc>
        <w:tc>
          <w:tcPr>
            <w:tcW w:w="120" w:type="dxa"/>
            <w:vAlign w:val="bottom"/>
          </w:tcPr>
          <w:p>
            <w:pPr>
              <w:spacing w:after="0"/>
              <w:rPr>
                <w:sz w:val="16"/>
                <w:szCs w:val="16"/>
                <w:color w:val="auto"/>
              </w:rPr>
            </w:pPr>
          </w:p>
        </w:tc>
        <w:tc>
          <w:tcPr>
            <w:tcW w:w="20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Average Price Paid per Share</w:t>
            </w: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Total Number of Shares</w:t>
            </w:r>
          </w:p>
        </w:tc>
        <w:tc>
          <w:tcPr>
            <w:tcW w:w="120" w:type="dxa"/>
            <w:vAlign w:val="bottom"/>
          </w:tcPr>
          <w:p>
            <w:pPr>
              <w:spacing w:after="0"/>
              <w:rPr>
                <w:sz w:val="16"/>
                <w:szCs w:val="16"/>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Approximate Dollar Value of</w:t>
            </w:r>
          </w:p>
        </w:tc>
      </w:tr>
      <w:tr>
        <w:trPr>
          <w:trHeight w:val="162"/>
        </w:trPr>
        <w:tc>
          <w:tcPr>
            <w:tcW w:w="2220" w:type="dxa"/>
            <w:vAlign w:val="bottom"/>
          </w:tcPr>
          <w:p>
            <w:pPr>
              <w:jc w:val="right"/>
              <w:ind w:right="641"/>
              <w:spacing w:after="0" w:line="163" w:lineRule="exact"/>
              <w:rPr>
                <w:sz w:val="20"/>
                <w:szCs w:val="20"/>
                <w:color w:val="auto"/>
              </w:rPr>
            </w:pPr>
            <w:r>
              <w:rPr>
                <w:rFonts w:ascii="Times New Roman" w:cs="Times New Roman" w:eastAsia="Times New Roman" w:hAnsi="Times New Roman"/>
                <w:sz w:val="14"/>
                <w:szCs w:val="14"/>
                <w:color w:val="auto"/>
              </w:rPr>
              <w:t>Purchased</w:t>
            </w:r>
            <w:r>
              <w:rPr>
                <w:rFonts w:ascii="Times New Roman" w:cs="Times New Roman" w:eastAsia="Times New Roman" w:hAnsi="Times New Roman"/>
                <w:sz w:val="18"/>
                <w:szCs w:val="18"/>
                <w:color w:val="auto"/>
                <w:vertAlign w:val="superscript"/>
              </w:rPr>
              <w:t>(1)</w:t>
            </w:r>
          </w:p>
        </w:tc>
        <w:tc>
          <w:tcPr>
            <w:tcW w:w="1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2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Purchased as Part of Publicly</w:t>
            </w:r>
          </w:p>
        </w:tc>
        <w:tc>
          <w:tcPr>
            <w:tcW w:w="120" w:type="dxa"/>
            <w:vAlign w:val="bottom"/>
          </w:tcPr>
          <w:p>
            <w:pPr>
              <w:spacing w:after="0"/>
              <w:rPr>
                <w:sz w:val="14"/>
                <w:szCs w:val="14"/>
                <w:color w:val="auto"/>
              </w:rPr>
            </w:pPr>
          </w:p>
        </w:tc>
        <w:tc>
          <w:tcPr>
            <w:tcW w:w="20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Shares that May Yet Be</w:t>
            </w:r>
          </w:p>
        </w:tc>
      </w:tr>
      <w:tr>
        <w:trPr>
          <w:trHeight w:val="175"/>
        </w:trPr>
        <w:tc>
          <w:tcPr>
            <w:tcW w:w="2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240" w:type="dxa"/>
            <w:vAlign w:val="bottom"/>
          </w:tcPr>
          <w:p>
            <w:pPr>
              <w:jc w:val="center"/>
              <w:spacing w:after="0" w:line="175" w:lineRule="exact"/>
              <w:rPr>
                <w:sz w:val="20"/>
                <w:szCs w:val="20"/>
                <w:color w:val="auto"/>
              </w:rPr>
            </w:pPr>
            <w:r>
              <w:rPr>
                <w:rFonts w:ascii="Times New Roman" w:cs="Times New Roman" w:eastAsia="Times New Roman" w:hAnsi="Times New Roman"/>
                <w:sz w:val="15"/>
                <w:szCs w:val="15"/>
                <w:color w:val="auto"/>
              </w:rPr>
              <w:t>Announced Program</w:t>
            </w:r>
            <w:r>
              <w:rPr>
                <w:rFonts w:ascii="Times New Roman" w:cs="Times New Roman" w:eastAsia="Times New Roman" w:hAnsi="Times New Roman"/>
                <w:sz w:val="20"/>
                <w:szCs w:val="20"/>
                <w:color w:val="auto"/>
                <w:vertAlign w:val="superscript"/>
              </w:rPr>
              <w:t>(1)</w:t>
            </w:r>
          </w:p>
        </w:tc>
        <w:tc>
          <w:tcPr>
            <w:tcW w:w="120" w:type="dxa"/>
            <w:vAlign w:val="bottom"/>
          </w:tcPr>
          <w:p>
            <w:pPr>
              <w:spacing w:after="0"/>
              <w:rPr>
                <w:sz w:val="15"/>
                <w:szCs w:val="15"/>
                <w:color w:val="auto"/>
              </w:rPr>
            </w:pPr>
          </w:p>
        </w:tc>
        <w:tc>
          <w:tcPr>
            <w:tcW w:w="204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Purchased Under Publicly</w:t>
            </w:r>
          </w:p>
        </w:tc>
      </w:tr>
      <w:tr>
        <w:trPr>
          <w:trHeight w:val="176"/>
        </w:trPr>
        <w:tc>
          <w:tcPr>
            <w:tcW w:w="2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Announced Program (in</w:t>
            </w:r>
          </w:p>
        </w:tc>
      </w:tr>
      <w:tr>
        <w:trPr>
          <w:trHeight w:val="243"/>
        </w:trPr>
        <w:tc>
          <w:tcPr>
            <w:tcW w:w="2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thousands)</w:t>
            </w:r>
            <w:r>
              <w:rPr>
                <w:rFonts w:ascii="Times New Roman" w:cs="Times New Roman" w:eastAsia="Times New Roman" w:hAnsi="Times New Roman"/>
                <w:sz w:val="21"/>
                <w:szCs w:val="21"/>
                <w:color w:val="auto"/>
                <w:w w:val="95"/>
                <w:vertAlign w:val="superscript"/>
              </w:rPr>
              <w:t>(1)</w:t>
            </w:r>
          </w:p>
        </w:tc>
      </w:tr>
      <w:tr>
        <w:trPr>
          <w:trHeight w:val="210"/>
        </w:trPr>
        <w:tc>
          <w:tcPr>
            <w:tcW w:w="2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1,586,224</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95.13</w:t>
            </w:r>
          </w:p>
        </w:tc>
        <w:tc>
          <w:tcPr>
            <w:tcW w:w="2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1,586,224</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423,161</w:t>
            </w:r>
          </w:p>
        </w:tc>
      </w:tr>
      <w:tr>
        <w:trPr>
          <w:trHeight w:val="230"/>
        </w:trPr>
        <w:tc>
          <w:tcPr>
            <w:tcW w:w="2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3,006,150</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77.83</w:t>
            </w:r>
          </w:p>
        </w:tc>
        <w:tc>
          <w:tcPr>
            <w:tcW w:w="2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3,006,150</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189,201</w:t>
            </w:r>
          </w:p>
        </w:tc>
      </w:tr>
      <w:tr>
        <w:trPr>
          <w:trHeight w:val="233"/>
        </w:trPr>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2,363,155</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76.16</w:t>
            </w: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2,363,155</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9,222</w:t>
            </w:r>
          </w:p>
        </w:tc>
      </w:tr>
      <w:tr>
        <w:trPr>
          <w:trHeight w:val="213"/>
        </w:trPr>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6,955,529</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81.21</w:t>
            </w: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6,955,529</w:t>
            </w: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0"/>
        </w:trPr>
        <w:tc>
          <w:tcPr>
            <w:tcW w:w="2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-1492885</wp:posOffset>
            </wp:positionH>
            <wp:positionV relativeFrom="paragraph">
              <wp:posOffset>-616585</wp:posOffset>
            </wp:positionV>
            <wp:extent cx="7132320" cy="146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-1492885</wp:posOffset>
            </wp:positionH>
            <wp:positionV relativeFrom="paragraph">
              <wp:posOffset>-325120</wp:posOffset>
            </wp:positionV>
            <wp:extent cx="7132320" cy="1454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640" w:space="720"/>
            <w:col w:w="8880"/>
          </w:cols>
          <w:pgMar w:left="320" w:top="121" w:right="339" w:bottom="1440" w:gutter="0" w:footer="0" w:header="0"/>
          <w:type w:val="continuous"/>
        </w:sectPr>
      </w:pPr>
    </w:p>
    <w:p>
      <w:pPr>
        <w:spacing w:after="0" w:line="106" w:lineRule="exact"/>
        <w:rPr>
          <w:sz w:val="20"/>
          <w:szCs w:val="20"/>
          <w:color w:val="auto"/>
        </w:rPr>
      </w:pPr>
    </w:p>
    <w:p>
      <w:pPr>
        <w:ind w:right="40" w:firstLine="8"/>
        <w:spacing w:after="0" w:line="229" w:lineRule="auto"/>
        <w:tabs>
          <w:tab w:leader="none" w:pos="181" w:val="left"/>
        </w:tabs>
        <w:numPr>
          <w:ilvl w:val="0"/>
          <w:numId w:val="2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 February 2022, our Board of Directors authorized a stock repurchase program of up to $1.0 billion of our Class A common stock, which expires in February 2024. Repurchases of our Class A common stock may be effected from time to time, either on the open market (including preset trading plans), in privately negotiated transactions, and other transactions in accordance with applicable securities laws. The program does not obligate us to repurchase any specific number of shares and may be discontinued at any time. See Note 8 "Stockholders’ Equity and Equity Incentive Plans" of this Quarterly Report on Form 10-Q for additional information related to share repurchases.</w:t>
      </w:r>
    </w:p>
    <w:p>
      <w:pPr>
        <w:spacing w:after="0" w:line="29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tab/>
        <w:t>EXHIBITS</w:t>
      </w:r>
    </w:p>
    <w:p>
      <w:pPr>
        <w:spacing w:after="0" w:line="12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8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60" w:type="dxa"/>
            <w:vAlign w:val="bottom"/>
            <w:gridSpan w:val="1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190"/>
        </w:trPr>
        <w:tc>
          <w:tcPr>
            <w:tcW w:w="1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60" w:type="dxa"/>
            <w:vAlign w:val="bottom"/>
            <w:gridSpan w:val="1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4660" w:type="dxa"/>
            <w:vAlign w:val="bottom"/>
            <w:gridSpan w:val="15"/>
          </w:tcPr>
          <w:p>
            <w:pPr>
              <w:spacing w:after="0"/>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Amended and Restated Certificate of Incorporation of Zoom</w:t>
              </w:r>
            </w:hyperlink>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2080" w:type="dxa"/>
            <w:vAlign w:val="bottom"/>
            <w:tcBorders>
              <w:top w:val="single" w:sz="8" w:color="0000FF"/>
              <w:bottom w:val="single" w:sz="8" w:color="0000FF"/>
            </w:tcBorders>
            <w:gridSpan w:val="3"/>
          </w:tcPr>
          <w:p>
            <w:pPr>
              <w:spacing w:after="0" w:line="182" w:lineRule="exact"/>
              <w:rPr>
                <w:rFonts w:ascii="Times New Roman" w:cs="Times New Roman" w:eastAsia="Times New Roman" w:hAnsi="Times New Roman"/>
                <w:sz w:val="18"/>
                <w:szCs w:val="18"/>
                <w:color w:val="0000FF"/>
                <w:w w:val="99"/>
              </w:rPr>
            </w:pPr>
            <w:hyperlink r:id="rId87">
              <w:r>
                <w:rPr>
                  <w:rFonts w:ascii="Times New Roman" w:cs="Times New Roman" w:eastAsia="Times New Roman" w:hAnsi="Times New Roman"/>
                  <w:sz w:val="18"/>
                  <w:szCs w:val="18"/>
                  <w:color w:val="0000FF"/>
                  <w:w w:val="99"/>
                </w:rPr>
                <w:t>Video Communications, Inc.</w:t>
              </w:r>
            </w:hyperlink>
          </w:p>
        </w:tc>
        <w:tc>
          <w:tcPr>
            <w:tcW w:w="2280" w:type="dxa"/>
            <w:vAlign w:val="bottom"/>
            <w:tcBorders>
              <w:top w:val="single" w:sz="8" w:color="0000FF"/>
            </w:tcBorders>
            <w:gridSpan w:val="5"/>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4660" w:type="dxa"/>
            <w:vAlign w:val="bottom"/>
            <w:gridSpan w:val="15"/>
          </w:tcPr>
          <w:p>
            <w:pPr>
              <w:spacing w:after="0"/>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Amended and Restated Bylaws of Zoom Video</w:t>
              </w:r>
            </w:hyperlink>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3400" w:type="dxa"/>
            <w:vAlign w:val="bottom"/>
            <w:tcBorders>
              <w:top w:val="single" w:sz="8" w:color="0000FF"/>
            </w:tcBorders>
            <w:gridSpan w:val="4"/>
          </w:tcPr>
          <w:p>
            <w:pPr>
              <w:spacing w:after="0" w:line="182" w:lineRule="exact"/>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Communications, Inc.</w:t>
              </w:r>
            </w:hyperlink>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4660" w:type="dxa"/>
            <w:vAlign w:val="bottom"/>
            <w:gridSpan w:val="15"/>
          </w:tcPr>
          <w:p>
            <w:pPr>
              <w:spacing w:after="0"/>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Zoom Video Communications, Inc. Severance and Change in</w:t>
              </w:r>
            </w:hyperlink>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444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89">
              <w:r>
                <w:rPr>
                  <w:rFonts w:ascii="Times New Roman" w:cs="Times New Roman" w:eastAsia="Times New Roman" w:hAnsi="Times New Roman"/>
                  <w:sz w:val="18"/>
                  <w:szCs w:val="18"/>
                  <w:color w:val="0000FF"/>
                  <w:w w:val="99"/>
                </w:rPr>
                <w:t>Control Plan and form of Participation Agreement thereunder</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46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Zoom Video Communications, Inc. 2019 Equity Incentive Plan,</w:t>
            </w: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86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9"/>
              </w:rPr>
              <w:t>as amended</w:t>
            </w:r>
          </w:p>
        </w:tc>
        <w:tc>
          <w:tcPr>
            <w:tcW w:w="3740" w:type="dxa"/>
            <w:vAlign w:val="bottom"/>
            <w:tcBorders>
              <w:top w:val="single" w:sz="8" w:color="0000FF"/>
            </w:tcBorders>
            <w:gridSpan w:val="1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46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Exchange</w:t>
            </w: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4480" w:type="dxa"/>
            <w:vAlign w:val="bottom"/>
            <w:tcBorders>
              <w:top w:val="single" w:sz="8" w:color="0000FF"/>
            </w:tcBorders>
            <w:gridSpan w:val="12"/>
          </w:tcPr>
          <w:p>
            <w:pPr>
              <w:spacing w:after="0" w:line="156" w:lineRule="exact"/>
              <w:rPr>
                <w:sz w:val="20"/>
                <w:szCs w:val="20"/>
                <w:color w:val="auto"/>
              </w:rPr>
            </w:pPr>
            <w:r>
              <w:rPr>
                <w:rFonts w:ascii="Times New Roman" w:cs="Times New Roman" w:eastAsia="Times New Roman" w:hAnsi="Times New Roman"/>
                <w:sz w:val="18"/>
                <w:szCs w:val="18"/>
                <w:color w:val="0000FF"/>
              </w:rPr>
              <w:t>Act Rules 13a-14(a) and 15d-14(a), as adopted pursuant to</w:t>
            </w:r>
          </w:p>
        </w:tc>
        <w:tc>
          <w:tcPr>
            <w:tcW w:w="1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4220" w:type="dxa"/>
            <w:vAlign w:val="bottom"/>
            <w:tcBorders>
              <w:top w:val="single" w:sz="8" w:color="0000FF"/>
            </w:tcBorders>
            <w:gridSpan w:val="7"/>
          </w:tcPr>
          <w:p>
            <w:pPr>
              <w:spacing w:after="0" w:line="169" w:lineRule="exact"/>
              <w:rPr>
                <w:sz w:val="20"/>
                <w:szCs w:val="20"/>
                <w:color w:val="auto"/>
              </w:rPr>
            </w:pPr>
            <w:r>
              <w:rPr>
                <w:rFonts w:ascii="Times New Roman" w:cs="Times New Roman" w:eastAsia="Times New Roman" w:hAnsi="Times New Roman"/>
                <w:sz w:val="18"/>
                <w:szCs w:val="18"/>
                <w:color w:val="0000FF"/>
              </w:rPr>
              <w:t>Section 302 of the Sarbanes-Oxley Act of 2002.</w:t>
            </w:r>
          </w:p>
        </w:tc>
        <w:tc>
          <w:tcPr>
            <w:tcW w:w="20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18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60" w:type="dxa"/>
            <w:vAlign w:val="bottom"/>
            <w:gridSpan w:val="5"/>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46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Exchange</w:t>
            </w: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4460" w:type="dxa"/>
            <w:vAlign w:val="bottom"/>
            <w:tcBorders>
              <w:top w:val="single" w:sz="8" w:color="0000FF"/>
            </w:tcBorders>
            <w:gridSpan w:val="11"/>
          </w:tcPr>
          <w:p>
            <w:pPr>
              <w:spacing w:after="0" w:line="156" w:lineRule="exact"/>
              <w:rPr>
                <w:sz w:val="20"/>
                <w:szCs w:val="20"/>
                <w:color w:val="auto"/>
              </w:rPr>
            </w:pPr>
            <w:r>
              <w:rPr>
                <w:rFonts w:ascii="Times New Roman" w:cs="Times New Roman" w:eastAsia="Times New Roman" w:hAnsi="Times New Roman"/>
                <w:sz w:val="18"/>
                <w:szCs w:val="18"/>
                <w:color w:val="0000FF"/>
              </w:rPr>
              <w:t>Act Rules 13a-14(a) and 15d-14(a), as adopted pursuant to</w:t>
            </w:r>
          </w:p>
        </w:tc>
        <w:tc>
          <w:tcPr>
            <w:tcW w:w="1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4220" w:type="dxa"/>
            <w:vAlign w:val="bottom"/>
            <w:tcBorders>
              <w:top w:val="single" w:sz="8" w:color="0000FF"/>
            </w:tcBorders>
            <w:gridSpan w:val="7"/>
          </w:tcPr>
          <w:p>
            <w:pPr>
              <w:spacing w:after="0" w:line="169" w:lineRule="exact"/>
              <w:rPr>
                <w:sz w:val="20"/>
                <w:szCs w:val="20"/>
                <w:color w:val="auto"/>
              </w:rPr>
            </w:pPr>
            <w:r>
              <w:rPr>
                <w:rFonts w:ascii="Times New Roman" w:cs="Times New Roman" w:eastAsia="Times New Roman" w:hAnsi="Times New Roman"/>
                <w:sz w:val="18"/>
                <w:szCs w:val="18"/>
                <w:color w:val="0000FF"/>
              </w:rPr>
              <w:t>Section 302 of the Sarbanes-Oxley Act of 2002.</w:t>
            </w:r>
          </w:p>
        </w:tc>
        <w:tc>
          <w:tcPr>
            <w:tcW w:w="200" w:type="dxa"/>
            <w:vAlign w:val="bottom"/>
            <w:gridSpan w:val="2"/>
          </w:tcPr>
          <w:p>
            <w:pPr>
              <w:spacing w:after="0"/>
              <w:rPr>
                <w:sz w:val="14"/>
                <w:szCs w:val="14"/>
                <w:color w:val="auto"/>
              </w:rPr>
            </w:pPr>
          </w:p>
        </w:tc>
        <w:tc>
          <w:tcPr>
            <w:tcW w:w="22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60" w:type="dxa"/>
            <w:vAlign w:val="bottom"/>
            <w:gridSpan w:val="5"/>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44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Certifications of Chief Executive Officer and Chief Financial</w:t>
            </w:r>
          </w:p>
        </w:tc>
        <w:tc>
          <w:tcPr>
            <w:tcW w:w="240" w:type="dxa"/>
            <w:vAlign w:val="bottom"/>
            <w:gridSpan w:val="6"/>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4660" w:type="dxa"/>
            <w:vAlign w:val="bottom"/>
            <w:gridSpan w:val="15"/>
          </w:tcPr>
          <w:p>
            <w:pPr>
              <w:spacing w:after="0" w:line="156" w:lineRule="exact"/>
              <w:rPr>
                <w:sz w:val="20"/>
                <w:szCs w:val="20"/>
                <w:color w:val="auto"/>
              </w:rPr>
            </w:pPr>
            <w:r>
              <w:rPr>
                <w:rFonts w:ascii="Times New Roman" w:cs="Times New Roman" w:eastAsia="Times New Roman" w:hAnsi="Times New Roman"/>
                <w:sz w:val="18"/>
                <w:szCs w:val="18"/>
                <w:color w:val="0000FF"/>
              </w:rPr>
              <w:t>Officer pursuant to 18 U.S.C. Section 1350, as adopted pursuant</w:t>
            </w:r>
          </w:p>
        </w:tc>
        <w:tc>
          <w:tcPr>
            <w:tcW w:w="0" w:type="dxa"/>
            <w:vAlign w:val="bottom"/>
          </w:tcPr>
          <w:p>
            <w:pPr>
              <w:spacing w:after="0"/>
              <w:rPr>
                <w:sz w:val="1"/>
                <w:szCs w:val="1"/>
                <w:color w:val="auto"/>
              </w:rPr>
            </w:pPr>
          </w:p>
        </w:tc>
      </w:tr>
      <w:tr>
        <w:trPr>
          <w:trHeight w:val="169"/>
        </w:trPr>
        <w:tc>
          <w:tcPr>
            <w:tcW w:w="1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101.INS*</w:t>
            </w:r>
          </w:p>
        </w:tc>
        <w:tc>
          <w:tcPr>
            <w:tcW w:w="4640" w:type="dxa"/>
            <w:vAlign w:val="bottom"/>
            <w:tcBorders>
              <w:top w:val="single" w:sz="8" w:color="0000FF"/>
            </w:tcBorders>
            <w:gridSpan w:val="14"/>
          </w:tcPr>
          <w:p>
            <w:pPr>
              <w:spacing w:after="0" w:line="169" w:lineRule="exact"/>
              <w:rPr>
                <w:sz w:val="20"/>
                <w:szCs w:val="20"/>
                <w:color w:val="auto"/>
              </w:rPr>
            </w:pPr>
            <w:r>
              <w:rPr>
                <w:rFonts w:ascii="Times New Roman" w:cs="Times New Roman" w:eastAsia="Times New Roman" w:hAnsi="Times New Roman"/>
                <w:sz w:val="18"/>
                <w:szCs w:val="18"/>
                <w:color w:val="0000FF"/>
              </w:rPr>
              <w:t>to Section 906 of the Sarbanes-Oxley Act of 2002.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vMerge w:val="continue"/>
          </w:tcPr>
          <w:p>
            <w:pPr>
              <w:spacing w:after="0" w:line="20" w:lineRule="exact"/>
              <w:rPr>
                <w:sz w:val="1"/>
                <w:szCs w:val="1"/>
                <w:color w:val="auto"/>
              </w:rPr>
            </w:pPr>
          </w:p>
        </w:tc>
        <w:tc>
          <w:tcPr>
            <w:tcW w:w="3640" w:type="dxa"/>
            <w:vAlign w:val="bottom"/>
            <w:gridSpan w:val="6"/>
            <w:shd w:val="clear" w:color="auto" w:fill="0000FF"/>
          </w:tcPr>
          <w:p>
            <w:pPr>
              <w:spacing w:after="0" w:line="20" w:lineRule="exact"/>
              <w:rPr>
                <w:sz w:val="1"/>
                <w:szCs w:val="1"/>
                <w:color w:val="auto"/>
              </w:rPr>
            </w:pPr>
          </w:p>
        </w:tc>
        <w:tc>
          <w:tcPr>
            <w:tcW w:w="102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1160" w:type="dxa"/>
            <w:vAlign w:val="bottom"/>
            <w:vMerge w:val="continue"/>
          </w:tcPr>
          <w:p>
            <w:pPr>
              <w:spacing w:after="0"/>
              <w:rPr>
                <w:sz w:val="20"/>
                <w:szCs w:val="20"/>
                <w:color w:val="auto"/>
              </w:rPr>
            </w:pPr>
          </w:p>
        </w:tc>
        <w:tc>
          <w:tcPr>
            <w:tcW w:w="46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XBRL Instance Document (the instance document does not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6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appear in the Interactive Data File because its XBRL tags are</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46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embedded within the Inline EXBRL document)</w:t>
            </w:r>
          </w:p>
        </w:tc>
        <w:tc>
          <w:tcPr>
            <w:tcW w:w="0" w:type="dxa"/>
            <w:vAlign w:val="bottom"/>
          </w:tcPr>
          <w:p>
            <w:pPr>
              <w:spacing w:after="0"/>
              <w:rPr>
                <w:sz w:val="1"/>
                <w:szCs w:val="1"/>
                <w:color w:val="auto"/>
              </w:rPr>
            </w:pPr>
          </w:p>
        </w:tc>
      </w:tr>
      <w:tr>
        <w:trPr>
          <w:trHeight w:val="238"/>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46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46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46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46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46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0" w:type="dxa"/>
            <w:vAlign w:val="bottom"/>
          </w:tcPr>
          <w:p>
            <w:pPr>
              <w:spacing w:after="0"/>
              <w:rPr>
                <w:sz w:val="1"/>
                <w:szCs w:val="1"/>
                <w:color w:val="auto"/>
              </w:rPr>
            </w:pPr>
          </w:p>
        </w:tc>
      </w:tr>
    </w:tbl>
    <w:p>
      <w:pPr>
        <w:ind w:left="1180" w:right="220" w:hanging="1154"/>
        <w:spacing w:after="0" w:line="244" w:lineRule="auto"/>
        <w:tabs>
          <w:tab w:leader="none" w:pos="118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(the cover page from the Registrant’s Quarterly Report on Form 10-Q for the quarter ended October 31, 2022, has been formatted in Inline XBRL)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6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400" w:type="dxa"/>
            <w:vAlign w:val="bottom"/>
            <w:tcBorders>
              <w:top w:val="single" w:sz="8" w:color="auto"/>
            </w:tcBorders>
          </w:tcPr>
          <w:p>
            <w:pPr>
              <w:ind w:left="64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160" w:type="dxa"/>
            <w:vAlign w:val="bottom"/>
            <w:tcBorders>
              <w:top w:val="single" w:sz="8" w:color="auto"/>
            </w:tcBorders>
          </w:tcPr>
          <w:p>
            <w:pPr>
              <w:ind w:left="5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800" w:type="dxa"/>
            <w:vAlign w:val="bottom"/>
            <w:tcBorders>
              <w:top w:val="single" w:sz="8" w:color="auto"/>
            </w:tcBorders>
          </w:tcPr>
          <w:p>
            <w:pPr>
              <w:ind w:left="640"/>
              <w:spacing w:after="0"/>
              <w:rPr>
                <w:sz w:val="20"/>
                <w:szCs w:val="20"/>
                <w:color w:val="auto"/>
              </w:rPr>
            </w:pPr>
            <w:r>
              <w:rPr>
                <w:rFonts w:ascii="Times New Roman" w:cs="Times New Roman" w:eastAsia="Times New Roman" w:hAnsi="Times New Roman"/>
                <w:sz w:val="14"/>
                <w:szCs w:val="14"/>
                <w:b w:val="1"/>
                <w:bCs w:val="1"/>
                <w:color w:val="auto"/>
              </w:rPr>
              <w:t>Filing Date</w:t>
            </w:r>
          </w:p>
        </w:tc>
      </w:tr>
      <w:tr>
        <w:trPr>
          <w:trHeight w:val="255"/>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001-38865</w:t>
            </w:r>
          </w:p>
        </w:tc>
        <w:tc>
          <w:tcPr>
            <w:tcW w:w="1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3.1</w:t>
            </w:r>
          </w:p>
        </w:tc>
        <w:tc>
          <w:tcPr>
            <w:tcW w:w="1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April 23, 2019</w:t>
            </w:r>
          </w:p>
        </w:tc>
      </w:tr>
      <w:tr>
        <w:trPr>
          <w:trHeight w:val="473"/>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S-1/A</w:t>
            </w:r>
          </w:p>
        </w:tc>
        <w:tc>
          <w:tcPr>
            <w:tcW w:w="1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333-230444</w:t>
            </w:r>
          </w:p>
        </w:tc>
        <w:tc>
          <w:tcPr>
            <w:tcW w:w="1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3.4</w:t>
            </w:r>
          </w:p>
        </w:tc>
        <w:tc>
          <w:tcPr>
            <w:tcW w:w="1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April 8, 2019</w:t>
            </w:r>
          </w:p>
        </w:tc>
      </w:tr>
      <w:tr>
        <w:trPr>
          <w:trHeight w:val="473"/>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10-Q</w:t>
            </w:r>
          </w:p>
        </w:tc>
        <w:tc>
          <w:tcPr>
            <w:tcW w:w="1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001-38865</w:t>
            </w:r>
          </w:p>
        </w:tc>
        <w:tc>
          <w:tcPr>
            <w:tcW w:w="1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10.2</w:t>
            </w:r>
          </w:p>
        </w:tc>
        <w:tc>
          <w:tcPr>
            <w:tcW w:w="1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August 24, 2022</w:t>
            </w:r>
          </w:p>
        </w:tc>
      </w:tr>
    </w:tbl>
    <w:p>
      <w:pPr>
        <w:spacing w:after="0" w:line="4976" w:lineRule="exact"/>
        <w:rPr>
          <w:sz w:val="20"/>
          <w:szCs w:val="20"/>
          <w:color w:val="auto"/>
        </w:rPr>
      </w:pPr>
    </w:p>
    <w:p>
      <w:pPr>
        <w:sectPr>
          <w:pgSz w:w="11900" w:h="16838" w:orient="portrait"/>
          <w:cols w:equalWidth="0" w:num="2">
            <w:col w:w="5820" w:space="160"/>
            <w:col w:w="5260"/>
          </w:cols>
          <w:pgMar w:left="320" w:top="121" w:right="339" w:bottom="1440" w:gutter="0" w:footer="0" w:header="0"/>
        </w:sect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Filed herewith.</w:t>
      </w:r>
    </w:p>
    <w:p>
      <w:pPr>
        <w:spacing w:after="0" w:line="27" w:lineRule="exact"/>
        <w:rPr>
          <w:sz w:val="20"/>
          <w:szCs w:val="20"/>
          <w:color w:val="auto"/>
        </w:rPr>
      </w:pPr>
    </w:p>
    <w:p>
      <w:pPr>
        <w:ind w:left="660" w:hanging="652"/>
        <w:spacing w:after="0" w:line="255" w:lineRule="auto"/>
        <w:tabs>
          <w:tab w:leader="none" w:pos="33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 32.1 that accompany this Quarterly Report on Form 10-Q are not deemed filed with the SEC and are not to be incorporated by reference into any filing of the Registrant under the Securities Act,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300" w:type="dxa"/>
            <w:vAlign w:val="bottom"/>
          </w:tcPr>
          <w:p>
            <w:pPr>
              <w:spacing w:after="0"/>
              <w:rPr>
                <w:sz w:val="20"/>
                <w:szCs w:val="20"/>
                <w:color w:val="auto"/>
              </w:rPr>
            </w:pPr>
          </w:p>
        </w:tc>
        <w:tc>
          <w:tcPr>
            <w:tcW w:w="6900" w:type="dxa"/>
            <w:vAlign w:val="bottom"/>
            <w:gridSpan w:val="2"/>
          </w:tcPr>
          <w:p>
            <w:pPr>
              <w:ind w:left="2440"/>
              <w:spacing w:after="0"/>
              <w:rPr>
                <w:sz w:val="20"/>
                <w:szCs w:val="20"/>
                <w:color w:val="auto"/>
              </w:rPr>
            </w:pPr>
            <w:r>
              <w:rPr>
                <w:rFonts w:ascii="Times New Roman" w:cs="Times New Roman" w:eastAsia="Times New Roman" w:hAnsi="Times New Roman"/>
                <w:sz w:val="18"/>
                <w:szCs w:val="18"/>
                <w:b w:val="1"/>
                <w:bCs w:val="1"/>
                <w:color w:val="auto"/>
              </w:rPr>
              <w:t>ZOOM VIDEO COMMUNICATIONS, INC.</w:t>
            </w:r>
          </w:p>
        </w:tc>
      </w:tr>
      <w:tr>
        <w:trPr>
          <w:trHeight w:val="48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23, 2022</w:t>
            </w:r>
          </w:p>
        </w:tc>
        <w:tc>
          <w:tcPr>
            <w:tcW w:w="2960" w:type="dxa"/>
            <w:vAlign w:val="bottom"/>
          </w:tcPr>
          <w:p>
            <w:pPr>
              <w:ind w:left="2440"/>
              <w:spacing w:after="0"/>
              <w:rPr>
                <w:sz w:val="20"/>
                <w:szCs w:val="20"/>
                <w:color w:val="auto"/>
              </w:rPr>
            </w:pPr>
            <w:r>
              <w:rPr>
                <w:rFonts w:ascii="Times New Roman" w:cs="Times New Roman" w:eastAsia="Times New Roman" w:hAnsi="Times New Roman"/>
                <w:sz w:val="18"/>
                <w:szCs w:val="18"/>
                <w:color w:val="auto"/>
              </w:rPr>
              <w:t>By:</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Eric S. Yuan</w:t>
            </w:r>
          </w:p>
        </w:tc>
      </w:tr>
      <w:tr>
        <w:trPr>
          <w:trHeight w:val="218"/>
        </w:trPr>
        <w:tc>
          <w:tcPr>
            <w:tcW w:w="43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Eric S. Yuan</w:t>
            </w:r>
          </w:p>
        </w:tc>
      </w:tr>
      <w:tr>
        <w:trPr>
          <w:trHeight w:val="228"/>
        </w:trPr>
        <w:tc>
          <w:tcPr>
            <w:tcW w:w="430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6"/>
        </w:trPr>
        <w:tc>
          <w:tcPr>
            <w:tcW w:w="43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48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23, 2022</w:t>
            </w:r>
          </w:p>
        </w:tc>
        <w:tc>
          <w:tcPr>
            <w:tcW w:w="2960" w:type="dxa"/>
            <w:vAlign w:val="bottom"/>
          </w:tcPr>
          <w:p>
            <w:pPr>
              <w:ind w:left="2440"/>
              <w:spacing w:after="0"/>
              <w:rPr>
                <w:sz w:val="20"/>
                <w:szCs w:val="20"/>
                <w:color w:val="auto"/>
              </w:rPr>
            </w:pPr>
            <w:r>
              <w:rPr>
                <w:rFonts w:ascii="Times New Roman" w:cs="Times New Roman" w:eastAsia="Times New Roman" w:hAnsi="Times New Roman"/>
                <w:sz w:val="18"/>
                <w:szCs w:val="18"/>
                <w:color w:val="auto"/>
              </w:rPr>
              <w:t>By:</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Kelly Steckelberg</w:t>
            </w:r>
          </w:p>
        </w:tc>
      </w:tr>
      <w:tr>
        <w:trPr>
          <w:trHeight w:val="218"/>
        </w:trPr>
        <w:tc>
          <w:tcPr>
            <w:tcW w:w="43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Kelly Steckelberg</w:t>
            </w:r>
          </w:p>
        </w:tc>
      </w:tr>
      <w:tr>
        <w:trPr>
          <w:trHeight w:val="228"/>
        </w:trPr>
        <w:tc>
          <w:tcPr>
            <w:tcW w:w="430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43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240"/>
          </w:cols>
          <w:pgMar w:left="320" w:top="121" w:right="3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22"/>
          <w:szCs w:val="22"/>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Zoom Video Communications, Inc.</w:t>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2019 Equity Incentive Plan</w:t>
      </w:r>
    </w:p>
    <w:p>
      <w:pPr>
        <w:spacing w:after="0" w:line="1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Adopted by the Board of Directors: April 4, 2019</w:t>
      </w:r>
    </w:p>
    <w:p>
      <w:pPr>
        <w:jc w:val="center"/>
        <w:ind w:right="20"/>
        <w:spacing w:after="0" w:line="204" w:lineRule="auto"/>
        <w:rPr>
          <w:sz w:val="20"/>
          <w:szCs w:val="20"/>
          <w:color w:val="auto"/>
        </w:rPr>
      </w:pPr>
      <w:r>
        <w:rPr>
          <w:rFonts w:ascii="Times New Roman" w:cs="Times New Roman" w:eastAsia="Times New Roman" w:hAnsi="Times New Roman"/>
          <w:sz w:val="22"/>
          <w:szCs w:val="22"/>
          <w:b w:val="1"/>
          <w:bCs w:val="1"/>
          <w:color w:val="auto"/>
        </w:rPr>
        <w:t>Approved by the Stockholders: April 11, 2019</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Amended by the Compensation Committee: August 19,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3"/>
          <w:szCs w:val="13"/>
          <w:color w:val="auto"/>
        </w:rPr>
        <w:t>197532205 v11</w:t>
      </w:r>
    </w:p>
    <w:p>
      <w:pPr>
        <w:sectPr>
          <w:pgSz w:w="11900" w:h="16838" w:orient="portrait"/>
          <w:cols w:equalWidth="0" w:num="1">
            <w:col w:w="11220"/>
          </w:cols>
          <w:pgMar w:left="340" w:top="98" w:right="339" w:bottom="1440" w:gutter="0" w:footer="0" w:header="0"/>
        </w:sectPr>
      </w:pPr>
    </w:p>
    <w:bookmarkStart w:id="72" w:name="page73"/>
    <w:bookmarkEnd w:id="72"/>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60" w:type="dxa"/>
        <w:tblCellMar>
          <w:top w:w="0" w:type="dxa"/>
          <w:left w:w="0" w:type="dxa"/>
          <w:bottom w:w="0" w:type="dxa"/>
          <w:right w:w="0" w:type="dxa"/>
        </w:tblCellMar>
      </w:tblPr>
      <w:tr>
        <w:trPr>
          <w:trHeight w:val="270"/>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rPr>
              <w:t>1.</w:t>
            </w:r>
          </w:p>
        </w:tc>
        <w:tc>
          <w:tcPr>
            <w:tcW w:w="82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General.</w:t>
            </w:r>
          </w:p>
        </w:tc>
        <w:tc>
          <w:tcPr>
            <w:tcW w:w="2200" w:type="dxa"/>
            <w:vAlign w:val="bottom"/>
          </w:tcPr>
          <w:p>
            <w:pPr>
              <w:ind w:left="2000"/>
              <w:spacing w:after="0"/>
              <w:rPr>
                <w:sz w:val="20"/>
                <w:szCs w:val="20"/>
                <w:color w:val="auto"/>
              </w:rPr>
            </w:pPr>
            <w:r>
              <w:rPr>
                <w:rFonts w:ascii="Times New Roman" w:cs="Times New Roman" w:eastAsia="Times New Roman" w:hAnsi="Times New Roman"/>
                <w:sz w:val="22"/>
                <w:szCs w:val="22"/>
                <w:color w:val="auto"/>
              </w:rPr>
              <w:t>1</w:t>
            </w:r>
          </w:p>
        </w:tc>
      </w:tr>
      <w:tr>
        <w:trPr>
          <w:trHeight w:val="270"/>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rPr>
              <w:t>2.</w:t>
            </w:r>
          </w:p>
        </w:tc>
        <w:tc>
          <w:tcPr>
            <w:tcW w:w="82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Shares Subject to the Plan.</w:t>
            </w:r>
          </w:p>
        </w:tc>
        <w:tc>
          <w:tcPr>
            <w:tcW w:w="2200" w:type="dxa"/>
            <w:vAlign w:val="bottom"/>
          </w:tcPr>
          <w:p>
            <w:pPr>
              <w:ind w:left="2000"/>
              <w:spacing w:after="0"/>
              <w:rPr>
                <w:sz w:val="20"/>
                <w:szCs w:val="20"/>
                <w:color w:val="auto"/>
              </w:rPr>
            </w:pPr>
            <w:r>
              <w:rPr>
                <w:rFonts w:ascii="Times New Roman" w:cs="Times New Roman" w:eastAsia="Times New Roman" w:hAnsi="Times New Roman"/>
                <w:sz w:val="22"/>
                <w:szCs w:val="22"/>
                <w:color w:val="auto"/>
              </w:rPr>
              <w:t>1</w:t>
            </w:r>
          </w:p>
        </w:tc>
      </w:tr>
      <w:tr>
        <w:trPr>
          <w:trHeight w:val="270"/>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rPr>
              <w:t>3.</w:t>
            </w:r>
          </w:p>
        </w:tc>
        <w:tc>
          <w:tcPr>
            <w:tcW w:w="82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Eligibility and Limitations.</w:t>
            </w:r>
          </w:p>
        </w:tc>
        <w:tc>
          <w:tcPr>
            <w:tcW w:w="2200" w:type="dxa"/>
            <w:vAlign w:val="bottom"/>
          </w:tcPr>
          <w:p>
            <w:pPr>
              <w:ind w:left="2000"/>
              <w:spacing w:after="0"/>
              <w:rPr>
                <w:sz w:val="20"/>
                <w:szCs w:val="20"/>
                <w:color w:val="auto"/>
              </w:rPr>
            </w:pPr>
            <w:r>
              <w:rPr>
                <w:rFonts w:ascii="Times New Roman" w:cs="Times New Roman" w:eastAsia="Times New Roman" w:hAnsi="Times New Roman"/>
                <w:sz w:val="22"/>
                <w:szCs w:val="22"/>
                <w:color w:val="auto"/>
              </w:rPr>
              <w:t>2</w:t>
            </w:r>
          </w:p>
        </w:tc>
      </w:tr>
      <w:tr>
        <w:trPr>
          <w:trHeight w:val="270"/>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rPr>
              <w:t>4.</w:t>
            </w:r>
          </w:p>
        </w:tc>
        <w:tc>
          <w:tcPr>
            <w:tcW w:w="82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Options and Stock Appreciation Rights.</w:t>
            </w:r>
          </w:p>
        </w:tc>
        <w:tc>
          <w:tcPr>
            <w:tcW w:w="2200" w:type="dxa"/>
            <w:vAlign w:val="bottom"/>
          </w:tcPr>
          <w:p>
            <w:pPr>
              <w:ind w:left="2000"/>
              <w:spacing w:after="0"/>
              <w:rPr>
                <w:sz w:val="20"/>
                <w:szCs w:val="20"/>
                <w:color w:val="auto"/>
              </w:rPr>
            </w:pPr>
            <w:r>
              <w:rPr>
                <w:rFonts w:ascii="Times New Roman" w:cs="Times New Roman" w:eastAsia="Times New Roman" w:hAnsi="Times New Roman"/>
                <w:sz w:val="22"/>
                <w:szCs w:val="22"/>
                <w:color w:val="auto"/>
              </w:rPr>
              <w:t>3</w:t>
            </w:r>
          </w:p>
        </w:tc>
      </w:tr>
      <w:tr>
        <w:trPr>
          <w:trHeight w:val="270"/>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82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Awards Other Than Options and Stock Appreciation Rights.</w:t>
            </w:r>
          </w:p>
        </w:tc>
        <w:tc>
          <w:tcPr>
            <w:tcW w:w="2200" w:type="dxa"/>
            <w:vAlign w:val="bottom"/>
          </w:tcPr>
          <w:p>
            <w:pPr>
              <w:ind w:left="2000"/>
              <w:spacing w:after="0"/>
              <w:rPr>
                <w:sz w:val="20"/>
                <w:szCs w:val="20"/>
                <w:color w:val="auto"/>
              </w:rPr>
            </w:pPr>
            <w:r>
              <w:rPr>
                <w:rFonts w:ascii="Times New Roman" w:cs="Times New Roman" w:eastAsia="Times New Roman" w:hAnsi="Times New Roman"/>
                <w:sz w:val="22"/>
                <w:szCs w:val="22"/>
                <w:color w:val="auto"/>
              </w:rPr>
              <w:t>7</w:t>
            </w:r>
          </w:p>
        </w:tc>
      </w:tr>
      <w:tr>
        <w:trPr>
          <w:trHeight w:val="270"/>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rPr>
              <w:t>6.</w:t>
            </w:r>
          </w:p>
        </w:tc>
        <w:tc>
          <w:tcPr>
            <w:tcW w:w="82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Adjustments upon Changes in Common Stock; Other Corporate Events.</w:t>
            </w:r>
          </w:p>
        </w:tc>
        <w:tc>
          <w:tcPr>
            <w:tcW w:w="2200" w:type="dxa"/>
            <w:vAlign w:val="bottom"/>
          </w:tcPr>
          <w:p>
            <w:pPr>
              <w:ind w:left="2000"/>
              <w:spacing w:after="0"/>
              <w:rPr>
                <w:sz w:val="20"/>
                <w:szCs w:val="20"/>
                <w:color w:val="auto"/>
              </w:rPr>
            </w:pPr>
            <w:r>
              <w:rPr>
                <w:rFonts w:ascii="Times New Roman" w:cs="Times New Roman" w:eastAsia="Times New Roman" w:hAnsi="Times New Roman"/>
                <w:sz w:val="22"/>
                <w:szCs w:val="22"/>
                <w:color w:val="auto"/>
              </w:rPr>
              <w:t>9</w:t>
            </w:r>
          </w:p>
        </w:tc>
      </w:tr>
      <w:tr>
        <w:trPr>
          <w:trHeight w:val="270"/>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rPr>
              <w:t>7.</w:t>
            </w:r>
          </w:p>
        </w:tc>
        <w:tc>
          <w:tcPr>
            <w:tcW w:w="82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Administration.</w:t>
            </w:r>
          </w:p>
        </w:tc>
        <w:tc>
          <w:tcPr>
            <w:tcW w:w="2200" w:type="dxa"/>
            <w:vAlign w:val="bottom"/>
          </w:tcPr>
          <w:p>
            <w:pPr>
              <w:ind w:left="2000"/>
              <w:spacing w:after="0"/>
              <w:rPr>
                <w:sz w:val="20"/>
                <w:szCs w:val="20"/>
                <w:color w:val="auto"/>
              </w:rPr>
            </w:pPr>
            <w:r>
              <w:rPr>
                <w:rFonts w:ascii="Times New Roman" w:cs="Times New Roman" w:eastAsia="Times New Roman" w:hAnsi="Times New Roman"/>
                <w:sz w:val="22"/>
                <w:szCs w:val="22"/>
                <w:color w:val="auto"/>
                <w:w w:val="81"/>
              </w:rPr>
              <w:t>11</w:t>
            </w:r>
          </w:p>
        </w:tc>
      </w:tr>
      <w:tr>
        <w:trPr>
          <w:trHeight w:val="270"/>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rPr>
              <w:t>8.</w:t>
            </w:r>
          </w:p>
        </w:tc>
        <w:tc>
          <w:tcPr>
            <w:tcW w:w="82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Tax Withholding</w:t>
            </w:r>
          </w:p>
        </w:tc>
        <w:tc>
          <w:tcPr>
            <w:tcW w:w="2200" w:type="dxa"/>
            <w:vAlign w:val="bottom"/>
          </w:tcPr>
          <w:p>
            <w:pPr>
              <w:ind w:left="2000"/>
              <w:spacing w:after="0"/>
              <w:rPr>
                <w:sz w:val="20"/>
                <w:szCs w:val="20"/>
                <w:color w:val="auto"/>
              </w:rPr>
            </w:pPr>
            <w:r>
              <w:rPr>
                <w:rFonts w:ascii="Times New Roman" w:cs="Times New Roman" w:eastAsia="Times New Roman" w:hAnsi="Times New Roman"/>
                <w:sz w:val="22"/>
                <w:szCs w:val="22"/>
                <w:color w:val="auto"/>
                <w:w w:val="81"/>
              </w:rPr>
              <w:t>14</w:t>
            </w:r>
          </w:p>
        </w:tc>
      </w:tr>
      <w:tr>
        <w:trPr>
          <w:trHeight w:val="270"/>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rPr>
              <w:t>9.</w:t>
            </w:r>
          </w:p>
        </w:tc>
        <w:tc>
          <w:tcPr>
            <w:tcW w:w="82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Miscellaneous.</w:t>
            </w:r>
          </w:p>
        </w:tc>
        <w:tc>
          <w:tcPr>
            <w:tcW w:w="2200" w:type="dxa"/>
            <w:vAlign w:val="bottom"/>
          </w:tcPr>
          <w:p>
            <w:pPr>
              <w:ind w:left="2000"/>
              <w:spacing w:after="0"/>
              <w:rPr>
                <w:sz w:val="20"/>
                <w:szCs w:val="20"/>
                <w:color w:val="auto"/>
              </w:rPr>
            </w:pPr>
            <w:r>
              <w:rPr>
                <w:rFonts w:ascii="Times New Roman" w:cs="Times New Roman" w:eastAsia="Times New Roman" w:hAnsi="Times New Roman"/>
                <w:sz w:val="22"/>
                <w:szCs w:val="22"/>
                <w:color w:val="auto"/>
                <w:w w:val="81"/>
              </w:rPr>
              <w:t>15</w:t>
            </w:r>
          </w:p>
        </w:tc>
      </w:tr>
      <w:tr>
        <w:trPr>
          <w:trHeight w:val="270"/>
        </w:trPr>
        <w:tc>
          <w:tcPr>
            <w:tcW w:w="86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10.  Covenants of the Company.</w:t>
            </w:r>
          </w:p>
        </w:tc>
        <w:tc>
          <w:tcPr>
            <w:tcW w:w="2200" w:type="dxa"/>
            <w:vAlign w:val="bottom"/>
          </w:tcPr>
          <w:p>
            <w:pPr>
              <w:ind w:left="2000"/>
              <w:spacing w:after="0"/>
              <w:rPr>
                <w:sz w:val="20"/>
                <w:szCs w:val="20"/>
                <w:color w:val="auto"/>
              </w:rPr>
            </w:pPr>
            <w:r>
              <w:rPr>
                <w:rFonts w:ascii="Times New Roman" w:cs="Times New Roman" w:eastAsia="Times New Roman" w:hAnsi="Times New Roman"/>
                <w:sz w:val="22"/>
                <w:szCs w:val="22"/>
                <w:color w:val="auto"/>
                <w:w w:val="81"/>
              </w:rPr>
              <w:t>19</w:t>
            </w:r>
          </w:p>
        </w:tc>
      </w:tr>
      <w:tr>
        <w:trPr>
          <w:trHeight w:val="270"/>
        </w:trPr>
        <w:tc>
          <w:tcPr>
            <w:tcW w:w="86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11.  Additional Rules for Awards Subject to Section 409A.</w:t>
            </w:r>
          </w:p>
        </w:tc>
        <w:tc>
          <w:tcPr>
            <w:tcW w:w="2200" w:type="dxa"/>
            <w:vAlign w:val="bottom"/>
          </w:tcPr>
          <w:p>
            <w:pPr>
              <w:ind w:left="2000"/>
              <w:spacing w:after="0"/>
              <w:rPr>
                <w:sz w:val="20"/>
                <w:szCs w:val="20"/>
                <w:color w:val="auto"/>
              </w:rPr>
            </w:pPr>
            <w:r>
              <w:rPr>
                <w:rFonts w:ascii="Times New Roman" w:cs="Times New Roman" w:eastAsia="Times New Roman" w:hAnsi="Times New Roman"/>
                <w:sz w:val="22"/>
                <w:szCs w:val="22"/>
                <w:color w:val="auto"/>
                <w:w w:val="81"/>
              </w:rPr>
              <w:t>19</w:t>
            </w:r>
          </w:p>
        </w:tc>
      </w:tr>
      <w:tr>
        <w:trPr>
          <w:trHeight w:val="270"/>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rPr>
              <w:t>12.</w:t>
            </w:r>
          </w:p>
        </w:tc>
        <w:tc>
          <w:tcPr>
            <w:tcW w:w="82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Severability.</w:t>
            </w:r>
          </w:p>
        </w:tc>
        <w:tc>
          <w:tcPr>
            <w:tcW w:w="2200" w:type="dxa"/>
            <w:vAlign w:val="bottom"/>
          </w:tcPr>
          <w:p>
            <w:pPr>
              <w:ind w:left="2000"/>
              <w:spacing w:after="0"/>
              <w:rPr>
                <w:sz w:val="20"/>
                <w:szCs w:val="20"/>
                <w:color w:val="auto"/>
              </w:rPr>
            </w:pPr>
            <w:r>
              <w:rPr>
                <w:rFonts w:ascii="Times New Roman" w:cs="Times New Roman" w:eastAsia="Times New Roman" w:hAnsi="Times New Roman"/>
                <w:sz w:val="22"/>
                <w:szCs w:val="22"/>
                <w:color w:val="auto"/>
                <w:w w:val="81"/>
              </w:rPr>
              <w:t>23</w:t>
            </w:r>
          </w:p>
        </w:tc>
      </w:tr>
      <w:tr>
        <w:trPr>
          <w:trHeight w:val="270"/>
        </w:trPr>
        <w:tc>
          <w:tcPr>
            <w:tcW w:w="86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13.  Termination of the Plan.</w:t>
            </w:r>
          </w:p>
        </w:tc>
        <w:tc>
          <w:tcPr>
            <w:tcW w:w="2200" w:type="dxa"/>
            <w:vAlign w:val="bottom"/>
          </w:tcPr>
          <w:p>
            <w:pPr>
              <w:ind w:left="2000"/>
              <w:spacing w:after="0"/>
              <w:rPr>
                <w:sz w:val="20"/>
                <w:szCs w:val="20"/>
                <w:color w:val="auto"/>
              </w:rPr>
            </w:pPr>
            <w:r>
              <w:rPr>
                <w:rFonts w:ascii="Times New Roman" w:cs="Times New Roman" w:eastAsia="Times New Roman" w:hAnsi="Times New Roman"/>
                <w:sz w:val="22"/>
                <w:szCs w:val="22"/>
                <w:color w:val="auto"/>
                <w:w w:val="81"/>
              </w:rPr>
              <w:t>23</w:t>
            </w:r>
          </w:p>
        </w:tc>
      </w:tr>
      <w:tr>
        <w:trPr>
          <w:trHeight w:val="282"/>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rPr>
              <w:t>14.</w:t>
            </w:r>
          </w:p>
        </w:tc>
        <w:tc>
          <w:tcPr>
            <w:tcW w:w="82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Definitions</w:t>
            </w:r>
          </w:p>
        </w:tc>
        <w:tc>
          <w:tcPr>
            <w:tcW w:w="2200" w:type="dxa"/>
            <w:vAlign w:val="bottom"/>
          </w:tcPr>
          <w:p>
            <w:pPr>
              <w:ind w:left="2000"/>
              <w:spacing w:after="0"/>
              <w:rPr>
                <w:sz w:val="20"/>
                <w:szCs w:val="20"/>
                <w:color w:val="auto"/>
              </w:rPr>
            </w:pPr>
            <w:r>
              <w:rPr>
                <w:rFonts w:ascii="Times New Roman" w:cs="Times New Roman" w:eastAsia="Times New Roman" w:hAnsi="Times New Roman"/>
                <w:sz w:val="22"/>
                <w:szCs w:val="22"/>
                <w:color w:val="auto"/>
                <w:w w:val="81"/>
              </w:rPr>
              <w:t>24</w:t>
            </w:r>
          </w:p>
        </w:tc>
      </w:tr>
    </w:tbl>
    <w:p>
      <w:pPr>
        <w:spacing w:after="0" w:line="200" w:lineRule="exact"/>
        <w:rPr>
          <w:sz w:val="20"/>
          <w:szCs w:val="20"/>
          <w:color w:val="auto"/>
        </w:rPr>
      </w:pPr>
    </w:p>
    <w:p>
      <w:pPr>
        <w:spacing w:after="0" w:line="2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i.</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color w:val="auto"/>
        </w:rPr>
        <w:t>197532205 v11</w:t>
      </w:r>
    </w:p>
    <w:p>
      <w:pPr>
        <w:sectPr>
          <w:pgSz w:w="11900" w:h="16838" w:orient="portrait"/>
          <w:cols w:equalWidth="0" w:num="1">
            <w:col w:w="11120"/>
          </w:cols>
          <w:pgMar w:left="340" w:top="94" w:right="439" w:bottom="1440" w:gutter="0" w:footer="0" w:header="0"/>
        </w:sectPr>
      </w:pPr>
    </w:p>
    <w:bookmarkStart w:id="73" w:name="page74"/>
    <w:bookmarkEnd w:id="73"/>
    <w:p>
      <w:pPr>
        <w:ind w:left="660" w:hanging="652"/>
        <w:spacing w:after="0"/>
        <w:tabs>
          <w:tab w:leader="none" w:pos="660" w:val="left"/>
        </w:tabs>
        <w:numPr>
          <w:ilvl w:val="0"/>
          <w:numId w:val="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General.</w:t>
      </w:r>
    </w:p>
    <w:p>
      <w:pPr>
        <w:spacing w:after="0" w:line="179" w:lineRule="exact"/>
        <w:rPr>
          <w:sz w:val="20"/>
          <w:szCs w:val="20"/>
          <w:color w:val="auto"/>
        </w:rPr>
      </w:pPr>
    </w:p>
    <w:p>
      <w:pPr>
        <w:jc w:val="both"/>
        <w:ind w:firstLine="8"/>
        <w:spacing w:after="0" w:line="228" w:lineRule="auto"/>
        <w:tabs>
          <w:tab w:leader="none" w:pos="643" w:val="left"/>
        </w:tabs>
        <w:numPr>
          <w:ilvl w:val="0"/>
          <w:numId w:val="2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Successor to and Continuation of Prior Plan. </w:t>
      </w:r>
      <w:r>
        <w:rPr>
          <w:rFonts w:ascii="Times New Roman" w:cs="Times New Roman" w:eastAsia="Times New Roman" w:hAnsi="Times New Roman"/>
          <w:sz w:val="21"/>
          <w:szCs w:val="21"/>
          <w:color w:val="auto"/>
        </w:rPr>
        <w:t>The Plan is the successor to and continuation of the Prior Plan. As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Effective Date, (i) no additional awards may be granted under the Prior Plan; (ii) the Prior Plan’s Available Reserve will become available for issuance pursuant to Awards granted under this Plan; and (iii) all outstanding awards granted under the Prior Plan will remain subject to the terms of the Prior Plan;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any Returning Shares will become available for issuance pursuant to Awards granted under this Plan. All Awards granted under this Plan will be subject to the terms of this Plan.</w:t>
      </w:r>
    </w:p>
    <w:p>
      <w:pPr>
        <w:spacing w:after="0" w:line="148" w:lineRule="exact"/>
        <w:rPr>
          <w:rFonts w:ascii="Times New Roman" w:cs="Times New Roman" w:eastAsia="Times New Roman" w:hAnsi="Times New Roman"/>
          <w:sz w:val="21"/>
          <w:szCs w:val="21"/>
          <w:b w:val="1"/>
          <w:bCs w:val="1"/>
          <w:color w:val="auto"/>
        </w:rPr>
      </w:pPr>
    </w:p>
    <w:p>
      <w:pPr>
        <w:jc w:val="both"/>
        <w:ind w:firstLine="8"/>
        <w:spacing w:after="0" w:line="221" w:lineRule="auto"/>
        <w:tabs>
          <w:tab w:leader="none" w:pos="642" w:val="left"/>
        </w:tabs>
        <w:numPr>
          <w:ilvl w:val="0"/>
          <w:numId w:val="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Plan Purpose. </w:t>
      </w:r>
      <w:r>
        <w:rPr>
          <w:rFonts w:ascii="Times New Roman" w:cs="Times New Roman" w:eastAsia="Times New Roman" w:hAnsi="Times New Roman"/>
          <w:sz w:val="22"/>
          <w:szCs w:val="22"/>
          <w:color w:val="auto"/>
        </w:rPr>
        <w:t>The Company, by means of the Plan, seeks to secure and retain the services of Employees, Directors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Consultants, to provide incentives for such persons to exert maximum efforts for the success of the Company and any Affiliate and to provide a means by which such persons may be given an opportunity to benefit from increases in value of the Common Stock through the granting of Awards.</w:t>
      </w:r>
    </w:p>
    <w:p>
      <w:pPr>
        <w:spacing w:after="0" w:line="148" w:lineRule="exact"/>
        <w:rPr>
          <w:rFonts w:ascii="Times New Roman" w:cs="Times New Roman" w:eastAsia="Times New Roman" w:hAnsi="Times New Roman"/>
          <w:sz w:val="22"/>
          <w:szCs w:val="22"/>
          <w:b w:val="1"/>
          <w:bCs w:val="1"/>
          <w:color w:val="auto"/>
        </w:rPr>
      </w:pPr>
    </w:p>
    <w:p>
      <w:pPr>
        <w:jc w:val="both"/>
        <w:ind w:firstLine="8"/>
        <w:spacing w:after="0" w:line="227" w:lineRule="auto"/>
        <w:tabs>
          <w:tab w:leader="none" w:pos="645" w:val="left"/>
        </w:tabs>
        <w:numPr>
          <w:ilvl w:val="0"/>
          <w:numId w:val="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Available Awards. </w:t>
      </w:r>
      <w:r>
        <w:rPr>
          <w:rFonts w:ascii="Times New Roman" w:cs="Times New Roman" w:eastAsia="Times New Roman" w:hAnsi="Times New Roman"/>
          <w:sz w:val="22"/>
          <w:szCs w:val="22"/>
          <w:color w:val="auto"/>
        </w:rPr>
        <w:t>The Plan provides for the grant of the following Awards: (i) Incentive Stock Options; (ii)</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Nonstatutory Stock Options; (iii) SARs; (iv) Restricted Stock Awards; (v) RSU Awards; (vi) Performance Awards; and (vii) Other Awards.</w:t>
      </w:r>
    </w:p>
    <w:p>
      <w:pPr>
        <w:spacing w:after="0" w:line="146" w:lineRule="exact"/>
        <w:rPr>
          <w:sz w:val="20"/>
          <w:szCs w:val="20"/>
          <w:color w:val="auto"/>
        </w:rPr>
      </w:pPr>
    </w:p>
    <w:p>
      <w:pPr>
        <w:ind w:firstLine="8"/>
        <w:spacing w:after="0" w:line="238" w:lineRule="auto"/>
        <w:tabs>
          <w:tab w:leader="none" w:pos="643" w:val="left"/>
        </w:tabs>
        <w:numPr>
          <w:ilvl w:val="0"/>
          <w:numId w:val="2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Adoption Date; Effective Date. </w:t>
      </w:r>
      <w:r>
        <w:rPr>
          <w:rFonts w:ascii="Times New Roman" w:cs="Times New Roman" w:eastAsia="Times New Roman" w:hAnsi="Times New Roman"/>
          <w:sz w:val="22"/>
          <w:szCs w:val="22"/>
          <w:color w:val="auto"/>
        </w:rPr>
        <w:t>The Plan will come into existence on the Adoption Date, but no Award may be granted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prior to the Effective Date.</w:t>
      </w:r>
    </w:p>
    <w:p>
      <w:pPr>
        <w:spacing w:after="0" w:line="146" w:lineRule="exact"/>
        <w:rPr>
          <w:sz w:val="20"/>
          <w:szCs w:val="20"/>
          <w:color w:val="auto"/>
        </w:rPr>
      </w:pPr>
    </w:p>
    <w:p>
      <w:pPr>
        <w:ind w:left="660" w:hanging="652"/>
        <w:spacing w:after="0"/>
        <w:tabs>
          <w:tab w:leader="none" w:pos="660" w:val="left"/>
        </w:tabs>
        <w:numPr>
          <w:ilvl w:val="0"/>
          <w:numId w:val="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Shares Subject to the Plan.</w:t>
      </w:r>
    </w:p>
    <w:p>
      <w:pPr>
        <w:spacing w:after="0" w:line="179" w:lineRule="exact"/>
        <w:rPr>
          <w:sz w:val="20"/>
          <w:szCs w:val="20"/>
          <w:color w:val="auto"/>
        </w:rPr>
      </w:pPr>
    </w:p>
    <w:p>
      <w:pPr>
        <w:jc w:val="both"/>
        <w:ind w:firstLine="8"/>
        <w:spacing w:after="0" w:line="221" w:lineRule="auto"/>
        <w:tabs>
          <w:tab w:leader="none" w:pos="642" w:val="left"/>
        </w:tabs>
        <w:numPr>
          <w:ilvl w:val="0"/>
          <w:numId w:val="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Share Reserve. </w:t>
      </w:r>
      <w:r>
        <w:rPr>
          <w:rFonts w:ascii="Times New Roman" w:cs="Times New Roman" w:eastAsia="Times New Roman" w:hAnsi="Times New Roman"/>
          <w:sz w:val="22"/>
          <w:szCs w:val="22"/>
          <w:color w:val="auto"/>
        </w:rPr>
        <w:t>Subject to adjustment in accordance with Section 2(c) and any adjustments as necessary to implement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Capitalization Adjustments, the aggregate number of shares of Common Stock that may be issued pursuant to Awards will not exceed 58,300,889 shares, which number is the sum of: (i) 34,000,000 new shares; plus (ii) the Prior Plan’s Available Reserve; plus (iii) the number of Returning Shares, if any, as such shares become available from time to time.</w:t>
      </w:r>
    </w:p>
    <w:p>
      <w:pPr>
        <w:spacing w:after="0" w:line="152"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2"/>
          <w:szCs w:val="22"/>
          <w:color w:val="auto"/>
        </w:rPr>
        <w:t>In addition, subject to any adjustments as necessary to implement any Capitalization Adjustments, such aggregate number of shares of Common Stock will automatically increase on February 1 of each fiscal year for a period of ten years commencing on February 1, 2020 and ending on (and including) February 1, 2029, in a number of shares of Common Stock equal to 5% of the total number of shares of Capital Stock outstanding on January 31 of the preceding fiscal year; provided, however that the Board may act prior to February 1 of a given fiscal year to provide that the increase for such year will be a lesser number of shares of Common Stock.</w:t>
      </w:r>
    </w:p>
    <w:p>
      <w:pPr>
        <w:spacing w:after="0" w:line="148" w:lineRule="exact"/>
        <w:rPr>
          <w:sz w:val="20"/>
          <w:szCs w:val="20"/>
          <w:color w:val="auto"/>
        </w:rPr>
      </w:pPr>
    </w:p>
    <w:p>
      <w:pPr>
        <w:jc w:val="both"/>
        <w:ind w:firstLine="8"/>
        <w:spacing w:after="0" w:line="227" w:lineRule="auto"/>
        <w:tabs>
          <w:tab w:leader="none" w:pos="643" w:val="left"/>
        </w:tabs>
        <w:numPr>
          <w:ilvl w:val="0"/>
          <w:numId w:val="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Aggregate Incentive Stock Option Limit. </w:t>
      </w:r>
      <w:r>
        <w:rPr>
          <w:rFonts w:ascii="Times New Roman" w:cs="Times New Roman" w:eastAsia="Times New Roman" w:hAnsi="Times New Roman"/>
          <w:sz w:val="22"/>
          <w:szCs w:val="22"/>
          <w:color w:val="auto"/>
        </w:rPr>
        <w:t>Notwithstanding anything to the contrary in Section 2(a) and subject to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adjustments as necessary to implement any Capitalization Adjustments, the aggregate maximum number of shares of Common Stock that may be issued pursuant to the exercise of Incentive Stock Options is 174,902,667 shares.</w:t>
      </w:r>
    </w:p>
    <w:p>
      <w:pPr>
        <w:spacing w:after="0" w:line="146" w:lineRule="exact"/>
        <w:rPr>
          <w:rFonts w:ascii="Times New Roman" w:cs="Times New Roman" w:eastAsia="Times New Roman" w:hAnsi="Times New Roman"/>
          <w:sz w:val="22"/>
          <w:szCs w:val="22"/>
          <w:b w:val="1"/>
          <w:bCs w:val="1"/>
          <w:color w:val="auto"/>
        </w:rPr>
      </w:pPr>
    </w:p>
    <w:p>
      <w:pPr>
        <w:ind w:left="640" w:hanging="632"/>
        <w:spacing w:after="0"/>
        <w:tabs>
          <w:tab w:leader="none" w:pos="640" w:val="left"/>
        </w:tabs>
        <w:numPr>
          <w:ilvl w:val="0"/>
          <w:numId w:val="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Share Reserve Operation.</w:t>
      </w:r>
    </w:p>
    <w:p>
      <w:pPr>
        <w:spacing w:after="0" w:line="179" w:lineRule="exact"/>
        <w:rPr>
          <w:sz w:val="20"/>
          <w:szCs w:val="20"/>
          <w:color w:val="auto"/>
        </w:rPr>
      </w:pPr>
    </w:p>
    <w:p>
      <w:pPr>
        <w:jc w:val="both"/>
        <w:ind w:firstLine="8"/>
        <w:spacing w:after="0" w:line="216" w:lineRule="auto"/>
        <w:tabs>
          <w:tab w:leader="none" w:pos="636" w:val="left"/>
        </w:tabs>
        <w:numPr>
          <w:ilvl w:val="0"/>
          <w:numId w:val="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Limit Applies to Common Stock Issued Pursuant to Awards. </w:t>
      </w:r>
      <w:r>
        <w:rPr>
          <w:rFonts w:ascii="Times New Roman" w:cs="Times New Roman" w:eastAsia="Times New Roman" w:hAnsi="Times New Roman"/>
          <w:sz w:val="22"/>
          <w:szCs w:val="22"/>
          <w:color w:val="auto"/>
        </w:rPr>
        <w:t>For clarity, the Share Reserve is a limit on the number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shares of Common Stock that may be issued pursuant to Awards and does not limit the granting of Awards, except that the Company will keep available at all times the number of shares of Common Stock reasonably required to satisfy its obligations to issue shares pursuant to such Awards. Shares may be issued in connection with a merger or acquisition as permitted by, as applicable, NASDAQ Listing Rule 5635(c), NYSE Listed Company Manual Section 303A.08, AMEX Company Guide Section 711 or other applicable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3"/>
          <w:szCs w:val="13"/>
          <w:color w:val="auto"/>
        </w:rPr>
        <w:t>197532205 v11</w:t>
      </w:r>
    </w:p>
    <w:p>
      <w:pPr>
        <w:sectPr>
          <w:pgSz w:w="11900" w:h="16838" w:orient="portrait"/>
          <w:cols w:equalWidth="0" w:num="1">
            <w:col w:w="11240"/>
          </w:cols>
          <w:pgMar w:left="320" w:top="139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22"/>
          <w:szCs w:val="22"/>
          <w:color w:val="auto"/>
        </w:rPr>
        <w:t>rule, and such issuance will not reduce the number of shares available for issuance under the Plan.</w:t>
      </w:r>
    </w:p>
    <w:p>
      <w:pPr>
        <w:spacing w:after="0" w:line="175" w:lineRule="exact"/>
        <w:rPr>
          <w:sz w:val="20"/>
          <w:szCs w:val="20"/>
          <w:color w:val="auto"/>
        </w:rPr>
      </w:pPr>
    </w:p>
    <w:p>
      <w:pPr>
        <w:jc w:val="both"/>
        <w:ind w:firstLine="8"/>
        <w:spacing w:after="0" w:line="214" w:lineRule="auto"/>
        <w:tabs>
          <w:tab w:leader="none" w:pos="642" w:val="left"/>
        </w:tabs>
        <w:numPr>
          <w:ilvl w:val="0"/>
          <w:numId w:val="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Actions that Do Not Constitute Issuance of Common Stock and Do Not Reduce Share Reserve. </w:t>
      </w:r>
      <w:r>
        <w:rPr>
          <w:rFonts w:ascii="Times New Roman" w:cs="Times New Roman" w:eastAsia="Times New Roman" w:hAnsi="Times New Roman"/>
          <w:sz w:val="22"/>
          <w:szCs w:val="22"/>
          <w:color w:val="auto"/>
        </w:rPr>
        <w:t>The following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actions do not result in an issuance of shares under the Plan and accordingly do not reduce the number of shares subject to the Share Reserve and available for issuance under the Plan: (a) the expiration or termination of any portion of an Award without the shares covered by such portion of the Award having been issued, (b) the settlement of any portion of an Award in cash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the Participant receives cash rather than Common Stock), (c) the withholding of shares that would otherwise be issued by the Company to satisfy the exercise, strike or purchase price of an Award; (d) the withholding of shares that would otherwise be issued by the Company to satisfy a tax withholding obligation in connection with an Award.</w:t>
      </w:r>
    </w:p>
    <w:p>
      <w:pPr>
        <w:spacing w:after="0" w:line="148" w:lineRule="exact"/>
        <w:rPr>
          <w:rFonts w:ascii="Times New Roman" w:cs="Times New Roman" w:eastAsia="Times New Roman" w:hAnsi="Times New Roman"/>
          <w:sz w:val="22"/>
          <w:szCs w:val="22"/>
          <w:b w:val="1"/>
          <w:bCs w:val="1"/>
          <w:color w:val="auto"/>
        </w:rPr>
      </w:pPr>
    </w:p>
    <w:p>
      <w:pPr>
        <w:jc w:val="both"/>
        <w:ind w:firstLine="8"/>
        <w:spacing w:after="0" w:line="216" w:lineRule="auto"/>
        <w:tabs>
          <w:tab w:leader="none" w:pos="648" w:val="left"/>
        </w:tabs>
        <w:numPr>
          <w:ilvl w:val="0"/>
          <w:numId w:val="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Reversion of Previously Issued Shares of Common Stock to Share Reserve. </w:t>
      </w:r>
      <w:r>
        <w:rPr>
          <w:rFonts w:ascii="Times New Roman" w:cs="Times New Roman" w:eastAsia="Times New Roman" w:hAnsi="Times New Roman"/>
          <w:sz w:val="22"/>
          <w:szCs w:val="22"/>
          <w:color w:val="auto"/>
        </w:rPr>
        <w:t>The following shares of Common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previously issued pursuant to an Award and accordingly initially deducted from the Share Reserve will be added back to the Share Reserve and again become available for issuance under the Plan: (a) any shares that are forfeited back to or repurchased by the Company because of a failure to meet a contingency or condition required for the vesting of such shares; (b) any shares that are reacquired by the Company to satisfy the exercise, strike or purchase price of an Award; and (c) any shares that are reacquired by the Company to satisfy a tax withholding obligation in connection with an Award.</w:t>
      </w:r>
    </w:p>
    <w:p>
      <w:pPr>
        <w:spacing w:after="0" w:line="146" w:lineRule="exact"/>
        <w:rPr>
          <w:sz w:val="20"/>
          <w:szCs w:val="20"/>
          <w:color w:val="auto"/>
        </w:rPr>
      </w:pPr>
    </w:p>
    <w:p>
      <w:pPr>
        <w:ind w:left="660" w:hanging="652"/>
        <w:spacing w:after="0"/>
        <w:tabs>
          <w:tab w:leader="none" w:pos="660" w:val="left"/>
        </w:tabs>
        <w:numPr>
          <w:ilvl w:val="0"/>
          <w:numId w:val="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Eligibility and Limitations.</w:t>
      </w:r>
    </w:p>
    <w:p>
      <w:pPr>
        <w:spacing w:after="0" w:line="179" w:lineRule="exact"/>
        <w:rPr>
          <w:sz w:val="20"/>
          <w:szCs w:val="20"/>
          <w:color w:val="auto"/>
        </w:rPr>
      </w:pPr>
    </w:p>
    <w:p>
      <w:pPr>
        <w:ind w:firstLine="8"/>
        <w:spacing w:after="0" w:line="238" w:lineRule="auto"/>
        <w:tabs>
          <w:tab w:leader="none" w:pos="645" w:val="left"/>
        </w:tabs>
        <w:numPr>
          <w:ilvl w:val="0"/>
          <w:numId w:val="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Eligible Award Recipients. </w:t>
      </w:r>
      <w:r>
        <w:rPr>
          <w:rFonts w:ascii="Times New Roman" w:cs="Times New Roman" w:eastAsia="Times New Roman" w:hAnsi="Times New Roman"/>
          <w:sz w:val="22"/>
          <w:szCs w:val="22"/>
          <w:color w:val="auto"/>
        </w:rPr>
        <w:t>Subject to the terms of the Plan, Employees, Directors and Consultants are eligible to receive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Awards.</w:t>
      </w:r>
    </w:p>
    <w:p>
      <w:pPr>
        <w:spacing w:after="0" w:line="146" w:lineRule="exact"/>
        <w:rPr>
          <w:rFonts w:ascii="Times New Roman" w:cs="Times New Roman" w:eastAsia="Times New Roman" w:hAnsi="Times New Roman"/>
          <w:sz w:val="22"/>
          <w:szCs w:val="22"/>
          <w:b w:val="1"/>
          <w:bCs w:val="1"/>
          <w:color w:val="auto"/>
        </w:rPr>
      </w:pPr>
    </w:p>
    <w:p>
      <w:pPr>
        <w:ind w:left="640" w:hanging="632"/>
        <w:spacing w:after="0"/>
        <w:tabs>
          <w:tab w:leader="none" w:pos="640" w:val="left"/>
        </w:tabs>
        <w:numPr>
          <w:ilvl w:val="0"/>
          <w:numId w:val="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Specific Award Limitations.</w:t>
      </w:r>
    </w:p>
    <w:p>
      <w:pPr>
        <w:spacing w:after="0" w:line="179" w:lineRule="exact"/>
        <w:rPr>
          <w:sz w:val="20"/>
          <w:szCs w:val="20"/>
          <w:color w:val="auto"/>
        </w:rPr>
      </w:pPr>
    </w:p>
    <w:p>
      <w:pPr>
        <w:jc w:val="both"/>
        <w:ind w:firstLine="8"/>
        <w:spacing w:after="0" w:line="227" w:lineRule="auto"/>
        <w:tabs>
          <w:tab w:leader="none" w:pos="636" w:val="left"/>
        </w:tabs>
        <w:numPr>
          <w:ilvl w:val="0"/>
          <w:numId w:val="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Limitations on Incentive Stock Option Recipients. </w:t>
      </w:r>
      <w:r>
        <w:rPr>
          <w:rFonts w:ascii="Times New Roman" w:cs="Times New Roman" w:eastAsia="Times New Roman" w:hAnsi="Times New Roman"/>
          <w:sz w:val="22"/>
          <w:szCs w:val="22"/>
          <w:color w:val="auto"/>
        </w:rPr>
        <w:t>Incentive Stock Options may be granted only to Employees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or a “parent corporation” or “subsidiary corporation” thereof (as such terms are defined in Sections 424(e) and (f) of the Code).</w:t>
      </w:r>
    </w:p>
    <w:p>
      <w:pPr>
        <w:spacing w:after="0" w:line="146" w:lineRule="exact"/>
        <w:rPr>
          <w:rFonts w:ascii="Times New Roman" w:cs="Times New Roman" w:eastAsia="Times New Roman" w:hAnsi="Times New Roman"/>
          <w:sz w:val="22"/>
          <w:szCs w:val="22"/>
          <w:b w:val="1"/>
          <w:bCs w:val="1"/>
          <w:color w:val="auto"/>
        </w:rPr>
      </w:pPr>
    </w:p>
    <w:p>
      <w:pPr>
        <w:jc w:val="both"/>
        <w:ind w:firstLine="8"/>
        <w:spacing w:after="0" w:line="226" w:lineRule="auto"/>
        <w:tabs>
          <w:tab w:leader="none" w:pos="642" w:val="left"/>
        </w:tabs>
        <w:numPr>
          <w:ilvl w:val="0"/>
          <w:numId w:val="3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Incentive Stock Option $100,000 Limitation. </w:t>
      </w:r>
      <w:r>
        <w:rPr>
          <w:rFonts w:ascii="Times New Roman" w:cs="Times New Roman" w:eastAsia="Times New Roman" w:hAnsi="Times New Roman"/>
          <w:sz w:val="21"/>
          <w:szCs w:val="21"/>
          <w:color w:val="auto"/>
        </w:rPr>
        <w:t>To the extent that the aggregate Fair Market Value (determined at the time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grant) of Common Stock with respect to which Incentive Stock Options are exercisable for the first time by any Optionholder during any calendar year (under all plans of the Company and any Affiliates) exceeds $100,000 (or such other limit established in the Code) or otherwise does not comply with the rules governing Incentive Stock Options, the Options or portions thereof that exceed such limit (according to the order in which they were granted) or otherwise do not comply with such rules will be treated as Nonstatutory Stock Options, notwithstanding any contrary provision of the applicable Option Agreement(s).</w:t>
      </w:r>
    </w:p>
    <w:p>
      <w:pPr>
        <w:spacing w:after="0" w:line="147" w:lineRule="exact"/>
        <w:rPr>
          <w:rFonts w:ascii="Times New Roman" w:cs="Times New Roman" w:eastAsia="Times New Roman" w:hAnsi="Times New Roman"/>
          <w:sz w:val="21"/>
          <w:szCs w:val="21"/>
          <w:b w:val="1"/>
          <w:bCs w:val="1"/>
          <w:color w:val="auto"/>
        </w:rPr>
      </w:pPr>
    </w:p>
    <w:p>
      <w:pPr>
        <w:jc w:val="both"/>
        <w:ind w:firstLine="8"/>
        <w:spacing w:after="0" w:line="221" w:lineRule="auto"/>
        <w:tabs>
          <w:tab w:leader="none" w:pos="648" w:val="left"/>
        </w:tabs>
        <w:numPr>
          <w:ilvl w:val="0"/>
          <w:numId w:val="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Limitations on Incentive Stock Options Granted to Ten Percent Stockholders. </w:t>
      </w:r>
      <w:r>
        <w:rPr>
          <w:rFonts w:ascii="Times New Roman" w:cs="Times New Roman" w:eastAsia="Times New Roman" w:hAnsi="Times New Roman"/>
          <w:sz w:val="22"/>
          <w:szCs w:val="22"/>
          <w:color w:val="auto"/>
        </w:rPr>
        <w:t>A Ten Percent Stockholder may not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granted an Incentive Stock Option unless (i) the exercise price of such Option is at least 110% of the Fair Market Value on the date of grant of such Option and (ii) the Option is not exercisable after the expiration of five years from the date of grant of such Option.</w:t>
      </w:r>
    </w:p>
    <w:p>
      <w:pPr>
        <w:spacing w:after="0" w:line="148" w:lineRule="exact"/>
        <w:rPr>
          <w:rFonts w:ascii="Times New Roman" w:cs="Times New Roman" w:eastAsia="Times New Roman" w:hAnsi="Times New Roman"/>
          <w:sz w:val="22"/>
          <w:szCs w:val="22"/>
          <w:b w:val="1"/>
          <w:bCs w:val="1"/>
          <w:color w:val="auto"/>
        </w:rPr>
      </w:pPr>
    </w:p>
    <w:p>
      <w:pPr>
        <w:jc w:val="both"/>
        <w:ind w:firstLine="8"/>
        <w:spacing w:after="0" w:line="221" w:lineRule="auto"/>
        <w:tabs>
          <w:tab w:leader="none" w:pos="636" w:val="left"/>
        </w:tabs>
        <w:numPr>
          <w:ilvl w:val="0"/>
          <w:numId w:val="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Limitations on Nonstatutory Stock Options and SARs. </w:t>
      </w:r>
      <w:r>
        <w:rPr>
          <w:rFonts w:ascii="Times New Roman" w:cs="Times New Roman" w:eastAsia="Times New Roman" w:hAnsi="Times New Roman"/>
          <w:sz w:val="22"/>
          <w:szCs w:val="22"/>
          <w:color w:val="auto"/>
        </w:rPr>
        <w:t>Nonstatutory Stock Options and SARs may not be granted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Employees, Directors and Consultants who are providing Continuous Service only to any “parent” of the Company (as such term is defined in Rule 405) unless the stock underlying such Awards is treated as “service recipient stock” under Section 409A because the Awards are granted pursuant to a corporate transaction (such as a spin</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3"/>
          <w:szCs w:val="13"/>
          <w:color w:val="auto"/>
        </w:rPr>
        <w:t>197532205 v11</w:t>
      </w:r>
    </w:p>
    <w:p>
      <w:pPr>
        <w:sectPr>
          <w:pgSz w:w="11900" w:h="16838" w:orient="portrait"/>
          <w:cols w:equalWidth="0" w:num="1">
            <w:col w:w="11240"/>
          </w:cols>
          <w:pgMar w:left="320" w:top="1395"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22"/>
          <w:szCs w:val="22"/>
          <w:color w:val="auto"/>
        </w:rPr>
        <w:t>off transaction) or unless such Awards otherwise comply with the distribution requirements of Section 409A.</w:t>
      </w:r>
    </w:p>
    <w:p>
      <w:pPr>
        <w:spacing w:after="0" w:line="175" w:lineRule="exact"/>
        <w:rPr>
          <w:sz w:val="20"/>
          <w:szCs w:val="20"/>
          <w:color w:val="auto"/>
        </w:rPr>
      </w:pPr>
    </w:p>
    <w:p>
      <w:pPr>
        <w:ind w:right="20" w:firstLine="8"/>
        <w:spacing w:after="0" w:line="238" w:lineRule="auto"/>
        <w:tabs>
          <w:tab w:leader="none" w:pos="643" w:val="left"/>
        </w:tabs>
        <w:numPr>
          <w:ilvl w:val="0"/>
          <w:numId w:val="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Aggregate Incentive Stock Option Limit. </w:t>
      </w:r>
      <w:r>
        <w:rPr>
          <w:rFonts w:ascii="Times New Roman" w:cs="Times New Roman" w:eastAsia="Times New Roman" w:hAnsi="Times New Roman"/>
          <w:sz w:val="22"/>
          <w:szCs w:val="22"/>
          <w:color w:val="auto"/>
        </w:rPr>
        <w:t>The aggregate maximum number of shares of Common Stock that may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issued pursuant to the exercise of Incentive Stock Options is the number of shares specified in Section 2(b).</w:t>
      </w:r>
    </w:p>
    <w:p>
      <w:pPr>
        <w:spacing w:after="0" w:line="146" w:lineRule="exact"/>
        <w:rPr>
          <w:rFonts w:ascii="Times New Roman" w:cs="Times New Roman" w:eastAsia="Times New Roman" w:hAnsi="Times New Roman"/>
          <w:sz w:val="22"/>
          <w:szCs w:val="22"/>
          <w:b w:val="1"/>
          <w:bCs w:val="1"/>
          <w:color w:val="auto"/>
        </w:rPr>
      </w:pPr>
    </w:p>
    <w:p>
      <w:pPr>
        <w:jc w:val="both"/>
        <w:ind w:firstLine="8"/>
        <w:spacing w:after="0" w:line="232" w:lineRule="auto"/>
        <w:tabs>
          <w:tab w:leader="none" w:pos="642" w:val="left"/>
        </w:tabs>
        <w:numPr>
          <w:ilvl w:val="0"/>
          <w:numId w:val="3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Non-Employee Director Compensation Limit. </w:t>
      </w:r>
      <w:r>
        <w:rPr>
          <w:rFonts w:ascii="Times New Roman" w:cs="Times New Roman" w:eastAsia="Times New Roman" w:hAnsi="Times New Roman"/>
          <w:sz w:val="21"/>
          <w:szCs w:val="21"/>
          <w:color w:val="auto"/>
        </w:rPr>
        <w:t>The aggregate value of all compensation granted or paid, as applicable,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to any individual for service as a Non-Employee Director with respect to any calendar year, including Awards granted and cash fees paid by the Company to such Non-Employee Director, will not exceed $750,000 in total value, calculating the value of any equity awards based on the grant date fair value of such equity awards for financial reporting purposes.</w:t>
      </w:r>
    </w:p>
    <w:p>
      <w:pPr>
        <w:spacing w:after="0" w:line="146" w:lineRule="exact"/>
        <w:rPr>
          <w:sz w:val="20"/>
          <w:szCs w:val="20"/>
          <w:color w:val="auto"/>
        </w:rPr>
      </w:pPr>
    </w:p>
    <w:p>
      <w:pPr>
        <w:ind w:left="660" w:hanging="652"/>
        <w:spacing w:after="0"/>
        <w:tabs>
          <w:tab w:leader="none" w:pos="660" w:val="left"/>
        </w:tabs>
        <w:numPr>
          <w:ilvl w:val="0"/>
          <w:numId w:val="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Options and Stock Appreciation Rights.</w:t>
      </w:r>
    </w:p>
    <w:p>
      <w:pPr>
        <w:spacing w:after="0" w:line="183"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 xml:space="preserve">Each Option and SAR will have such terms and conditions as determined by the Board. Each Option will be designated in writing as an Incentive Stock Option or Nonstatutory Stock Option at the time of grant;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if an Option is not so designated, then such Option will be a Nonstatutory Stock Option, and the shares purchased upon exercise of each type of Option will be separately accounted for. Each SAR will be denominated in shares of Common Stock equivalents. The terms and conditions of separate Options and SARs need not be identical;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each Option Agreement and SAR Agreement will conform (through incorporation of provisions hereof by reference in the Award Agreement or otherwise) to the substance of each of the following provisions:</w:t>
      </w:r>
    </w:p>
    <w:p>
      <w:pPr>
        <w:spacing w:after="0" w:line="152" w:lineRule="exact"/>
        <w:rPr>
          <w:sz w:val="20"/>
          <w:szCs w:val="20"/>
          <w:color w:val="auto"/>
        </w:rPr>
      </w:pPr>
    </w:p>
    <w:p>
      <w:pPr>
        <w:ind w:firstLine="8"/>
        <w:spacing w:after="0" w:line="238" w:lineRule="auto"/>
        <w:tabs>
          <w:tab w:leader="none" w:pos="645" w:val="left"/>
        </w:tabs>
        <w:numPr>
          <w:ilvl w:val="0"/>
          <w:numId w:val="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Term. </w:t>
      </w:r>
      <w:r>
        <w:rPr>
          <w:rFonts w:ascii="Times New Roman" w:cs="Times New Roman" w:eastAsia="Times New Roman" w:hAnsi="Times New Roman"/>
          <w:sz w:val="22"/>
          <w:szCs w:val="22"/>
          <w:color w:val="auto"/>
        </w:rPr>
        <w:t>Subject to Section 3(b) regarding Ten Percent Stockholders, no Option or SAR will be exercisable after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expiration of ten years from the date of grant of such Award or such shorter period specified in the Award Agreement.</w:t>
      </w:r>
    </w:p>
    <w:p>
      <w:pPr>
        <w:spacing w:after="0" w:line="146" w:lineRule="exact"/>
        <w:rPr>
          <w:rFonts w:ascii="Times New Roman" w:cs="Times New Roman" w:eastAsia="Times New Roman" w:hAnsi="Times New Roman"/>
          <w:sz w:val="22"/>
          <w:szCs w:val="22"/>
          <w:b w:val="1"/>
          <w:bCs w:val="1"/>
          <w:color w:val="auto"/>
        </w:rPr>
      </w:pPr>
    </w:p>
    <w:p>
      <w:pPr>
        <w:jc w:val="both"/>
        <w:ind w:firstLine="8"/>
        <w:spacing w:after="0" w:line="216" w:lineRule="auto"/>
        <w:tabs>
          <w:tab w:leader="none" w:pos="648" w:val="left"/>
        </w:tabs>
        <w:numPr>
          <w:ilvl w:val="0"/>
          <w:numId w:val="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Exercise or Strike Price. </w:t>
      </w:r>
      <w:r>
        <w:rPr>
          <w:rFonts w:ascii="Times New Roman" w:cs="Times New Roman" w:eastAsia="Times New Roman" w:hAnsi="Times New Roman"/>
          <w:sz w:val="22"/>
          <w:szCs w:val="22"/>
          <w:color w:val="auto"/>
        </w:rPr>
        <w:t>Subject to Section 3(b) regarding Ten Percent Stockholders, the exercise or strike price of each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Option or SAR will not be less than 100% of the Fair Market Value on the date of grant of such Award. Notwithstanding the foregoing, an Option or SAR may be granted with an exercise or strike price lower than 100% of the Fair Market Value on the date of grant of such Award if such Award is granted pursuant to an assumption of or substitution for another option or stock appreciation right pursuant to a Corporate Transaction and in a manner consistent with the provisions of Sections 409A and, if applicable, 424(a) of the Code.</w:t>
      </w:r>
    </w:p>
    <w:p>
      <w:pPr>
        <w:spacing w:after="0" w:line="145" w:lineRule="exact"/>
        <w:rPr>
          <w:rFonts w:ascii="Times New Roman" w:cs="Times New Roman" w:eastAsia="Times New Roman" w:hAnsi="Times New Roman"/>
          <w:sz w:val="22"/>
          <w:szCs w:val="22"/>
          <w:b w:val="1"/>
          <w:bCs w:val="1"/>
          <w:color w:val="auto"/>
        </w:rPr>
      </w:pPr>
    </w:p>
    <w:p>
      <w:pPr>
        <w:jc w:val="both"/>
        <w:ind w:firstLine="8"/>
        <w:spacing w:after="0" w:line="214" w:lineRule="auto"/>
        <w:tabs>
          <w:tab w:leader="none" w:pos="643" w:val="left"/>
        </w:tabs>
        <w:numPr>
          <w:ilvl w:val="0"/>
          <w:numId w:val="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Exercise Procedure and Payment of Exercise Price for Options. </w:t>
      </w:r>
      <w:r>
        <w:rPr>
          <w:rFonts w:ascii="Times New Roman" w:cs="Times New Roman" w:eastAsia="Times New Roman" w:hAnsi="Times New Roman"/>
          <w:sz w:val="22"/>
          <w:szCs w:val="22"/>
          <w:color w:val="auto"/>
        </w:rPr>
        <w:t>In order to exercise an Option, the Participant must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provide notice of exercise to the Plan Administrator in accordance with the procedures specified in the Option Agreement or otherwise provided by the Company. The Board has the authority to grant Options that do not permit all of the following methods of payment (or otherwise restrict the ability to use certain methods) and to grant Options that require the consent of the Company to utilize a particular method of payment. The exercise price of an Option may be paid, to the extent permitted by Applicable Law and as determined by the Board, by one or more of the following methods of payment to the extent set forth in the Option Agreement:</w:t>
      </w:r>
    </w:p>
    <w:p>
      <w:pPr>
        <w:spacing w:after="0" w:line="153" w:lineRule="exact"/>
        <w:rPr>
          <w:sz w:val="20"/>
          <w:szCs w:val="20"/>
          <w:color w:val="auto"/>
        </w:rPr>
      </w:pPr>
    </w:p>
    <w:p>
      <w:pPr>
        <w:ind w:left="640" w:hanging="632"/>
        <w:spacing w:after="0"/>
        <w:tabs>
          <w:tab w:leader="none" w:pos="640" w:val="left"/>
        </w:tabs>
        <w:numPr>
          <w:ilvl w:val="0"/>
          <w:numId w:val="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by cash or check, bank draft or money order payable to the Company;</w:t>
      </w:r>
    </w:p>
    <w:p>
      <w:pPr>
        <w:spacing w:after="0" w:line="179" w:lineRule="exact"/>
        <w:rPr>
          <w:rFonts w:ascii="Times New Roman" w:cs="Times New Roman" w:eastAsia="Times New Roman" w:hAnsi="Times New Roman"/>
          <w:sz w:val="22"/>
          <w:szCs w:val="22"/>
          <w:b w:val="1"/>
          <w:bCs w:val="1"/>
          <w:color w:val="auto"/>
        </w:rPr>
      </w:pPr>
    </w:p>
    <w:p>
      <w:pPr>
        <w:ind w:firstLine="8"/>
        <w:spacing w:after="0" w:line="236" w:lineRule="auto"/>
        <w:tabs>
          <w:tab w:leader="none" w:pos="642" w:val="left"/>
        </w:tabs>
        <w:numPr>
          <w:ilvl w:val="0"/>
          <w:numId w:val="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pursuant to a “cashless exercise” program developed under Regulation T as promulgated by the Federal Reserve Board that, prior to the issuance of the Common Stock subject to the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3"/>
          <w:szCs w:val="13"/>
          <w:color w:val="auto"/>
        </w:rPr>
        <w:t>197532205 v11</w:t>
      </w:r>
    </w:p>
    <w:p>
      <w:pPr>
        <w:sectPr>
          <w:pgSz w:w="11900" w:h="16838" w:orient="portrait"/>
          <w:cols w:equalWidth="0" w:num="1">
            <w:col w:w="11240"/>
          </w:cols>
          <w:pgMar w:left="320" w:top="1395" w:right="339" w:bottom="1440" w:gutter="0" w:footer="0" w:header="0"/>
        </w:sectPr>
      </w:pPr>
    </w:p>
    <w:bookmarkStart w:id="76" w:name="page77"/>
    <w:bookmarkEnd w:id="76"/>
    <w:p>
      <w:pPr>
        <w:spacing w:after="0" w:line="236" w:lineRule="auto"/>
        <w:rPr>
          <w:sz w:val="20"/>
          <w:szCs w:val="20"/>
          <w:color w:val="auto"/>
        </w:rPr>
      </w:pPr>
      <w:r>
        <w:rPr>
          <w:rFonts w:ascii="Times New Roman" w:cs="Times New Roman" w:eastAsia="Times New Roman" w:hAnsi="Times New Roman"/>
          <w:sz w:val="22"/>
          <w:szCs w:val="22"/>
          <w:color w:val="auto"/>
        </w:rPr>
        <w:t>Option, results in either the receipt of cash (or check) by the Company or the receipt of irrevocable instructions to pay the exercise price to the Company from the sales proceeds;</w:t>
      </w:r>
    </w:p>
    <w:p>
      <w:pPr>
        <w:spacing w:after="0" w:line="150" w:lineRule="exact"/>
        <w:rPr>
          <w:sz w:val="20"/>
          <w:szCs w:val="20"/>
          <w:color w:val="auto"/>
        </w:rPr>
      </w:pPr>
    </w:p>
    <w:p>
      <w:pPr>
        <w:jc w:val="both"/>
        <w:ind w:firstLine="8"/>
        <w:spacing w:after="0" w:line="222" w:lineRule="auto"/>
        <w:tabs>
          <w:tab w:leader="none" w:pos="648" w:val="left"/>
        </w:tabs>
        <w:numPr>
          <w:ilvl w:val="0"/>
          <w:numId w:val="4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by delivery to the Company (either by actual delivery or attestation) of shares of Common Stock that are already owned by the Participant free and clear of any liens, claims, encumbrances or security interests, with a Fair Market Value on the date of exercise that does not exceed the exercise price, provided that (A) at the time of exercise the Common Stock is publicly traded,</w:t>
      </w:r>
    </w:p>
    <w:p>
      <w:pPr>
        <w:spacing w:after="0" w:line="1" w:lineRule="exact"/>
        <w:rPr>
          <w:rFonts w:ascii="Times New Roman" w:cs="Times New Roman" w:eastAsia="Times New Roman" w:hAnsi="Times New Roman"/>
          <w:sz w:val="21"/>
          <w:szCs w:val="21"/>
          <w:b w:val="1"/>
          <w:bCs w:val="1"/>
          <w:color w:val="auto"/>
        </w:rPr>
      </w:pPr>
    </w:p>
    <w:p>
      <w:pPr>
        <w:jc w:val="both"/>
        <w:spacing w:after="0" w:line="212"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2"/>
          <w:szCs w:val="22"/>
          <w:color w:val="auto"/>
        </w:rPr>
        <w:t>(B) any remaining balance of the exercise price not satisfied by such delivery is paid by the Participant in cash or other permitted form of payment, (C) such delivery would not violate any Applicable Law or agreement restricting the redemption of the Common Stock, (D) any certificated shares are endorsed or accompanied by an executed assignment separate from certificate, and (E) such shares have been held by the Participant for any minimum period necessary to avoid adverse accounting treatment as a result of such delivery;</w:t>
      </w:r>
    </w:p>
    <w:p>
      <w:pPr>
        <w:spacing w:after="0" w:line="154" w:lineRule="exact"/>
        <w:rPr>
          <w:rFonts w:ascii="Times New Roman" w:cs="Times New Roman" w:eastAsia="Times New Roman" w:hAnsi="Times New Roman"/>
          <w:sz w:val="21"/>
          <w:szCs w:val="21"/>
          <w:b w:val="1"/>
          <w:bCs w:val="1"/>
          <w:color w:val="auto"/>
        </w:rPr>
      </w:pPr>
    </w:p>
    <w:p>
      <w:pPr>
        <w:jc w:val="both"/>
        <w:ind w:right="20" w:firstLine="8"/>
        <w:spacing w:after="0" w:line="217" w:lineRule="auto"/>
        <w:tabs>
          <w:tab w:leader="none" w:pos="636" w:val="left"/>
        </w:tabs>
        <w:numPr>
          <w:ilvl w:val="0"/>
          <w:numId w:val="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Option is a Nonstatutory Stock Option, by a “net exercise” arrangement pursuant to which the Company will reduce the number of shares of Common Stock issuable upon exercise by the largest whole number of shares with a Fair Market Value on the date of exercise that does not exceed the exercise price, provided that (A) such shares used to pay the exercise price will not be exercisable thereafter and (B) any remaining balance of the exercise price not satisfied by such net exercise is paid by the Participant in cash or other permitted form of payment; or</w:t>
      </w:r>
    </w:p>
    <w:p>
      <w:pPr>
        <w:spacing w:after="0" w:line="152" w:lineRule="exact"/>
        <w:rPr>
          <w:rFonts w:ascii="Times New Roman" w:cs="Times New Roman" w:eastAsia="Times New Roman" w:hAnsi="Times New Roman"/>
          <w:sz w:val="22"/>
          <w:szCs w:val="22"/>
          <w:b w:val="1"/>
          <w:bCs w:val="1"/>
          <w:color w:val="auto"/>
        </w:rPr>
      </w:pPr>
    </w:p>
    <w:p>
      <w:pPr>
        <w:ind w:left="660" w:hanging="652"/>
        <w:spacing w:after="0"/>
        <w:tabs>
          <w:tab w:leader="none" w:pos="660" w:val="left"/>
        </w:tabs>
        <w:numPr>
          <w:ilvl w:val="0"/>
          <w:numId w:val="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in any other form of consideration that may be acceptable to the Board and permissible under Applicable Law.</w:t>
      </w:r>
    </w:p>
    <w:p>
      <w:pPr>
        <w:spacing w:after="0" w:line="175" w:lineRule="exact"/>
        <w:rPr>
          <w:sz w:val="20"/>
          <w:szCs w:val="20"/>
          <w:color w:val="auto"/>
        </w:rPr>
      </w:pPr>
    </w:p>
    <w:p>
      <w:pPr>
        <w:jc w:val="both"/>
        <w:ind w:firstLine="8"/>
        <w:spacing w:after="0" w:line="214" w:lineRule="auto"/>
        <w:tabs>
          <w:tab w:leader="none" w:pos="643" w:val="left"/>
        </w:tabs>
        <w:numPr>
          <w:ilvl w:val="0"/>
          <w:numId w:val="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Exercise Procedure and Payment of Appreciation Distribution for SARs. </w:t>
      </w:r>
      <w:r>
        <w:rPr>
          <w:rFonts w:ascii="Times New Roman" w:cs="Times New Roman" w:eastAsia="Times New Roman" w:hAnsi="Times New Roman"/>
          <w:sz w:val="22"/>
          <w:szCs w:val="22"/>
          <w:color w:val="auto"/>
        </w:rPr>
        <w:t>In order to exercise any SAR,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Participant must provide notice of exercise to the Plan Administrator in accordance with the SAR Agreement. The appreciation distribution payable to a Participant upon the exercise of a SAR will not be greater than an amount equal to the excess of (i) the aggregate Fair Market Value on the date of exercise of a number of shares of Common Stock equal to the number of Common Stock equivalents that are vested and being exercised under such SAR, over (ii) the strike price of such SAR. Such appreciation distribution may be paid to the Participant in the form of Common Stock or cash (or any combination of Common Stock and cash) or in any other form of payment, as determined by the Board and specified in the SAR Agreement.</w:t>
      </w:r>
    </w:p>
    <w:p>
      <w:pPr>
        <w:spacing w:after="0" w:line="148" w:lineRule="exact"/>
        <w:rPr>
          <w:rFonts w:ascii="Times New Roman" w:cs="Times New Roman" w:eastAsia="Times New Roman" w:hAnsi="Times New Roman"/>
          <w:sz w:val="22"/>
          <w:szCs w:val="22"/>
          <w:b w:val="1"/>
          <w:bCs w:val="1"/>
          <w:color w:val="auto"/>
        </w:rPr>
      </w:pPr>
    </w:p>
    <w:p>
      <w:pPr>
        <w:jc w:val="both"/>
        <w:ind w:firstLine="8"/>
        <w:spacing w:after="0" w:line="228" w:lineRule="auto"/>
        <w:tabs>
          <w:tab w:leader="none" w:pos="642" w:val="left"/>
        </w:tabs>
        <w:numPr>
          <w:ilvl w:val="0"/>
          <w:numId w:val="4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Transferability. </w:t>
      </w:r>
      <w:r>
        <w:rPr>
          <w:rFonts w:ascii="Times New Roman" w:cs="Times New Roman" w:eastAsia="Times New Roman" w:hAnsi="Times New Roman"/>
          <w:sz w:val="21"/>
          <w:szCs w:val="21"/>
          <w:color w:val="auto"/>
        </w:rPr>
        <w:t>Options and SARs may not be transferred to third party financial institutions for value. The Board may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impose such additional limitations on the transferability of an Option or SAR as it determines. In the absence of any such determination by the Board, the following restrictions on the transferability of Options and SARs will apply, provided that except as explicitly provided herein, neither an Option nor a SAR may be transferred for consideration and </w:t>
      </w:r>
      <w:r>
        <w:rPr>
          <w:rFonts w:ascii="Times New Roman" w:cs="Times New Roman" w:eastAsia="Times New Roman" w:hAnsi="Times New Roman"/>
          <w:sz w:val="21"/>
          <w:szCs w:val="21"/>
          <w:i w:val="1"/>
          <w:iCs w:val="1"/>
          <w:color w:val="auto"/>
        </w:rPr>
        <w:t>provided, further</w:t>
      </w:r>
      <w:r>
        <w:rPr>
          <w:rFonts w:ascii="Times New Roman" w:cs="Times New Roman" w:eastAsia="Times New Roman" w:hAnsi="Times New Roman"/>
          <w:sz w:val="21"/>
          <w:szCs w:val="21"/>
          <w:color w:val="auto"/>
        </w:rPr>
        <w:t>, that if an Option is an Incentive Stock Option, such Option may be deemed to be a Nonstatutory Stock Option as a result of such transfer:</w:t>
      </w:r>
    </w:p>
    <w:p>
      <w:pPr>
        <w:spacing w:after="0" w:line="149" w:lineRule="exact"/>
        <w:rPr>
          <w:sz w:val="20"/>
          <w:szCs w:val="20"/>
          <w:color w:val="auto"/>
        </w:rPr>
      </w:pPr>
    </w:p>
    <w:p>
      <w:pPr>
        <w:jc w:val="both"/>
        <w:ind w:firstLine="8"/>
        <w:spacing w:after="0" w:line="216" w:lineRule="auto"/>
        <w:tabs>
          <w:tab w:leader="none" w:pos="636" w:val="left"/>
        </w:tabs>
        <w:numPr>
          <w:ilvl w:val="0"/>
          <w:numId w:val="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Restrictions on Transfer. </w:t>
      </w:r>
      <w:r>
        <w:rPr>
          <w:rFonts w:ascii="Times New Roman" w:cs="Times New Roman" w:eastAsia="Times New Roman" w:hAnsi="Times New Roman"/>
          <w:sz w:val="22"/>
          <w:szCs w:val="22"/>
          <w:color w:val="auto"/>
        </w:rPr>
        <w:t>An Option or SAR will not be transferable, except by will or by the laws of descent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distribution, and will be exercisable during the lifetime of the Participant only by the Participant;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the Board may permit transfer of an Option or SAR in a manner that is not prohibited by applicable tax and securities laws upon the Participant’s request, including to a trust if the Participant is considered to be the sole beneficial owner of such trust (as determined under Section 671 of the Code and applicable state law) while such Option or SAR is held in such trust, provided that the Participant and the trustee enter into a transfer and other agreements required by the Company.</w:t>
      </w:r>
    </w:p>
    <w:p>
      <w:pPr>
        <w:spacing w:after="0" w:line="145" w:lineRule="exact"/>
        <w:rPr>
          <w:rFonts w:ascii="Times New Roman" w:cs="Times New Roman" w:eastAsia="Times New Roman" w:hAnsi="Times New Roman"/>
          <w:sz w:val="22"/>
          <w:szCs w:val="22"/>
          <w:b w:val="1"/>
          <w:bCs w:val="1"/>
          <w:color w:val="auto"/>
        </w:rPr>
      </w:pPr>
    </w:p>
    <w:p>
      <w:pPr>
        <w:ind w:right="20" w:firstLine="8"/>
        <w:spacing w:after="0" w:line="238" w:lineRule="auto"/>
        <w:tabs>
          <w:tab w:leader="none" w:pos="642" w:val="left"/>
        </w:tabs>
        <w:numPr>
          <w:ilvl w:val="0"/>
          <w:numId w:val="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Domestic Relations Orders. </w:t>
      </w:r>
      <w:r>
        <w:rPr>
          <w:rFonts w:ascii="Times New Roman" w:cs="Times New Roman" w:eastAsia="Times New Roman" w:hAnsi="Times New Roman"/>
          <w:sz w:val="22"/>
          <w:szCs w:val="22"/>
          <w:color w:val="auto"/>
        </w:rPr>
        <w:t>Notwithstanding the foregoing, subject to the execution of transfer documentation in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format acceptable to the Company and subject to the approval of the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3"/>
          <w:szCs w:val="13"/>
          <w:color w:val="auto"/>
        </w:rPr>
        <w:t>197532205 v11</w:t>
      </w:r>
    </w:p>
    <w:p>
      <w:pPr>
        <w:sectPr>
          <w:pgSz w:w="11900" w:h="16838" w:orient="portrait"/>
          <w:cols w:equalWidth="0" w:num="1">
            <w:col w:w="11240"/>
          </w:cols>
          <w:pgMar w:left="320" w:top="1395"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22"/>
          <w:szCs w:val="22"/>
          <w:color w:val="auto"/>
        </w:rPr>
        <w:t>Board or a duly authorized Officer, an Option or SAR may be transferred pursuant to a domestic relations order.</w:t>
      </w:r>
    </w:p>
    <w:p>
      <w:pPr>
        <w:spacing w:after="0" w:line="175" w:lineRule="exact"/>
        <w:rPr>
          <w:sz w:val="20"/>
          <w:szCs w:val="20"/>
          <w:color w:val="auto"/>
        </w:rPr>
      </w:pPr>
    </w:p>
    <w:p>
      <w:pPr>
        <w:jc w:val="both"/>
        <w:ind w:firstLine="8"/>
        <w:spacing w:after="0" w:line="221" w:lineRule="auto"/>
        <w:tabs>
          <w:tab w:leader="none" w:pos="642" w:val="left"/>
        </w:tabs>
        <w:numPr>
          <w:ilvl w:val="0"/>
          <w:numId w:val="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Vesting. </w:t>
      </w:r>
      <w:r>
        <w:rPr>
          <w:rFonts w:ascii="Times New Roman" w:cs="Times New Roman" w:eastAsia="Times New Roman" w:hAnsi="Times New Roman"/>
          <w:sz w:val="22"/>
          <w:szCs w:val="22"/>
          <w:color w:val="auto"/>
        </w:rPr>
        <w:t>The Board may impose such restrictions on or conditions to the vesting and/or exercisability of an Option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SAR as determined by the Board and which may vary. Except as otherwise provided in the Award Agreement or other written agreement between a Participant and the Company or an Affiliate, vesting of Options and SARs will cease upon termination of the Participant’s Continuous Service.</w:t>
      </w:r>
    </w:p>
    <w:p>
      <w:pPr>
        <w:spacing w:after="0" w:line="148" w:lineRule="exact"/>
        <w:rPr>
          <w:rFonts w:ascii="Times New Roman" w:cs="Times New Roman" w:eastAsia="Times New Roman" w:hAnsi="Times New Roman"/>
          <w:sz w:val="22"/>
          <w:szCs w:val="22"/>
          <w:b w:val="1"/>
          <w:bCs w:val="1"/>
          <w:color w:val="auto"/>
        </w:rPr>
      </w:pPr>
    </w:p>
    <w:p>
      <w:pPr>
        <w:jc w:val="both"/>
        <w:ind w:firstLine="8"/>
        <w:spacing w:after="0" w:line="214" w:lineRule="auto"/>
        <w:tabs>
          <w:tab w:leader="none" w:pos="636" w:val="left"/>
        </w:tabs>
        <w:numPr>
          <w:ilvl w:val="0"/>
          <w:numId w:val="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Termination of Continuous Service for Cause. </w:t>
      </w:r>
      <w:r>
        <w:rPr>
          <w:rFonts w:ascii="Times New Roman" w:cs="Times New Roman" w:eastAsia="Times New Roman" w:hAnsi="Times New Roman"/>
          <w:sz w:val="22"/>
          <w:szCs w:val="22"/>
          <w:color w:val="auto"/>
        </w:rPr>
        <w:t>Except as explicitly otherwise provided in the Award Agreement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 written agreement between a Participant and the Company or an Affiliate, if a Participant’s Continuous Service is terminated for Cause, the Participant’s Options and SARs will terminate and be forfeited immediately upon such termination of Continuous Service, and the Participant will be prohibited from exercising any portion (including any vested portion) of such Awards on and after the date of such termination of Continuous Service and the Participant will have no further right, title or interest in such forfeited Award, the shares of Common Stock subject to the forfeited Award, or any consideration in respect of the forfeited Award.</w:t>
      </w:r>
    </w:p>
    <w:p>
      <w:pPr>
        <w:spacing w:after="0" w:line="148" w:lineRule="exact"/>
        <w:rPr>
          <w:rFonts w:ascii="Times New Roman" w:cs="Times New Roman" w:eastAsia="Times New Roman" w:hAnsi="Times New Roman"/>
          <w:sz w:val="22"/>
          <w:szCs w:val="22"/>
          <w:b w:val="1"/>
          <w:bCs w:val="1"/>
          <w:color w:val="auto"/>
        </w:rPr>
      </w:pPr>
    </w:p>
    <w:p>
      <w:pPr>
        <w:jc w:val="both"/>
        <w:ind w:firstLine="8"/>
        <w:spacing w:after="0" w:line="216" w:lineRule="auto"/>
        <w:tabs>
          <w:tab w:leader="none" w:pos="648" w:val="left"/>
        </w:tabs>
        <w:numPr>
          <w:ilvl w:val="0"/>
          <w:numId w:val="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Post-Termination Exercise Period Following Termination of Continuous Service For Reasons Other than Cause. </w:t>
      </w:r>
      <w:r>
        <w:rPr>
          <w:rFonts w:ascii="Times New Roman" w:cs="Times New Roman" w:eastAsia="Times New Roman" w:hAnsi="Times New Roman"/>
          <w:sz w:val="22"/>
          <w:szCs w:val="22"/>
          <w:color w:val="auto"/>
        </w:rPr>
        <w:t xml:space="preserve">Subject to Section 4(i), if a Participant’s Continuous Service terminates for any reason other than for Cause, the Participant may exercise his or her Option or SAR to the extent vested, but only within the following period of time or, if applicable, such other period of time provided in the Award Agreement or other written agreement between a Participant and the Company or an Affiliate;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in no event may such Award be exercised after the expiration of its maximum term (as set forth in Section 4(a)):</w:t>
      </w:r>
    </w:p>
    <w:p>
      <w:pPr>
        <w:spacing w:after="0" w:line="150" w:lineRule="exact"/>
        <w:rPr>
          <w:sz w:val="20"/>
          <w:szCs w:val="20"/>
          <w:color w:val="auto"/>
        </w:rPr>
      </w:pPr>
    </w:p>
    <w:p>
      <w:pPr>
        <w:ind w:right="20" w:firstLine="8"/>
        <w:spacing w:after="0" w:line="236" w:lineRule="auto"/>
        <w:tabs>
          <w:tab w:leader="none" w:pos="648" w:val="left"/>
        </w:tabs>
        <w:numPr>
          <w:ilvl w:val="0"/>
          <w:numId w:val="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three months following the date of such termination if such termination is a termination without Cause (other than any termination due to the Participant’s Disability or death);</w:t>
      </w:r>
    </w:p>
    <w:p>
      <w:pPr>
        <w:spacing w:after="0" w:line="150" w:lineRule="exact"/>
        <w:rPr>
          <w:rFonts w:ascii="Times New Roman" w:cs="Times New Roman" w:eastAsia="Times New Roman" w:hAnsi="Times New Roman"/>
          <w:sz w:val="22"/>
          <w:szCs w:val="22"/>
          <w:b w:val="1"/>
          <w:bCs w:val="1"/>
          <w:color w:val="auto"/>
        </w:rPr>
      </w:pPr>
    </w:p>
    <w:p>
      <w:pPr>
        <w:ind w:left="640" w:hanging="632"/>
        <w:spacing w:after="0"/>
        <w:tabs>
          <w:tab w:leader="none" w:pos="640" w:val="left"/>
        </w:tabs>
        <w:numPr>
          <w:ilvl w:val="0"/>
          <w:numId w:val="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12 months following the date of such termination if such termination is due to the Participant’s Disability;</w:t>
      </w:r>
    </w:p>
    <w:p>
      <w:pPr>
        <w:spacing w:after="0" w:line="179" w:lineRule="exact"/>
        <w:rPr>
          <w:rFonts w:ascii="Times New Roman" w:cs="Times New Roman" w:eastAsia="Times New Roman" w:hAnsi="Times New Roman"/>
          <w:sz w:val="22"/>
          <w:szCs w:val="22"/>
          <w:b w:val="1"/>
          <w:bCs w:val="1"/>
          <w:color w:val="auto"/>
        </w:rPr>
      </w:pPr>
    </w:p>
    <w:p>
      <w:pPr>
        <w:ind w:left="660" w:hanging="652"/>
        <w:spacing w:after="0"/>
        <w:tabs>
          <w:tab w:leader="none" w:pos="660" w:val="left"/>
        </w:tabs>
        <w:numPr>
          <w:ilvl w:val="0"/>
          <w:numId w:val="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18 months following the date of such termination if such termination is due to the Participant’s death; or</w:t>
      </w:r>
    </w:p>
    <w:p>
      <w:pPr>
        <w:spacing w:after="0" w:line="179" w:lineRule="exact"/>
        <w:rPr>
          <w:rFonts w:ascii="Times New Roman" w:cs="Times New Roman" w:eastAsia="Times New Roman" w:hAnsi="Times New Roman"/>
          <w:sz w:val="22"/>
          <w:szCs w:val="22"/>
          <w:b w:val="1"/>
          <w:bCs w:val="1"/>
          <w:color w:val="auto"/>
        </w:rPr>
      </w:pPr>
    </w:p>
    <w:p>
      <w:pPr>
        <w:ind w:firstLine="8"/>
        <w:spacing w:after="0" w:line="236" w:lineRule="auto"/>
        <w:tabs>
          <w:tab w:leader="none" w:pos="636" w:val="left"/>
        </w:tabs>
        <w:numPr>
          <w:ilvl w:val="0"/>
          <w:numId w:val="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18 months following the date of the Participant’s death if such death occurs following the date of such termination but during the period such Award is otherwise exercisable (as provided in (i) or (ii) above).</w:t>
      </w:r>
    </w:p>
    <w:p>
      <w:pPr>
        <w:spacing w:after="0" w:line="150"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Following the date of such termination, to the extent the Participant does not exercise such Award within the applicable Post-Termination Exercise Period (or, if earlier, prior to the expiration of the maximum term of such Award), such unexercised portion of the Award will terminate, and the Participant will have no further right, title or interest in terminated Award, the shares of Common Stock subject to the terminated Award, or any consideration in respect of the terminated Award.</w:t>
      </w:r>
    </w:p>
    <w:p>
      <w:pPr>
        <w:spacing w:after="0" w:line="148" w:lineRule="exact"/>
        <w:rPr>
          <w:sz w:val="20"/>
          <w:szCs w:val="20"/>
          <w:color w:val="auto"/>
        </w:rPr>
      </w:pPr>
    </w:p>
    <w:p>
      <w:pPr>
        <w:jc w:val="both"/>
        <w:ind w:firstLine="8"/>
        <w:spacing w:after="0" w:line="216" w:lineRule="auto"/>
        <w:tabs>
          <w:tab w:leader="none" w:pos="645" w:val="left"/>
        </w:tabs>
        <w:numPr>
          <w:ilvl w:val="0"/>
          <w:numId w:val="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Restrictions on Exercise; Extension of Exercisability. </w:t>
      </w:r>
      <w:r>
        <w:rPr>
          <w:rFonts w:ascii="Times New Roman" w:cs="Times New Roman" w:eastAsia="Times New Roman" w:hAnsi="Times New Roman"/>
          <w:sz w:val="22"/>
          <w:szCs w:val="22"/>
          <w:color w:val="auto"/>
        </w:rPr>
        <w:t>A Participant may not exercise an Option or SAR at any time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issuance of shares of Common Stock upon such exercise would violate Applicable Law. Except as otherwise provided in the Award Agreement or other written agreement between a Participant and the Company or an Affiliate, if a Participant’s Continuous Service terminates for any reason other than for Cause and, at any time during the last thirty days of the applicable Post-Termination Exercise Period: (i) the exercise of the Participant’s Option or SAR would be prohibited solely because the issuance of shares of</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3"/>
          <w:szCs w:val="13"/>
          <w:color w:val="auto"/>
        </w:rPr>
        <w:t>197532205 v11</w:t>
      </w:r>
    </w:p>
    <w:p>
      <w:pPr>
        <w:sectPr>
          <w:pgSz w:w="11900" w:h="16838" w:orient="portrait"/>
          <w:cols w:equalWidth="0" w:num="1">
            <w:col w:w="11240"/>
          </w:cols>
          <w:pgMar w:left="320" w:top="1395" w:right="339" w:bottom="1440" w:gutter="0" w:footer="0" w:header="0"/>
        </w:sectPr>
      </w:pPr>
    </w:p>
    <w:bookmarkStart w:id="78" w:name="page79"/>
    <w:bookmarkEnd w:id="78"/>
    <w:p>
      <w:pPr>
        <w:jc w:val="both"/>
        <w:spacing w:after="0" w:line="213" w:lineRule="auto"/>
        <w:rPr>
          <w:sz w:val="20"/>
          <w:szCs w:val="20"/>
          <w:color w:val="auto"/>
        </w:rPr>
      </w:pPr>
      <w:r>
        <w:rPr>
          <w:rFonts w:ascii="Times New Roman" w:cs="Times New Roman" w:eastAsia="Times New Roman" w:hAnsi="Times New Roman"/>
          <w:sz w:val="22"/>
          <w:szCs w:val="22"/>
          <w:color w:val="auto"/>
        </w:rPr>
        <w:t xml:space="preserve">Common Stock upon such exercise would violate Applicable Law, or (ii) the immediate sale of any shares of Common Stock issued upon such exercise would violate the Company’s Trading Policy, then the applicable Post-Termination Exercise Period will be extended to the last day of the calendar month that commences following the date the Award would otherwise expire, with an additional extension of the exercise period to the last day of the next calendar month to apply if any of the foregoing restrictions apply at any time during such extended exercise period, generally without limitation as to the maximum permitted number of extensions;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in no event may such Award be exercised after the expiration of its maximum term (as set forth in Section 4(a)).</w:t>
      </w:r>
    </w:p>
    <w:p>
      <w:pPr>
        <w:spacing w:after="0" w:line="152" w:lineRule="exact"/>
        <w:rPr>
          <w:sz w:val="20"/>
          <w:szCs w:val="20"/>
          <w:color w:val="auto"/>
        </w:rPr>
      </w:pPr>
    </w:p>
    <w:p>
      <w:pPr>
        <w:jc w:val="both"/>
        <w:ind w:firstLine="8"/>
        <w:spacing w:after="0" w:line="211" w:lineRule="auto"/>
        <w:tabs>
          <w:tab w:leader="none" w:pos="642" w:val="left"/>
        </w:tabs>
        <w:numPr>
          <w:ilvl w:val="0"/>
          <w:numId w:val="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Non-Exempt Employees</w:t>
      </w:r>
      <w:r>
        <w:rPr>
          <w:rFonts w:ascii="Times New Roman" w:cs="Times New Roman" w:eastAsia="Times New Roman" w:hAnsi="Times New Roman"/>
          <w:sz w:val="22"/>
          <w:szCs w:val="22"/>
          <w:color w:val="auto"/>
        </w:rPr>
        <w:t>. No Option or SAR, whether or not vested, granted to an Employee who is a non-exempt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employee for purposes of the Fair Labor Standards Act of 1938, as amended, will be first exercisable for any shares of Common Stock until at least six months following the date of grant of such Award. Notwithstanding the foregoing, in accordance with the provisions of the Worker Economic Opportunity Act, any vested portion of such Award may be exercised earlier than six months following the date of grant of such Award in the event of (i) such Participant’s death or Disability, (ii) a Corporate Transaction in which such Award is not assumed, continued or substituted, (iii) a Change in Control, or (iv) such Participant’s retirement (as such term may be defined in the Award Agreement or another applicable agreement or, in the absence of any such definition, in accordance with the Company’s then current employment policies and guidelines). This Section 4(j) is intended to operate so that any income derived by a non-exempt employee in connection with the exercise or vesting of an Option or SAR will be exempt from his or her regular rate of pay.</w:t>
      </w:r>
    </w:p>
    <w:p>
      <w:pPr>
        <w:spacing w:after="0" w:line="151" w:lineRule="exact"/>
        <w:rPr>
          <w:rFonts w:ascii="Times New Roman" w:cs="Times New Roman" w:eastAsia="Times New Roman" w:hAnsi="Times New Roman"/>
          <w:sz w:val="22"/>
          <w:szCs w:val="22"/>
          <w:b w:val="1"/>
          <w:bCs w:val="1"/>
          <w:color w:val="auto"/>
        </w:rPr>
      </w:pPr>
    </w:p>
    <w:p>
      <w:pPr>
        <w:ind w:right="20" w:firstLine="8"/>
        <w:spacing w:after="0" w:line="238" w:lineRule="auto"/>
        <w:tabs>
          <w:tab w:leader="none" w:pos="645" w:val="left"/>
        </w:tabs>
        <w:numPr>
          <w:ilvl w:val="0"/>
          <w:numId w:val="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Whole Shares</w:t>
      </w:r>
      <w:r>
        <w:rPr>
          <w:rFonts w:ascii="Times New Roman" w:cs="Times New Roman" w:eastAsia="Times New Roman" w:hAnsi="Times New Roman"/>
          <w:sz w:val="22"/>
          <w:szCs w:val="22"/>
          <w:color w:val="auto"/>
        </w:rPr>
        <w:t>. Options and SARs may be exercised only with respect to whole shares of Common Stock or their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equivalents.</w:t>
      </w:r>
    </w:p>
    <w:p>
      <w:pPr>
        <w:spacing w:after="0" w:line="146" w:lineRule="exact"/>
        <w:rPr>
          <w:sz w:val="20"/>
          <w:szCs w:val="20"/>
          <w:color w:val="auto"/>
        </w:rPr>
      </w:pPr>
    </w:p>
    <w:p>
      <w:pPr>
        <w:ind w:left="660" w:hanging="652"/>
        <w:spacing w:after="0"/>
        <w:tabs>
          <w:tab w:leader="none" w:pos="660" w:val="left"/>
        </w:tabs>
        <w:numPr>
          <w:ilvl w:val="0"/>
          <w:numId w:val="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Awards Other Than Options and Stock Appreciation Rights.</w:t>
      </w:r>
    </w:p>
    <w:p>
      <w:pPr>
        <w:spacing w:after="0" w:line="179" w:lineRule="exact"/>
        <w:rPr>
          <w:sz w:val="20"/>
          <w:szCs w:val="20"/>
          <w:color w:val="auto"/>
        </w:rPr>
      </w:pPr>
    </w:p>
    <w:p>
      <w:pPr>
        <w:jc w:val="both"/>
        <w:ind w:firstLine="8"/>
        <w:spacing w:after="0" w:line="221" w:lineRule="auto"/>
        <w:tabs>
          <w:tab w:leader="none" w:pos="642" w:val="left"/>
        </w:tabs>
        <w:numPr>
          <w:ilvl w:val="0"/>
          <w:numId w:val="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Restricted Stock Awards and RSU Awards. </w:t>
      </w:r>
      <w:r>
        <w:rPr>
          <w:rFonts w:ascii="Times New Roman" w:cs="Times New Roman" w:eastAsia="Times New Roman" w:hAnsi="Times New Roman"/>
          <w:sz w:val="22"/>
          <w:szCs w:val="22"/>
          <w:color w:val="auto"/>
        </w:rPr>
        <w:t>Each Restricted Stock Award and RSU Award will have such terms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conditions as determined by the Board which need not be identical;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each Restricted Stock Award Agreement and RSU Award Agreement will conform (through incorporation of the provisions hereof by reference in the Award Agreement or otherwise) to the substance of each of the following provisions:</w:t>
      </w:r>
    </w:p>
    <w:p>
      <w:pPr>
        <w:spacing w:after="0" w:line="148" w:lineRule="exact"/>
        <w:rPr>
          <w:sz w:val="20"/>
          <w:szCs w:val="20"/>
          <w:color w:val="auto"/>
        </w:rPr>
      </w:pPr>
    </w:p>
    <w:p>
      <w:pPr>
        <w:ind w:left="640" w:hanging="632"/>
        <w:spacing w:after="0"/>
        <w:tabs>
          <w:tab w:leader="none" w:pos="640" w:val="left"/>
        </w:tabs>
        <w:numPr>
          <w:ilvl w:val="0"/>
          <w:numId w:val="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Form of Award.</w:t>
      </w:r>
    </w:p>
    <w:p>
      <w:pPr>
        <w:spacing w:after="0" w:line="183" w:lineRule="exact"/>
        <w:rPr>
          <w:sz w:val="20"/>
          <w:szCs w:val="20"/>
          <w:color w:val="auto"/>
        </w:rPr>
      </w:pPr>
    </w:p>
    <w:p>
      <w:pPr>
        <w:jc w:val="both"/>
        <w:ind w:firstLine="8"/>
        <w:spacing w:after="0" w:line="217" w:lineRule="auto"/>
        <w:tabs>
          <w:tab w:leader="none" w:pos="643" w:val="left"/>
        </w:tabs>
        <w:numPr>
          <w:ilvl w:val="0"/>
          <w:numId w:val="5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RSAs: To the extent consistent with the Company’s Bylaws, at the Board’s election, shares of Common Stock subject to a Restricted Stock Award may be (i) held in book entry form subject to the Company’s instructions until such shares become vested or any other restrictions lapse, or (ii) evidenced by a certificate, which certificate will be held in such form and manner as determined by the Board. Unless otherwise determined by the Board, a Participant will have voting and other rights as a stockholder of the Company with respect to any shares subject to a Restricted Stock Award.</w:t>
      </w:r>
    </w:p>
    <w:p>
      <w:pPr>
        <w:spacing w:after="0" w:line="152" w:lineRule="exact"/>
        <w:rPr>
          <w:rFonts w:ascii="Times New Roman" w:cs="Times New Roman" w:eastAsia="Times New Roman" w:hAnsi="Times New Roman"/>
          <w:sz w:val="22"/>
          <w:szCs w:val="22"/>
          <w:b w:val="1"/>
          <w:bCs w:val="1"/>
          <w:color w:val="auto"/>
        </w:rPr>
      </w:pPr>
    </w:p>
    <w:p>
      <w:pPr>
        <w:jc w:val="both"/>
        <w:ind w:firstLine="8"/>
        <w:spacing w:after="0" w:line="225" w:lineRule="auto"/>
        <w:tabs>
          <w:tab w:leader="none" w:pos="643" w:val="left"/>
        </w:tabs>
        <w:numPr>
          <w:ilvl w:val="0"/>
          <w:numId w:val="5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RSUs: A RSU Award represents a Participant’s right to be issued on a future date the number of shares of Common Stock that is equal to the number of restricted stock units subject to the RSU Award. As a holder of a RSU Award, a Participant is an unsecured creditor of the Company with respect to the Company's unfunded obligation, if any, to issue shares of Common Stock in settlement of such Award and nothing contained in the Plan or any RSU Agreement, and no action taken pursuant to its provisions, will create or be construed to create a trust of any kind or a fiduciary relationship between a Participant and the Company or an Affiliate or any other person. A Participant will not have voting or any other rights as a stockholder of the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3"/>
          <w:szCs w:val="13"/>
          <w:color w:val="auto"/>
        </w:rPr>
        <w:t>197532205 v11</w:t>
      </w:r>
    </w:p>
    <w:p>
      <w:pPr>
        <w:sectPr>
          <w:pgSz w:w="11900" w:h="16838" w:orient="portrait"/>
          <w:cols w:equalWidth="0" w:num="1">
            <w:col w:w="11240"/>
          </w:cols>
          <w:pgMar w:left="320" w:top="1395"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22"/>
          <w:szCs w:val="22"/>
          <w:color w:val="auto"/>
        </w:rPr>
        <w:t>Company with respect to any RSU Award (unless and until shares are actually issued in settlement of a vested RSU Award).</w:t>
      </w:r>
    </w:p>
    <w:p>
      <w:pPr>
        <w:spacing w:after="0" w:line="175" w:lineRule="exact"/>
        <w:rPr>
          <w:sz w:val="20"/>
          <w:szCs w:val="20"/>
          <w:color w:val="auto"/>
        </w:rPr>
      </w:pPr>
    </w:p>
    <w:p>
      <w:pPr>
        <w:ind w:left="640" w:hanging="632"/>
        <w:spacing w:after="0"/>
        <w:tabs>
          <w:tab w:leader="none" w:pos="640" w:val="left"/>
        </w:tabs>
        <w:numPr>
          <w:ilvl w:val="0"/>
          <w:numId w:val="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Consideration.</w:t>
      </w:r>
    </w:p>
    <w:p>
      <w:pPr>
        <w:spacing w:after="0" w:line="183" w:lineRule="exact"/>
        <w:rPr>
          <w:sz w:val="20"/>
          <w:szCs w:val="20"/>
          <w:color w:val="auto"/>
        </w:rPr>
      </w:pPr>
    </w:p>
    <w:p>
      <w:pPr>
        <w:jc w:val="both"/>
        <w:ind w:firstLine="8"/>
        <w:spacing w:after="0" w:line="225" w:lineRule="auto"/>
        <w:tabs>
          <w:tab w:leader="none" w:pos="643" w:val="left"/>
        </w:tabs>
        <w:numPr>
          <w:ilvl w:val="0"/>
          <w:numId w:val="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RSA: A Restricted Stock Award may be granted in consideration for (A) cash or check, bank draft or money order payable to the Company, (B) past services to the Company or an Affiliate, or (C) any other form of consideration (including future services) as the Board may determine and permissible under Applicable Law.</w:t>
      </w:r>
    </w:p>
    <w:p>
      <w:pPr>
        <w:spacing w:after="0" w:line="152" w:lineRule="exact"/>
        <w:rPr>
          <w:rFonts w:ascii="Times New Roman" w:cs="Times New Roman" w:eastAsia="Times New Roman" w:hAnsi="Times New Roman"/>
          <w:sz w:val="22"/>
          <w:szCs w:val="22"/>
          <w:b w:val="1"/>
          <w:bCs w:val="1"/>
          <w:color w:val="auto"/>
        </w:rPr>
      </w:pPr>
    </w:p>
    <w:p>
      <w:pPr>
        <w:jc w:val="both"/>
        <w:ind w:firstLine="8"/>
        <w:spacing w:after="0" w:line="213" w:lineRule="auto"/>
        <w:tabs>
          <w:tab w:leader="none" w:pos="643" w:val="left"/>
        </w:tabs>
        <w:numPr>
          <w:ilvl w:val="0"/>
          <w:numId w:val="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RSU: Unless otherwise determined by the Board at the time of grant, a RSU Award will be granted in consideration for the Participant’s services to the Company or an Affiliate, such that the Participant will not be required to make any payment to the Company (other than such services) with respect to the grant or vesting of the RSU Award, or the issuance of any shares of Common Stock pursuant to the RSU Award. If, at the time of grant, the Board determines that any consideration must be paid by the Participant (in a form other than the Participant’s services to the Company or an Affiliate) upon the issuance of any shares of Common Stock in settlement of the RSU Award, such consideration may be paid in any form of consideration as the Board may determine and permissible under Applicable Law.</w:t>
      </w:r>
    </w:p>
    <w:p>
      <w:pPr>
        <w:spacing w:after="0" w:line="152" w:lineRule="exact"/>
        <w:rPr>
          <w:sz w:val="20"/>
          <w:szCs w:val="20"/>
          <w:color w:val="auto"/>
        </w:rPr>
      </w:pPr>
    </w:p>
    <w:p>
      <w:pPr>
        <w:jc w:val="both"/>
        <w:ind w:firstLine="8"/>
        <w:spacing w:after="0" w:line="221" w:lineRule="auto"/>
        <w:tabs>
          <w:tab w:leader="none" w:pos="648" w:val="left"/>
        </w:tabs>
        <w:numPr>
          <w:ilvl w:val="0"/>
          <w:numId w:val="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Vesting. </w:t>
      </w:r>
      <w:r>
        <w:rPr>
          <w:rFonts w:ascii="Times New Roman" w:cs="Times New Roman" w:eastAsia="Times New Roman" w:hAnsi="Times New Roman"/>
          <w:sz w:val="22"/>
          <w:szCs w:val="22"/>
          <w:color w:val="auto"/>
        </w:rPr>
        <w:t>The Board may impose such restrictions on or conditions to the vesting of a Restricted Stock Award or RSU</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Award as determined by the Board and which may vary. Except as otherwise provided in the Award Agreement or other written agreement between a Participant and the Company or an Affiliate, vesting of Restricted Stock Awards and RSU Awards will cease upon termination of the Participant’s Continuous Service.</w:t>
      </w:r>
    </w:p>
    <w:p>
      <w:pPr>
        <w:spacing w:after="0" w:line="148" w:lineRule="exact"/>
        <w:rPr>
          <w:rFonts w:ascii="Times New Roman" w:cs="Times New Roman" w:eastAsia="Times New Roman" w:hAnsi="Times New Roman"/>
          <w:sz w:val="22"/>
          <w:szCs w:val="22"/>
          <w:b w:val="1"/>
          <w:bCs w:val="1"/>
          <w:color w:val="auto"/>
        </w:rPr>
      </w:pPr>
    </w:p>
    <w:p>
      <w:pPr>
        <w:jc w:val="both"/>
        <w:ind w:firstLine="8"/>
        <w:spacing w:after="0" w:line="214" w:lineRule="auto"/>
        <w:tabs>
          <w:tab w:leader="none" w:pos="636" w:val="left"/>
        </w:tabs>
        <w:numPr>
          <w:ilvl w:val="0"/>
          <w:numId w:val="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Termination of Continuous Service. </w:t>
      </w:r>
      <w:r>
        <w:rPr>
          <w:rFonts w:ascii="Times New Roman" w:cs="Times New Roman" w:eastAsia="Times New Roman" w:hAnsi="Times New Roman"/>
          <w:sz w:val="22"/>
          <w:szCs w:val="22"/>
          <w:color w:val="auto"/>
        </w:rPr>
        <w:t>Except as otherwise provided in the Award Agreement or other written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between a Participant and the Company or an Affiliate, if a Participant’s Continuous Service terminates for any reason, (i) the Company may receive through a forfeiture condition or a repurchase right any or all of the shares of Common Stock held by the Participant under his or her Restricted Stock Award that have not vested as of the date of such termination as set forth in the Restricted Stock Award Agreement and (ii) any portion of his or her RSU Award that has not vested will be forfeited upon such termination and the Participant will have no further right, title or interest in the RSU Award, the shares of Common Stock issuable pursuant to the RSU Award, or any consideration in respect of the RSU Award.</w:t>
      </w:r>
    </w:p>
    <w:p>
      <w:pPr>
        <w:spacing w:after="0" w:line="148" w:lineRule="exact"/>
        <w:rPr>
          <w:rFonts w:ascii="Times New Roman" w:cs="Times New Roman" w:eastAsia="Times New Roman" w:hAnsi="Times New Roman"/>
          <w:sz w:val="22"/>
          <w:szCs w:val="22"/>
          <w:b w:val="1"/>
          <w:bCs w:val="1"/>
          <w:color w:val="auto"/>
        </w:rPr>
      </w:pPr>
    </w:p>
    <w:p>
      <w:pPr>
        <w:jc w:val="both"/>
        <w:ind w:firstLine="8"/>
        <w:spacing w:after="0" w:line="227" w:lineRule="auto"/>
        <w:tabs>
          <w:tab w:leader="none" w:pos="643" w:val="left"/>
        </w:tabs>
        <w:numPr>
          <w:ilvl w:val="0"/>
          <w:numId w:val="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Dividends and Dividend Equivalents. </w:t>
      </w:r>
      <w:r>
        <w:rPr>
          <w:rFonts w:ascii="Times New Roman" w:cs="Times New Roman" w:eastAsia="Times New Roman" w:hAnsi="Times New Roman"/>
          <w:sz w:val="22"/>
          <w:szCs w:val="22"/>
          <w:color w:val="auto"/>
        </w:rPr>
        <w:t>Dividends or dividend equivalents may be paid or credited, as applicable,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respect to any shares of Common Stock subject to a Restricted Stock Award or RSU Award, as determined by the Board and specified in the Award Agreement).</w:t>
      </w:r>
    </w:p>
    <w:p>
      <w:pPr>
        <w:spacing w:after="0" w:line="146" w:lineRule="exact"/>
        <w:rPr>
          <w:rFonts w:ascii="Times New Roman" w:cs="Times New Roman" w:eastAsia="Times New Roman" w:hAnsi="Times New Roman"/>
          <w:sz w:val="22"/>
          <w:szCs w:val="22"/>
          <w:b w:val="1"/>
          <w:bCs w:val="1"/>
          <w:color w:val="auto"/>
        </w:rPr>
      </w:pPr>
    </w:p>
    <w:p>
      <w:pPr>
        <w:jc w:val="both"/>
        <w:ind w:firstLine="8"/>
        <w:spacing w:after="0" w:line="221" w:lineRule="auto"/>
        <w:tabs>
          <w:tab w:leader="none" w:pos="636" w:val="left"/>
        </w:tabs>
        <w:numPr>
          <w:ilvl w:val="0"/>
          <w:numId w:val="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Settlement of RSU Awards</w:t>
      </w:r>
      <w:r>
        <w:rPr>
          <w:rFonts w:ascii="Times New Roman" w:cs="Times New Roman" w:eastAsia="Times New Roman" w:hAnsi="Times New Roman"/>
          <w:sz w:val="22"/>
          <w:szCs w:val="22"/>
          <w:color w:val="auto"/>
        </w:rPr>
        <w:t>. A RSU Award may be settled by the issuance of shares of Common Stock or cash (or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combination thereof) or in any other form of payment, as determined by the Board and specified in the RSU Award Agreement. At the time of grant, the Board may determine to impose such restrictions or conditions that delay such delivery to a date following the vesting of the RSU Award.</w:t>
      </w:r>
    </w:p>
    <w:p>
      <w:pPr>
        <w:spacing w:after="0" w:line="148" w:lineRule="exact"/>
        <w:rPr>
          <w:sz w:val="20"/>
          <w:szCs w:val="20"/>
          <w:color w:val="auto"/>
        </w:rPr>
      </w:pPr>
    </w:p>
    <w:p>
      <w:pPr>
        <w:jc w:val="both"/>
        <w:ind w:firstLine="8"/>
        <w:spacing w:after="0" w:line="227" w:lineRule="auto"/>
        <w:tabs>
          <w:tab w:leader="none" w:pos="648" w:val="left"/>
        </w:tabs>
        <w:numPr>
          <w:ilvl w:val="0"/>
          <w:numId w:val="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Performance Awards</w:t>
      </w:r>
      <w:r>
        <w:rPr>
          <w:rFonts w:ascii="Times New Roman" w:cs="Times New Roman" w:eastAsia="Times New Roman" w:hAnsi="Times New Roman"/>
          <w:sz w:val="22"/>
          <w:szCs w:val="22"/>
          <w:color w:val="auto"/>
        </w:rPr>
        <w:t>. With respect to any Performance Award, the length of any Performance Period, the Performance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Goals to be achieved during the Performance Period, the other terms and conditions of such Award, and the measure of whether and to what degree such Performance Goals have been attained will be determined by the Board.</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3"/>
          <w:szCs w:val="13"/>
          <w:color w:val="auto"/>
        </w:rPr>
        <w:t>197532205 v11</w:t>
      </w:r>
    </w:p>
    <w:p>
      <w:pPr>
        <w:sectPr>
          <w:pgSz w:w="11900" w:h="16838" w:orient="portrait"/>
          <w:cols w:equalWidth="0" w:num="1">
            <w:col w:w="11240"/>
          </w:cols>
          <w:pgMar w:left="320" w:top="1395" w:right="339" w:bottom="1440" w:gutter="0" w:footer="0" w:header="0"/>
        </w:sectPr>
      </w:pPr>
    </w:p>
    <w:bookmarkStart w:id="80" w:name="page81"/>
    <w:bookmarkEnd w:id="80"/>
    <w:p>
      <w:pPr>
        <w:jc w:val="both"/>
        <w:ind w:firstLine="8"/>
        <w:spacing w:after="0" w:line="214" w:lineRule="auto"/>
        <w:tabs>
          <w:tab w:leader="none" w:pos="643" w:val="left"/>
        </w:tabs>
        <w:numPr>
          <w:ilvl w:val="0"/>
          <w:numId w:val="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Other Awards</w:t>
      </w:r>
      <w:r>
        <w:rPr>
          <w:rFonts w:ascii="Times New Roman" w:cs="Times New Roman" w:eastAsia="Times New Roman" w:hAnsi="Times New Roman"/>
          <w:sz w:val="22"/>
          <w:szCs w:val="22"/>
          <w:color w:val="auto"/>
        </w:rPr>
        <w:t>. Other forms of Awards valued in whole or in part by reference to, or otherwise based on, Common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including the appreciation in value thereof (e.g., options or stock rights with an exercise price or strike price less than 100% of the Fair Market Value at the time of grant) may be granted either alone or in addition to Awards provided for under Section 4 and the preceding provisions of this Section 5. Subject to the provisions of the Plan, the Board will have sole and complete discretion to determine the persons to whom and the time or times at which such Other Awards will be granted, the number of shares of Common Stock (or the cash equivalent thereof) to be granted pursuant to such Other Awards and all other terms and conditions of such Other Awards.</w:t>
      </w:r>
    </w:p>
    <w:p>
      <w:pPr>
        <w:spacing w:after="0" w:line="149" w:lineRule="exact"/>
        <w:rPr>
          <w:sz w:val="20"/>
          <w:szCs w:val="20"/>
          <w:color w:val="auto"/>
        </w:rPr>
      </w:pPr>
    </w:p>
    <w:p>
      <w:pPr>
        <w:ind w:left="660" w:hanging="652"/>
        <w:spacing w:after="0"/>
        <w:tabs>
          <w:tab w:leader="none" w:pos="660" w:val="left"/>
        </w:tabs>
        <w:numPr>
          <w:ilvl w:val="0"/>
          <w:numId w:val="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Adjustments upon Changes in Common Stock; Other Corporate Events.</w:t>
      </w:r>
    </w:p>
    <w:p>
      <w:pPr>
        <w:spacing w:after="0" w:line="179" w:lineRule="exact"/>
        <w:rPr>
          <w:sz w:val="20"/>
          <w:szCs w:val="20"/>
          <w:color w:val="auto"/>
        </w:rPr>
      </w:pPr>
    </w:p>
    <w:p>
      <w:pPr>
        <w:jc w:val="both"/>
        <w:ind w:firstLine="8"/>
        <w:spacing w:after="0" w:line="212" w:lineRule="auto"/>
        <w:tabs>
          <w:tab w:leader="none" w:pos="636" w:val="left"/>
        </w:tabs>
        <w:numPr>
          <w:ilvl w:val="0"/>
          <w:numId w:val="5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Capitalization Adjustments</w:t>
      </w:r>
      <w:r>
        <w:rPr>
          <w:rFonts w:ascii="Times New Roman" w:cs="Times New Roman" w:eastAsia="Times New Roman" w:hAnsi="Times New Roman"/>
          <w:sz w:val="22"/>
          <w:szCs w:val="22"/>
          <w:color w:val="auto"/>
        </w:rPr>
        <w:t>. In the event of a Capitalization Adjustment, the Board shall appropriately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proportionately adjust: (i) the class(es) and maximum number of shares of Common Stock subject to the Plan and the maximum number of shares by which the Share Reserve may annually increase pursuant to Section 2(a), (ii) the class(es) and maximum number of shares that may be issued pursuant to the exercise of Incentive Stock Options pursuant to Section 2(a), and (iii) the class(es) and number of securities and exercise price, strike price or purchase price of Common Stock subject to outstanding Awards. The Board shall make such adjustments, and its determination shall be final, binding and conclusive. Notwithstanding the foregoing, no fractional shares or rights for fractional shares of Common Stock shall be created in order to implement any Capitalization Adjustment. The Board shall determine an equivalent benefit for any fractional shares or fractional shares that might be created by the adjustments referred to in the preceding provisions of this Section.</w:t>
      </w:r>
    </w:p>
    <w:p>
      <w:pPr>
        <w:spacing w:after="0" w:line="148" w:lineRule="exact"/>
        <w:rPr>
          <w:rFonts w:ascii="Times New Roman" w:cs="Times New Roman" w:eastAsia="Times New Roman" w:hAnsi="Times New Roman"/>
          <w:sz w:val="22"/>
          <w:szCs w:val="22"/>
          <w:b w:val="1"/>
          <w:bCs w:val="1"/>
          <w:color w:val="auto"/>
        </w:rPr>
      </w:pPr>
    </w:p>
    <w:p>
      <w:pPr>
        <w:jc w:val="both"/>
        <w:ind w:firstLine="8"/>
        <w:spacing w:after="0" w:line="213" w:lineRule="auto"/>
        <w:tabs>
          <w:tab w:leader="none" w:pos="648" w:val="left"/>
        </w:tabs>
        <w:numPr>
          <w:ilvl w:val="0"/>
          <w:numId w:val="5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Dissolution or Liquidation</w:t>
      </w:r>
      <w:r>
        <w:rPr>
          <w:rFonts w:ascii="Times New Roman" w:cs="Times New Roman" w:eastAsia="Times New Roman" w:hAnsi="Times New Roman"/>
          <w:sz w:val="22"/>
          <w:szCs w:val="22"/>
          <w:color w:val="auto"/>
        </w:rPr>
        <w:t>. Except as otherwise provided in the Award Agreement, in the event of a dissolution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liquidation of the Company, all outstanding Awards (other than Awards consisting of vested and outstanding shares of Common Stock not subject to a forfeiture condition or the Company’s right of repurchase) will terminate immediately prior to the completion of such dissolution or liquidation, and the shares of Common Stock subject to the Company’s repurchase rights or subject to a forfeiture condition may be repurchased or reacquired by the Company notwithstanding the fact that the holder of such Award is providing Continuous Service,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the Board may determine to cause some or all Awards to become fully vested, exercisable and/or no longer subject to repurchase or forfeiture (to the extent such Awards have not previously expired or terminated) before the dissolution or liquidation is completed but contingent on its completion.</w:t>
      </w:r>
    </w:p>
    <w:p>
      <w:pPr>
        <w:spacing w:after="0" w:line="147" w:lineRule="exact"/>
        <w:rPr>
          <w:rFonts w:ascii="Times New Roman" w:cs="Times New Roman" w:eastAsia="Times New Roman" w:hAnsi="Times New Roman"/>
          <w:sz w:val="22"/>
          <w:szCs w:val="22"/>
          <w:b w:val="1"/>
          <w:bCs w:val="1"/>
          <w:color w:val="auto"/>
        </w:rPr>
      </w:pPr>
    </w:p>
    <w:p>
      <w:pPr>
        <w:jc w:val="both"/>
        <w:ind w:firstLine="8"/>
        <w:spacing w:after="0" w:line="227" w:lineRule="auto"/>
        <w:tabs>
          <w:tab w:leader="none" w:pos="642" w:val="left"/>
        </w:tabs>
        <w:numPr>
          <w:ilvl w:val="0"/>
          <w:numId w:val="5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Corporate Transaction. </w:t>
      </w:r>
      <w:r>
        <w:rPr>
          <w:rFonts w:ascii="Times New Roman" w:cs="Times New Roman" w:eastAsia="Times New Roman" w:hAnsi="Times New Roman"/>
          <w:sz w:val="22"/>
          <w:szCs w:val="22"/>
          <w:color w:val="auto"/>
        </w:rPr>
        <w:t>The following provisions will apply to Awards in the event of a Corporate Transaction unless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otherwise provided in the instrument evidencing the Award or any other written agreement between the Company or any Affiliate and the Participant or unless otherwise expressly provided by the Board at the time of grant of an Award.</w:t>
      </w:r>
    </w:p>
    <w:p>
      <w:pPr>
        <w:spacing w:after="0" w:line="146" w:lineRule="exact"/>
        <w:rPr>
          <w:sz w:val="20"/>
          <w:szCs w:val="20"/>
          <w:color w:val="auto"/>
        </w:rPr>
      </w:pPr>
    </w:p>
    <w:p>
      <w:pPr>
        <w:jc w:val="both"/>
        <w:ind w:firstLine="8"/>
        <w:spacing w:after="0" w:line="212" w:lineRule="auto"/>
        <w:tabs>
          <w:tab w:leader="none" w:pos="636" w:val="left"/>
        </w:tabs>
        <w:numPr>
          <w:ilvl w:val="0"/>
          <w:numId w:val="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Awards May Be Assumed. </w:t>
      </w:r>
      <w:r>
        <w:rPr>
          <w:rFonts w:ascii="Times New Roman" w:cs="Times New Roman" w:eastAsia="Times New Roman" w:hAnsi="Times New Roman"/>
          <w:sz w:val="22"/>
          <w:szCs w:val="22"/>
          <w:color w:val="auto"/>
        </w:rPr>
        <w:t>In the event of a Corporate Transaction, any surviving corporation or acquiring corporation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the surviving or acquiring corporation’s parent company) may assume or continue any or all Awards outstanding under the Plan or may substitute similar awards for Awards outstanding under the Plan (including but not limited to, awards to acquire the same consideration paid to the stockholders of the Company pursuant to the Corporate Transaction), and any reacquisition or repurchase rights held by the Company in respect of Common Stock issued pursuant to Awards may be assigned by the Company to the successor of the Company (or the successor’s parent company, if any), in connection with such Corporate Transaction. A surviving corporation or acquiring corporation (or its parent) may choose to assume or continue only a portion of an Award or substitute a similar award for only a portion of an Award, or may choose to assume or continue the Awards held by some, but not all Participants. The terms of any assumption, continuation or substitution will be set by the Board.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3"/>
          <w:szCs w:val="13"/>
          <w:color w:val="auto"/>
        </w:rPr>
        <w:t>197532205 v11</w:t>
      </w:r>
    </w:p>
    <w:p>
      <w:pPr>
        <w:sectPr>
          <w:pgSz w:w="11900" w:h="16838" w:orient="portrait"/>
          <w:cols w:equalWidth="0" w:num="1">
            <w:col w:w="11240"/>
          </w:cols>
          <w:pgMar w:left="320" w:top="1391" w:right="339" w:bottom="1440" w:gutter="0" w:footer="0" w:header="0"/>
        </w:sectPr>
      </w:pPr>
    </w:p>
    <w:bookmarkStart w:id="81" w:name="page82"/>
    <w:bookmarkEnd w:id="81"/>
    <w:p>
      <w:pPr>
        <w:jc w:val="both"/>
        <w:ind w:firstLine="8"/>
        <w:spacing w:after="0" w:line="209" w:lineRule="auto"/>
        <w:tabs>
          <w:tab w:leader="none" w:pos="642" w:val="left"/>
        </w:tabs>
        <w:numPr>
          <w:ilvl w:val="0"/>
          <w:numId w:val="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Awards Held by Current Participants. </w:t>
      </w:r>
      <w:r>
        <w:rPr>
          <w:rFonts w:ascii="Times New Roman" w:cs="Times New Roman" w:eastAsia="Times New Roman" w:hAnsi="Times New Roman"/>
          <w:sz w:val="22"/>
          <w:szCs w:val="22"/>
          <w:color w:val="auto"/>
        </w:rPr>
        <w:t>In the event of a Corporate Transaction in which the surviving corporation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acquiring corporation (or its parent company) does not assume or continue such outstanding Awards or substitute similar awards for such outstanding Awards, then with respect to Awards that have not been assumed, continued or substituted and that are held by Participants whose Continuous Service has not terminated prior to the effective time of the Corporate Transaction (referred to as the “</w:t>
      </w:r>
      <w:r>
        <w:rPr>
          <w:rFonts w:ascii="Times New Roman" w:cs="Times New Roman" w:eastAsia="Times New Roman" w:hAnsi="Times New Roman"/>
          <w:sz w:val="22"/>
          <w:szCs w:val="22"/>
          <w:b w:val="1"/>
          <w:bCs w:val="1"/>
          <w:i w:val="1"/>
          <w:iCs w:val="1"/>
          <w:color w:val="auto"/>
        </w:rPr>
        <w:t>Current Participants</w:t>
      </w:r>
      <w:r>
        <w:rPr>
          <w:rFonts w:ascii="Times New Roman" w:cs="Times New Roman" w:eastAsia="Times New Roman" w:hAnsi="Times New Roman"/>
          <w:sz w:val="22"/>
          <w:szCs w:val="22"/>
          <w:color w:val="auto"/>
        </w:rPr>
        <w:t>”), the vesting of such Awards (and, with respect to Options and Stock Appreciation Rights, the time when such Awards may be exercised) will be accelerated in full to a date prior to the effective time of such Corporate Transaction (contingent upon the effectiveness of the Corporate Transaction) as the Board determines (or, if the Board does not determine such a date, to the date that is five (5) days prior to the effective time of the Corporate Transaction), and such Awards will terminate if not exercised (if applicable) at or prior to the effective time of the Corporate Transaction, and any reacquisition or repurchase rights held by the Company with respect to such Awards will lapse (contingent upon the effectiveness of the Corporate Transaction). With respect to Performance Awards which will accelerate vesting in connection with a Corporate Transaction pursuant to this subsection (ii) and which Awards have multiple vesting levels depending on the level of performance, unless otherwise provided in the Award Agreement, such Performance Awards will accelerate vesting at 100% of the target level. With respect to Awards which will accelerate vesting in connection with a Corporate Transaction pursuant to this subsection (ii) and which Awards are settled in the form of a cash payment, such cash payment will be made no later than thirty (30) days following the effectiveness of the Corporate Transaction.</w:t>
      </w:r>
    </w:p>
    <w:p>
      <w:pPr>
        <w:spacing w:after="0" w:line="147" w:lineRule="exact"/>
        <w:rPr>
          <w:rFonts w:ascii="Times New Roman" w:cs="Times New Roman" w:eastAsia="Times New Roman" w:hAnsi="Times New Roman"/>
          <w:sz w:val="22"/>
          <w:szCs w:val="22"/>
          <w:b w:val="1"/>
          <w:bCs w:val="1"/>
          <w:color w:val="auto"/>
        </w:rPr>
      </w:pPr>
    </w:p>
    <w:p>
      <w:pPr>
        <w:jc w:val="both"/>
        <w:ind w:firstLine="8"/>
        <w:spacing w:after="0" w:line="214" w:lineRule="auto"/>
        <w:tabs>
          <w:tab w:leader="none" w:pos="648" w:val="left"/>
        </w:tabs>
        <w:numPr>
          <w:ilvl w:val="0"/>
          <w:numId w:val="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Awards Held by Persons other than Current Participants. </w:t>
      </w:r>
      <w:r>
        <w:rPr>
          <w:rFonts w:ascii="Times New Roman" w:cs="Times New Roman" w:eastAsia="Times New Roman" w:hAnsi="Times New Roman"/>
          <w:sz w:val="22"/>
          <w:szCs w:val="22"/>
          <w:color w:val="auto"/>
        </w:rPr>
        <w:t>In the event of a Corporate Transaction in which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surviving corporation or acquiring corporation (or its parent company) does not assume or continue such outstanding Awards or substitute similar awards for such outstanding Awards, then with respect to Awards that have not been assumed, continued or substituted and that are held by persons other than Current Participants, such Awards will terminate if not exercised (if applicable) prior to the effective time of the Corporate Transaction;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any reacquisition or repurchase rights held by the Company with respect to such Awards will not terminate and may continue to be exercised notwithstanding the Corporate Transaction.</w:t>
      </w:r>
    </w:p>
    <w:p>
      <w:pPr>
        <w:spacing w:after="0" w:line="148" w:lineRule="exact"/>
        <w:rPr>
          <w:rFonts w:ascii="Times New Roman" w:cs="Times New Roman" w:eastAsia="Times New Roman" w:hAnsi="Times New Roman"/>
          <w:sz w:val="22"/>
          <w:szCs w:val="22"/>
          <w:b w:val="1"/>
          <w:bCs w:val="1"/>
          <w:color w:val="auto"/>
        </w:rPr>
      </w:pPr>
    </w:p>
    <w:p>
      <w:pPr>
        <w:jc w:val="both"/>
        <w:ind w:firstLine="8"/>
        <w:spacing w:after="0" w:line="216" w:lineRule="auto"/>
        <w:tabs>
          <w:tab w:leader="none" w:pos="636" w:val="left"/>
        </w:tabs>
        <w:numPr>
          <w:ilvl w:val="0"/>
          <w:numId w:val="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Payment for Awards in Lieu of Exercise. </w:t>
      </w:r>
      <w:r>
        <w:rPr>
          <w:rFonts w:ascii="Times New Roman" w:cs="Times New Roman" w:eastAsia="Times New Roman" w:hAnsi="Times New Roman"/>
          <w:sz w:val="22"/>
          <w:szCs w:val="22"/>
          <w:color w:val="auto"/>
        </w:rPr>
        <w:t>Notwithstanding the foregoing, in the event an Award will terminate if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exercised prior to the effective time of a Corporate Transaction, the Board may provide, in its sole discretion, that the holder of such Award may not exercise such Award but will receive a payment, in such form as may be determined by the Board, equal in value, at the effective time, to the excess, if any, of (A) the value of the property the Participant would have received upon the exercise of the Award (including, at the discretion of the Board, any unvested portion of such Award), over (B) any exercise price payable by such holder in connection with such exercise.</w:t>
      </w:r>
    </w:p>
    <w:p>
      <w:pPr>
        <w:spacing w:after="0" w:line="146" w:lineRule="exact"/>
        <w:rPr>
          <w:sz w:val="20"/>
          <w:szCs w:val="20"/>
          <w:color w:val="auto"/>
        </w:rPr>
      </w:pPr>
    </w:p>
    <w:p>
      <w:pPr>
        <w:jc w:val="both"/>
        <w:ind w:firstLine="8"/>
        <w:spacing w:after="0" w:line="221" w:lineRule="auto"/>
        <w:tabs>
          <w:tab w:leader="none" w:pos="643" w:val="left"/>
        </w:tabs>
        <w:numPr>
          <w:ilvl w:val="0"/>
          <w:numId w:val="6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Appointment of Stockholder Representative. </w:t>
      </w:r>
      <w:r>
        <w:rPr>
          <w:rFonts w:ascii="Times New Roman" w:cs="Times New Roman" w:eastAsia="Times New Roman" w:hAnsi="Times New Roman"/>
          <w:sz w:val="22"/>
          <w:szCs w:val="22"/>
          <w:color w:val="auto"/>
        </w:rPr>
        <w:t>As a condition to the receipt of an Award under this Plan, a Participant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will be deemed to have agreed that the Award will be subject to the terms of any agreement governing a Corporate Transaction involving the Company, including, without limitation, a provision for the appointment of a stockholder representative that is authorized to act on the Participant’s behalf with respect to any escrow, indemnities and any contingent consideration.</w:t>
      </w:r>
    </w:p>
    <w:p>
      <w:pPr>
        <w:spacing w:after="0" w:line="148" w:lineRule="exact"/>
        <w:rPr>
          <w:sz w:val="20"/>
          <w:szCs w:val="20"/>
          <w:color w:val="auto"/>
        </w:rPr>
      </w:pPr>
    </w:p>
    <w:p>
      <w:pPr>
        <w:jc w:val="both"/>
        <w:ind w:firstLine="8"/>
        <w:spacing w:after="0" w:line="218" w:lineRule="auto"/>
        <w:tabs>
          <w:tab w:leader="none" w:pos="643" w:val="left"/>
        </w:tabs>
        <w:numPr>
          <w:ilvl w:val="0"/>
          <w:numId w:val="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Restriction on Right to Undertake Transactions</w:t>
      </w:r>
      <w:r>
        <w:rPr>
          <w:rFonts w:ascii="Times New Roman" w:cs="Times New Roman" w:eastAsia="Times New Roman" w:hAnsi="Times New Roman"/>
          <w:sz w:val="22"/>
          <w:szCs w:val="22"/>
          <w:color w:val="auto"/>
        </w:rPr>
        <w:t>. The grant of any Award under the Plan and the issuance of shares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pursuant to any Award does not affect or restrict in any way the right or power of the Company or the stockholders of the Company to make or authorize any adjustment, recapitalization, reorganization or other change in the Company’s capital structure or its business, any merger or consolidation of the Company, any issue of stock or of options, rights or options to purchase stock or of bonds, debentures, preferred or prior preference stocks whose</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3"/>
          <w:szCs w:val="13"/>
          <w:color w:val="auto"/>
        </w:rPr>
        <w:t>197532205 v11</w:t>
      </w:r>
    </w:p>
    <w:p>
      <w:pPr>
        <w:sectPr>
          <w:pgSz w:w="11900" w:h="16838" w:orient="portrait"/>
          <w:cols w:equalWidth="0" w:num="1">
            <w:col w:w="11240"/>
          </w:cols>
          <w:pgMar w:left="320" w:top="1391" w:right="339" w:bottom="1440" w:gutter="0" w:footer="0" w:header="0"/>
        </w:sectPr>
      </w:pPr>
    </w:p>
    <w:bookmarkStart w:id="82" w:name="page83"/>
    <w:bookmarkEnd w:id="82"/>
    <w:p>
      <w:pPr>
        <w:jc w:val="both"/>
        <w:spacing w:after="0" w:line="225" w:lineRule="auto"/>
        <w:rPr>
          <w:sz w:val="20"/>
          <w:szCs w:val="20"/>
          <w:color w:val="auto"/>
        </w:rPr>
      </w:pPr>
      <w:r>
        <w:rPr>
          <w:rFonts w:ascii="Times New Roman" w:cs="Times New Roman" w:eastAsia="Times New Roman" w:hAnsi="Times New Roman"/>
          <w:sz w:val="22"/>
          <w:szCs w:val="22"/>
          <w:color w:val="auto"/>
        </w:rPr>
        <w:t>rights are superior to or affect the Common Stock or the rights thereof or which are convertible into or exchangeable for Common Stock, or the dissolution or liquidation of the Company, or any sale or transfer of all or any part of its assets or business, or any other corporate act or proceeding, whether of a similar character or otherwise.</w:t>
      </w:r>
    </w:p>
    <w:p>
      <w:pPr>
        <w:spacing w:after="0" w:line="148" w:lineRule="exact"/>
        <w:rPr>
          <w:sz w:val="20"/>
          <w:szCs w:val="20"/>
          <w:color w:val="auto"/>
        </w:rPr>
      </w:pPr>
    </w:p>
    <w:p>
      <w:pPr>
        <w:ind w:left="660" w:hanging="652"/>
        <w:spacing w:after="0"/>
        <w:tabs>
          <w:tab w:leader="none" w:pos="660" w:val="left"/>
        </w:tabs>
        <w:numPr>
          <w:ilvl w:val="0"/>
          <w:numId w:val="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Administration.</w:t>
      </w:r>
    </w:p>
    <w:p>
      <w:pPr>
        <w:spacing w:after="0" w:line="179" w:lineRule="exact"/>
        <w:rPr>
          <w:sz w:val="20"/>
          <w:szCs w:val="20"/>
          <w:color w:val="auto"/>
        </w:rPr>
      </w:pPr>
    </w:p>
    <w:p>
      <w:pPr>
        <w:ind w:firstLine="8"/>
        <w:spacing w:after="0" w:line="238" w:lineRule="auto"/>
        <w:tabs>
          <w:tab w:leader="none" w:pos="642" w:val="left"/>
        </w:tabs>
        <w:numPr>
          <w:ilvl w:val="0"/>
          <w:numId w:val="6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Administration by Board. </w:t>
      </w:r>
      <w:r>
        <w:rPr>
          <w:rFonts w:ascii="Times New Roman" w:cs="Times New Roman" w:eastAsia="Times New Roman" w:hAnsi="Times New Roman"/>
          <w:sz w:val="22"/>
          <w:szCs w:val="22"/>
          <w:color w:val="auto"/>
        </w:rPr>
        <w:t>The Board will administer the Plan unless and until the Board delegates administration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Plan to a Committee or Committees, as provided in subsection (c) below.</w:t>
      </w:r>
    </w:p>
    <w:p>
      <w:pPr>
        <w:spacing w:after="0" w:line="146" w:lineRule="exact"/>
        <w:rPr>
          <w:rFonts w:ascii="Times New Roman" w:cs="Times New Roman" w:eastAsia="Times New Roman" w:hAnsi="Times New Roman"/>
          <w:sz w:val="22"/>
          <w:szCs w:val="22"/>
          <w:b w:val="1"/>
          <w:bCs w:val="1"/>
          <w:color w:val="auto"/>
        </w:rPr>
      </w:pPr>
    </w:p>
    <w:p>
      <w:pPr>
        <w:ind w:left="660" w:hanging="652"/>
        <w:spacing w:after="0"/>
        <w:tabs>
          <w:tab w:leader="none" w:pos="660" w:val="left"/>
        </w:tabs>
        <w:numPr>
          <w:ilvl w:val="0"/>
          <w:numId w:val="6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Powers of Board. </w:t>
      </w:r>
      <w:r>
        <w:rPr>
          <w:rFonts w:ascii="Times New Roman" w:cs="Times New Roman" w:eastAsia="Times New Roman" w:hAnsi="Times New Roman"/>
          <w:sz w:val="21"/>
          <w:szCs w:val="21"/>
          <w:color w:val="auto"/>
        </w:rPr>
        <w:t>The Board will have the power, subject to, and within the limitations of, the express provisions of the</w:t>
      </w:r>
    </w:p>
    <w:p>
      <w:pPr>
        <w:spacing w:after="0" w:line="2" w:lineRule="exact"/>
        <w:rPr>
          <w:rFonts w:ascii="Times New Roman" w:cs="Times New Roman" w:eastAsia="Times New Roman" w:hAnsi="Times New Roman"/>
          <w:sz w:val="21"/>
          <w:szCs w:val="21"/>
          <w:b w:val="1"/>
          <w:bCs w:val="1"/>
          <w:color w:val="auto"/>
        </w:rPr>
      </w:pPr>
    </w:p>
    <w:p>
      <w:pPr>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2"/>
          <w:szCs w:val="22"/>
          <w:color w:val="auto"/>
        </w:rPr>
        <w:t>Plan:</w:t>
      </w:r>
    </w:p>
    <w:p>
      <w:pPr>
        <w:spacing w:after="0" w:line="155" w:lineRule="exact"/>
        <w:rPr>
          <w:sz w:val="20"/>
          <w:szCs w:val="20"/>
          <w:color w:val="auto"/>
        </w:rPr>
      </w:pPr>
    </w:p>
    <w:p>
      <w:pPr>
        <w:jc w:val="both"/>
        <w:ind w:firstLine="8"/>
        <w:spacing w:after="0" w:line="213" w:lineRule="auto"/>
        <w:tabs>
          <w:tab w:leader="none" w:pos="636" w:val="left"/>
        </w:tabs>
        <w:numPr>
          <w:ilvl w:val="0"/>
          <w:numId w:val="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To determine from time to time (A) which of the persons eligible under the Plan will be granted Awards; (B) when and how each Award will be granted; (C) what type or combination of types of Award will be granted; (D) the provisions of each Award granted (which need not be identical), including the time or times when a person will be permitted to receive an issuance of Common Stock or other payment pursuant to an Award; (E) the number of shares of Common Stock or cash equivalent with respect to which an Award will be granted to each such person; (F) the Fair Market Value applicable to an Award; and (G) the terms of any Performance Award that is not valued in whole or in part by reference to, or otherwise based on, the Common Stock, including the amount of cash payment or other property that may be earned and the timing of payment.</w:t>
      </w:r>
    </w:p>
    <w:p>
      <w:pPr>
        <w:spacing w:after="0" w:line="156" w:lineRule="exact"/>
        <w:rPr>
          <w:sz w:val="20"/>
          <w:szCs w:val="20"/>
          <w:color w:val="auto"/>
        </w:rPr>
      </w:pPr>
    </w:p>
    <w:p>
      <w:pPr>
        <w:jc w:val="both"/>
        <w:ind w:firstLine="8"/>
        <w:spacing w:after="0" w:line="220" w:lineRule="auto"/>
        <w:tabs>
          <w:tab w:leader="none" w:pos="636" w:val="left"/>
        </w:tabs>
        <w:numPr>
          <w:ilvl w:val="0"/>
          <w:numId w:val="6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To construe and interpret the Plan and Awards granted under it, and to establish, amend and revoke rules and regulations for its administration. The Board, in the exercise of this power, may correct any defect, omission or inconsistency in the Plan or in any Award Agreement, in a manner and to the extent it deems necessary or expedient to make the Plan or Award fully effective.</w:t>
      </w:r>
    </w:p>
    <w:p>
      <w:pPr>
        <w:spacing w:after="0" w:line="152" w:lineRule="exact"/>
        <w:rPr>
          <w:rFonts w:ascii="Times New Roman" w:cs="Times New Roman" w:eastAsia="Times New Roman" w:hAnsi="Times New Roman"/>
          <w:sz w:val="22"/>
          <w:szCs w:val="22"/>
          <w:b w:val="1"/>
          <w:bCs w:val="1"/>
          <w:color w:val="auto"/>
        </w:rPr>
      </w:pPr>
    </w:p>
    <w:p>
      <w:pPr>
        <w:ind w:left="640" w:hanging="632"/>
        <w:spacing w:after="0"/>
        <w:tabs>
          <w:tab w:leader="none" w:pos="640" w:val="left"/>
        </w:tabs>
        <w:numPr>
          <w:ilvl w:val="0"/>
          <w:numId w:val="6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To settle all controversies regarding the Plan and Awards granted under it.</w:t>
      </w:r>
    </w:p>
    <w:p>
      <w:pPr>
        <w:spacing w:after="0" w:line="179" w:lineRule="exact"/>
        <w:rPr>
          <w:rFonts w:ascii="Times New Roman" w:cs="Times New Roman" w:eastAsia="Times New Roman" w:hAnsi="Times New Roman"/>
          <w:sz w:val="22"/>
          <w:szCs w:val="22"/>
          <w:b w:val="1"/>
          <w:bCs w:val="1"/>
          <w:color w:val="auto"/>
        </w:rPr>
      </w:pPr>
    </w:p>
    <w:p>
      <w:pPr>
        <w:jc w:val="both"/>
        <w:ind w:firstLine="8"/>
        <w:spacing w:after="0" w:line="225" w:lineRule="auto"/>
        <w:tabs>
          <w:tab w:leader="none" w:pos="648" w:val="left"/>
        </w:tabs>
        <w:numPr>
          <w:ilvl w:val="0"/>
          <w:numId w:val="6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To accelerate the time at which an Award may first be exercised or the time during which an Award or any part thereof will vest, notwithstanding the provisions in the Award Agreement stating the time at which it may first be exercised or the time during which it will vest.</w:t>
      </w:r>
    </w:p>
    <w:p>
      <w:pPr>
        <w:spacing w:after="0" w:line="152" w:lineRule="exact"/>
        <w:rPr>
          <w:rFonts w:ascii="Times New Roman" w:cs="Times New Roman" w:eastAsia="Times New Roman" w:hAnsi="Times New Roman"/>
          <w:sz w:val="22"/>
          <w:szCs w:val="22"/>
          <w:b w:val="1"/>
          <w:bCs w:val="1"/>
          <w:color w:val="auto"/>
        </w:rPr>
      </w:pPr>
    </w:p>
    <w:p>
      <w:pPr>
        <w:jc w:val="both"/>
        <w:ind w:firstLine="8"/>
        <w:spacing w:after="0" w:line="217" w:lineRule="auto"/>
        <w:tabs>
          <w:tab w:leader="none" w:pos="636" w:val="left"/>
        </w:tabs>
        <w:numPr>
          <w:ilvl w:val="0"/>
          <w:numId w:val="6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To prohibit the exercise of any Option, SAR or other exercisable Award during a period of up to thirty days prior to the consummation of any pending stock dividend, stock split, combination or exchange of shares, merger, consolidation or other distribution (other than normal cash dividends) of Company assets to stockholders, or any other change affecting the shares of Common Stock or the share price of the Common Stock including any Corporate Transaction, for reasons of administrative convenience.</w:t>
      </w:r>
    </w:p>
    <w:p>
      <w:pPr>
        <w:spacing w:after="0" w:line="152" w:lineRule="exact"/>
        <w:rPr>
          <w:rFonts w:ascii="Times New Roman" w:cs="Times New Roman" w:eastAsia="Times New Roman" w:hAnsi="Times New Roman"/>
          <w:sz w:val="22"/>
          <w:szCs w:val="22"/>
          <w:b w:val="1"/>
          <w:bCs w:val="1"/>
          <w:color w:val="auto"/>
        </w:rPr>
      </w:pPr>
    </w:p>
    <w:p>
      <w:pPr>
        <w:ind w:right="20" w:firstLine="8"/>
        <w:spacing w:after="0" w:line="236" w:lineRule="auto"/>
        <w:tabs>
          <w:tab w:leader="none" w:pos="643" w:val="left"/>
        </w:tabs>
        <w:numPr>
          <w:ilvl w:val="0"/>
          <w:numId w:val="6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To suspend or terminate the Plan at any time. Suspension or termination of the Plan will not Materially Impair rights and obligations under any Award granted while the Plan is in effect except with the written consent of the affected Participant.</w:t>
      </w:r>
    </w:p>
    <w:p>
      <w:pPr>
        <w:spacing w:after="0" w:line="146" w:lineRule="exact"/>
        <w:rPr>
          <w:rFonts w:ascii="Times New Roman" w:cs="Times New Roman" w:eastAsia="Times New Roman" w:hAnsi="Times New Roman"/>
          <w:sz w:val="22"/>
          <w:szCs w:val="22"/>
          <w:b w:val="1"/>
          <w:bCs w:val="1"/>
          <w:color w:val="auto"/>
        </w:rPr>
      </w:pPr>
    </w:p>
    <w:p>
      <w:pPr>
        <w:jc w:val="both"/>
        <w:ind w:firstLine="8"/>
        <w:spacing w:after="0" w:line="221" w:lineRule="auto"/>
        <w:tabs>
          <w:tab w:leader="none" w:pos="636" w:val="left"/>
        </w:tabs>
        <w:numPr>
          <w:ilvl w:val="0"/>
          <w:numId w:val="6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To amend the Plan in any respect the Board deems necessary or advisable;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stockholder approval will be required for any amendment to the extent required by Applicable Law. Except as provided above, rights under any Award granted before amendment of the Plan will not be Materially Impaired by any amendment of the Plan unless (1) the Company requests the consent of the affected Participant, and (2) such Participant consents in writing.</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3"/>
          <w:szCs w:val="13"/>
          <w:color w:val="auto"/>
        </w:rPr>
        <w:t>197532205 v11</w:t>
      </w:r>
    </w:p>
    <w:p>
      <w:pPr>
        <w:sectPr>
          <w:pgSz w:w="11900" w:h="16838" w:orient="portrait"/>
          <w:cols w:equalWidth="0" w:num="1">
            <w:col w:w="11240"/>
          </w:cols>
          <w:pgMar w:left="320" w:top="1395" w:right="339" w:bottom="1440" w:gutter="0" w:footer="0" w:header="0"/>
        </w:sectPr>
      </w:pPr>
    </w:p>
    <w:bookmarkStart w:id="83" w:name="page84"/>
    <w:bookmarkEnd w:id="83"/>
    <w:p>
      <w:pPr>
        <w:ind w:left="640" w:hanging="632"/>
        <w:spacing w:after="0"/>
        <w:tabs>
          <w:tab w:leader="none" w:pos="640" w:val="left"/>
        </w:tabs>
        <w:numPr>
          <w:ilvl w:val="0"/>
          <w:numId w:val="6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To submit any amendment to the Plan for stockholder approval.</w:t>
      </w:r>
    </w:p>
    <w:p>
      <w:pPr>
        <w:spacing w:after="0" w:line="179" w:lineRule="exact"/>
        <w:rPr>
          <w:rFonts w:ascii="Times New Roman" w:cs="Times New Roman" w:eastAsia="Times New Roman" w:hAnsi="Times New Roman"/>
          <w:sz w:val="22"/>
          <w:szCs w:val="22"/>
          <w:b w:val="1"/>
          <w:bCs w:val="1"/>
          <w:color w:val="auto"/>
        </w:rPr>
      </w:pPr>
    </w:p>
    <w:p>
      <w:pPr>
        <w:jc w:val="both"/>
        <w:ind w:firstLine="8"/>
        <w:spacing w:after="0" w:line="217" w:lineRule="auto"/>
        <w:tabs>
          <w:tab w:leader="none" w:pos="648" w:val="left"/>
        </w:tabs>
        <w:numPr>
          <w:ilvl w:val="0"/>
          <w:numId w:val="6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To approve forms of Award Agreements for use under the Plan and to amend the terms of any one or more Awards, including, but not limited to, amendments to provide terms more favorable to the Participant than previously provided in the Award Agreement, subject to any specified limits in the Plan that are not subject to Board discretion;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a Participant’s rights under any Award will not be Materially Impaired by any such amendment unless (A) the Company requests the consent of the affected Participant, and (B) such Participant consents in writing.</w:t>
      </w:r>
    </w:p>
    <w:p>
      <w:pPr>
        <w:spacing w:after="0" w:line="152" w:lineRule="exact"/>
        <w:rPr>
          <w:rFonts w:ascii="Times New Roman" w:cs="Times New Roman" w:eastAsia="Times New Roman" w:hAnsi="Times New Roman"/>
          <w:sz w:val="22"/>
          <w:szCs w:val="22"/>
          <w:b w:val="1"/>
          <w:bCs w:val="1"/>
          <w:color w:val="auto"/>
        </w:rPr>
      </w:pPr>
    </w:p>
    <w:p>
      <w:pPr>
        <w:ind w:firstLine="8"/>
        <w:spacing w:after="0" w:line="236" w:lineRule="auto"/>
        <w:tabs>
          <w:tab w:leader="none" w:pos="636" w:val="left"/>
        </w:tabs>
        <w:numPr>
          <w:ilvl w:val="0"/>
          <w:numId w:val="6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Generally, to exercise such powers and to perform such acts as the Board deems necessary or expedient to promote the best interests of the Company and that are not in conflict with the provisions of the Plan or Awards.</w:t>
      </w:r>
    </w:p>
    <w:p>
      <w:pPr>
        <w:spacing w:after="0" w:line="150" w:lineRule="exact"/>
        <w:rPr>
          <w:rFonts w:ascii="Times New Roman" w:cs="Times New Roman" w:eastAsia="Times New Roman" w:hAnsi="Times New Roman"/>
          <w:sz w:val="22"/>
          <w:szCs w:val="22"/>
          <w:b w:val="1"/>
          <w:bCs w:val="1"/>
          <w:color w:val="auto"/>
        </w:rPr>
      </w:pPr>
    </w:p>
    <w:p>
      <w:pPr>
        <w:jc w:val="both"/>
        <w:ind w:firstLine="8"/>
        <w:spacing w:after="0" w:line="231" w:lineRule="auto"/>
        <w:tabs>
          <w:tab w:leader="none" w:pos="643" w:val="left"/>
        </w:tabs>
        <w:numPr>
          <w:ilvl w:val="0"/>
          <w:numId w:val="6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To adopt such procedures and sub-plans as are necessary or appropriate to permit and facilitate participation in the Plan by, or take advantage of specific tax treatment for Awards granted to, Employees, Directors or Consultants who are foreign nationals or employed outside the United States (provided that Board approval will not be necessary for immaterial modifications to the Plan or any Award Agreement to ensure or facilitate compliance with the laws of the relevant foreign jurisdiction).</w:t>
      </w:r>
    </w:p>
    <w:p>
      <w:pPr>
        <w:spacing w:after="0" w:line="150" w:lineRule="exact"/>
        <w:rPr>
          <w:rFonts w:ascii="Times New Roman" w:cs="Times New Roman" w:eastAsia="Times New Roman" w:hAnsi="Times New Roman"/>
          <w:sz w:val="21"/>
          <w:szCs w:val="21"/>
          <w:b w:val="1"/>
          <w:bCs w:val="1"/>
          <w:color w:val="auto"/>
        </w:rPr>
      </w:pPr>
    </w:p>
    <w:p>
      <w:pPr>
        <w:jc w:val="both"/>
        <w:ind w:firstLine="8"/>
        <w:spacing w:after="0" w:line="225" w:lineRule="auto"/>
        <w:tabs>
          <w:tab w:leader="none" w:pos="636" w:val="left"/>
        </w:tabs>
        <w:numPr>
          <w:ilvl w:val="0"/>
          <w:numId w:val="6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To effect, at any time and from time to time, subject to the consent of any Participant whose Award is Materially Impaired by such action, (A) the reduction of the exercise price (or strike price) of any outstanding Option or SAR under the Plan; (B) the cancellation of any outstanding Option or SAR under the Plan and the grant in substitution therefor of (1) a new Option or SAR under the Plan or another equity plan of the Company covering the same or a different number of shares of Common Stock, (2) a Restricted Stock Award, (3) a RSU Award, (4) an Other Award, (5) cash and/or (6) other valuable consideration (as determined by the Board); or (C) any other action that is treated as a repricing under generally accepted accounting principles.</w:t>
      </w:r>
    </w:p>
    <w:p>
      <w:pPr>
        <w:spacing w:after="0" w:line="150" w:lineRule="exact"/>
        <w:rPr>
          <w:sz w:val="20"/>
          <w:szCs w:val="20"/>
          <w:color w:val="auto"/>
        </w:rPr>
      </w:pPr>
    </w:p>
    <w:p>
      <w:pPr>
        <w:ind w:left="660" w:hanging="652"/>
        <w:spacing w:after="0"/>
        <w:tabs>
          <w:tab w:leader="none" w:pos="660" w:val="left"/>
        </w:tabs>
        <w:numPr>
          <w:ilvl w:val="0"/>
          <w:numId w:val="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Delegation to Committee.</w:t>
      </w:r>
    </w:p>
    <w:p>
      <w:pPr>
        <w:spacing w:after="0" w:line="179" w:lineRule="exact"/>
        <w:rPr>
          <w:sz w:val="20"/>
          <w:szCs w:val="20"/>
          <w:color w:val="auto"/>
        </w:rPr>
      </w:pPr>
    </w:p>
    <w:p>
      <w:pPr>
        <w:jc w:val="both"/>
        <w:ind w:firstLine="8"/>
        <w:spacing w:after="0" w:line="212" w:lineRule="auto"/>
        <w:tabs>
          <w:tab w:leader="none" w:pos="642" w:val="left"/>
        </w:tabs>
        <w:numPr>
          <w:ilvl w:val="0"/>
          <w:numId w:val="6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General. </w:t>
      </w:r>
      <w:r>
        <w:rPr>
          <w:rFonts w:ascii="Times New Roman" w:cs="Times New Roman" w:eastAsia="Times New Roman" w:hAnsi="Times New Roman"/>
          <w:sz w:val="22"/>
          <w:szCs w:val="22"/>
          <w:color w:val="auto"/>
        </w:rPr>
        <w:t>The Board may delegate some or all of the administration of the Plan to a Committee or Committees. If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administration of the Plan is delegated to a Committee, the Committee will have, in connection with the administration of the Plan, the powers theretofore possessed by the Board that have been delegated to the Committee, including the power to delegate to a subcommittee of the Committee any of the administrative powers the Committee is authorized to exercise (and references in this Plan to the Board will thereafter be to the Committee or subcommittee), subject, however, to such resolutions, not inconsistent with the provisions of the Plan, as may be adopted from time to time by the Board. The Committee may, at any time, abolish the subcommittee and/or revest in the Committee any powers delegated to the subcommittee. The Board may retain the authority to concurrently administer the Plan with the Committee and may, at any time, revest in the Board some or all of the powers previously delegated.</w:t>
      </w:r>
    </w:p>
    <w:p>
      <w:pPr>
        <w:spacing w:after="0" w:line="148" w:lineRule="exact"/>
        <w:rPr>
          <w:rFonts w:ascii="Times New Roman" w:cs="Times New Roman" w:eastAsia="Times New Roman" w:hAnsi="Times New Roman"/>
          <w:sz w:val="22"/>
          <w:szCs w:val="22"/>
          <w:b w:val="1"/>
          <w:bCs w:val="1"/>
          <w:color w:val="auto"/>
        </w:rPr>
      </w:pPr>
    </w:p>
    <w:p>
      <w:pPr>
        <w:jc w:val="both"/>
        <w:ind w:firstLine="8"/>
        <w:spacing w:after="0" w:line="238" w:lineRule="auto"/>
        <w:tabs>
          <w:tab w:leader="none" w:pos="648" w:val="left"/>
        </w:tabs>
        <w:numPr>
          <w:ilvl w:val="0"/>
          <w:numId w:val="6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Rule 16b-3 Compliance. </w:t>
      </w:r>
      <w:r>
        <w:rPr>
          <w:rFonts w:ascii="Times New Roman" w:cs="Times New Roman" w:eastAsia="Times New Roman" w:hAnsi="Times New Roman"/>
          <w:sz w:val="21"/>
          <w:szCs w:val="21"/>
          <w:color w:val="auto"/>
        </w:rPr>
        <w:t>The Committee may consist solely of two or more Non-Employee Directors, in accordance with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Rule 16b-3. In addition, the Board or the Committee, in its sole discretion, may delegate to a Committee who need not be Non-Employee Directors the authority to grant Awards to eligible persons who are not then subject to Section 16 of the Exchange Act.</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3"/>
          <w:szCs w:val="13"/>
          <w:color w:val="auto"/>
        </w:rPr>
        <w:t>197532205 v11</w:t>
      </w:r>
    </w:p>
    <w:p>
      <w:pPr>
        <w:sectPr>
          <w:pgSz w:w="11900" w:h="16838" w:orient="portrait"/>
          <w:cols w:equalWidth="0" w:num="1">
            <w:col w:w="11240"/>
          </w:cols>
          <w:pgMar w:left="320" w:top="1395" w:right="339" w:bottom="1440" w:gutter="0" w:footer="0" w:header="0"/>
        </w:sectPr>
      </w:pPr>
    </w:p>
    <w:bookmarkStart w:id="84" w:name="page85"/>
    <w:bookmarkEnd w:id="84"/>
    <w:p>
      <w:pPr>
        <w:ind w:firstLine="8"/>
        <w:spacing w:after="0" w:line="238" w:lineRule="auto"/>
        <w:tabs>
          <w:tab w:leader="none" w:pos="645" w:val="left"/>
        </w:tabs>
        <w:numPr>
          <w:ilvl w:val="0"/>
          <w:numId w:val="6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Effect of Board’s Decision. </w:t>
      </w:r>
      <w:r>
        <w:rPr>
          <w:rFonts w:ascii="Times New Roman" w:cs="Times New Roman" w:eastAsia="Times New Roman" w:hAnsi="Times New Roman"/>
          <w:sz w:val="22"/>
          <w:szCs w:val="22"/>
          <w:color w:val="auto"/>
        </w:rPr>
        <w:t>All determinations, interpretations and constructions made by the Board or any Committee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good faith will not be subject to review by any person and will be final, binding and conclusive on all persons.</w:t>
      </w:r>
    </w:p>
    <w:p>
      <w:pPr>
        <w:spacing w:after="0" w:line="146" w:lineRule="exact"/>
        <w:rPr>
          <w:rFonts w:ascii="Times New Roman" w:cs="Times New Roman" w:eastAsia="Times New Roman" w:hAnsi="Times New Roman"/>
          <w:sz w:val="22"/>
          <w:szCs w:val="22"/>
          <w:b w:val="1"/>
          <w:bCs w:val="1"/>
          <w:color w:val="auto"/>
        </w:rPr>
      </w:pPr>
    </w:p>
    <w:p>
      <w:pPr>
        <w:jc w:val="both"/>
        <w:ind w:firstLine="8"/>
        <w:spacing w:after="0" w:line="210" w:lineRule="auto"/>
        <w:tabs>
          <w:tab w:leader="none" w:pos="642" w:val="left"/>
        </w:tabs>
        <w:numPr>
          <w:ilvl w:val="0"/>
          <w:numId w:val="6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Delegation to Other Person or Body</w:t>
      </w:r>
      <w:r>
        <w:rPr>
          <w:rFonts w:ascii="Times New Roman" w:cs="Times New Roman" w:eastAsia="Times New Roman" w:hAnsi="Times New Roman"/>
          <w:sz w:val="22"/>
          <w:szCs w:val="22"/>
          <w:color w:val="auto"/>
        </w:rPr>
        <w:t>. The Board may delegate to one or more persons or bodies, in addition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Board, the authority to do one or both of the following: (i) designate recipients of Options and SARs (and, to the extent permitted by Applicable Law, other Awards) and, to the extent permitted by Applicable Law, the terms of such Awards, and (ii) determine the number of shares of Common Stock to be subject to such Awards granted to such recipients;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the Board resolutions regarding such delegation will fix the terms of such delegation in accordance with Applicable Law, including, without limitation, Sections 152 and/or 157 of the Delaware General Corporation Law, and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 Board resolution may permit a person or body to grant an Award to such person or body. Any such Awards will be granted on the form of Award Agreement most recently approved for use by the Committee or the Board, unless otherwise provided in the resolutions approving the delegation authority. The Board may not delegate authority to determine the Fair Market Value to any person or body, except that the Board may delegate such authority to a Committee or Committees of the Board in accordance with Section 7(c) above.</w:t>
      </w:r>
    </w:p>
    <w:p>
      <w:pPr>
        <w:spacing w:after="0" w:line="157" w:lineRule="exact"/>
        <w:rPr>
          <w:sz w:val="20"/>
          <w:szCs w:val="20"/>
          <w:color w:val="auto"/>
        </w:rPr>
      </w:pPr>
    </w:p>
    <w:p>
      <w:pPr>
        <w:ind w:left="660" w:hanging="652"/>
        <w:spacing w:after="0"/>
        <w:tabs>
          <w:tab w:leader="none" w:pos="660" w:val="left"/>
        </w:tabs>
        <w:numPr>
          <w:ilvl w:val="0"/>
          <w:numId w:val="7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Tax Withholding</w:t>
      </w:r>
    </w:p>
    <w:p>
      <w:pPr>
        <w:spacing w:after="0" w:line="179" w:lineRule="exact"/>
        <w:rPr>
          <w:sz w:val="20"/>
          <w:szCs w:val="20"/>
          <w:color w:val="auto"/>
        </w:rPr>
      </w:pPr>
    </w:p>
    <w:p>
      <w:pPr>
        <w:jc w:val="both"/>
        <w:ind w:firstLine="8"/>
        <w:spacing w:after="0" w:line="214" w:lineRule="auto"/>
        <w:tabs>
          <w:tab w:leader="none" w:pos="642" w:val="left"/>
        </w:tabs>
        <w:numPr>
          <w:ilvl w:val="0"/>
          <w:numId w:val="7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Withholding Authorization. </w:t>
      </w:r>
      <w:r>
        <w:rPr>
          <w:rFonts w:ascii="Times New Roman" w:cs="Times New Roman" w:eastAsia="Times New Roman" w:hAnsi="Times New Roman"/>
          <w:sz w:val="22"/>
          <w:szCs w:val="22"/>
          <w:color w:val="auto"/>
        </w:rPr>
        <w:t>As a condition to acceptance of any Award under the Plan, a Participant authorizes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withholding from payroll and any other amounts payable to such Participant, and otherwise agree to make adequate provision for (including), any sums required to satisfy any U.S. federal, state, local and/or foreign tax or social insurance contribution withholding obligations of the Company or an Affiliate, if any, which arise in connection with the exercise, vesting or settlement of such Award, as applicable. Accordingly, a Participant may not be able to exercise an Award even though the Award is vested, and the Company shall have no obligation to issue shares of Common Stock subject to an Award, unless and until such obligations are satisfied.</w:t>
      </w:r>
    </w:p>
    <w:p>
      <w:pPr>
        <w:spacing w:after="0" w:line="148" w:lineRule="exact"/>
        <w:rPr>
          <w:rFonts w:ascii="Times New Roman" w:cs="Times New Roman" w:eastAsia="Times New Roman" w:hAnsi="Times New Roman"/>
          <w:sz w:val="22"/>
          <w:szCs w:val="22"/>
          <w:b w:val="1"/>
          <w:bCs w:val="1"/>
          <w:color w:val="auto"/>
        </w:rPr>
      </w:pPr>
    </w:p>
    <w:p>
      <w:pPr>
        <w:jc w:val="both"/>
        <w:ind w:firstLine="8"/>
        <w:spacing w:after="0" w:line="213" w:lineRule="auto"/>
        <w:tabs>
          <w:tab w:leader="none" w:pos="645" w:val="left"/>
        </w:tabs>
        <w:numPr>
          <w:ilvl w:val="0"/>
          <w:numId w:val="7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Satisfaction of Withholding Obligation. </w:t>
      </w:r>
      <w:r>
        <w:rPr>
          <w:rFonts w:ascii="Times New Roman" w:cs="Times New Roman" w:eastAsia="Times New Roman" w:hAnsi="Times New Roman"/>
          <w:sz w:val="22"/>
          <w:szCs w:val="22"/>
          <w:color w:val="auto"/>
        </w:rPr>
        <w:t>To the extent permitted by the terms of an Award Agreement, the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may, in its sole discretion, satisfy any U.S. federal, state, local and/or foreign tax or social insurance withholding obligation relating to an Award by any of the following means or by a combination of such means: (i) causing the Participant to tender a cash payment; (ii) withholding shares of Common Stock from the shares of Common Stock issued or otherwise issuable to the Participant in connection with the Award; (iii) withholding cash from an Award settled in cash; (iv) withholding payment from any amounts otherwise payable to the Participant; (v) by allowing a Participant to effectuate a “cashless exercise” pursuant to a program developed under Regulation T as promulgated by the Federal Reserve Board, or (vi) by such other method as may be set forth in the Award Agreement.</w:t>
      </w:r>
    </w:p>
    <w:p>
      <w:pPr>
        <w:spacing w:after="0" w:line="147" w:lineRule="exact"/>
        <w:rPr>
          <w:rFonts w:ascii="Times New Roman" w:cs="Times New Roman" w:eastAsia="Times New Roman" w:hAnsi="Times New Roman"/>
          <w:sz w:val="22"/>
          <w:szCs w:val="22"/>
          <w:b w:val="1"/>
          <w:bCs w:val="1"/>
          <w:color w:val="auto"/>
        </w:rPr>
      </w:pPr>
    </w:p>
    <w:p>
      <w:pPr>
        <w:jc w:val="both"/>
        <w:ind w:firstLine="8"/>
        <w:spacing w:after="0" w:line="212" w:lineRule="auto"/>
        <w:tabs>
          <w:tab w:leader="none" w:pos="642" w:val="left"/>
        </w:tabs>
        <w:numPr>
          <w:ilvl w:val="0"/>
          <w:numId w:val="7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No Obligation to Notify or Minimize Taxes; No Liability to Claims. </w:t>
      </w:r>
      <w:r>
        <w:rPr>
          <w:rFonts w:ascii="Times New Roman" w:cs="Times New Roman" w:eastAsia="Times New Roman" w:hAnsi="Times New Roman"/>
          <w:sz w:val="22"/>
          <w:szCs w:val="22"/>
          <w:color w:val="auto"/>
        </w:rPr>
        <w:t>Except as required by Applicable Law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has no duty or obligation to any Participant to advise such holder as to the time or manner of exercising such Award. Furthermore, the Company has no duty or obligation to warn or otherwise advise such holder of a pending termination or expiration of an Award or a possible period in which the Award may not be exercised. The Company has no duty or obligation to minimize the tax consequences of an Award to the holder of such Award and will not be liable to any holder of an Award for any adverse tax consequences to such holder in connection with an Award. As a condition to accepting an Award under the Plan, each Participant (i) agrees to not make any claim against the Company, or any of its Officers, Directors, Employees or Affiliates related to tax liabilities arising from such Award or other Company compensation and (ii) acknowledges that such Participant was advised to consult with his or her own personal tax, financial and other legal advisors regarding the tax</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3"/>
          <w:szCs w:val="13"/>
          <w:color w:val="auto"/>
        </w:rPr>
        <w:t>197532205 v11</w:t>
      </w:r>
    </w:p>
    <w:p>
      <w:pPr>
        <w:sectPr>
          <w:pgSz w:w="11900" w:h="16838" w:orient="portrait"/>
          <w:cols w:equalWidth="0" w:num="1">
            <w:col w:w="11240"/>
          </w:cols>
          <w:pgMar w:left="320" w:top="1391" w:right="339" w:bottom="1440" w:gutter="0" w:footer="0" w:header="0"/>
        </w:sectPr>
      </w:pPr>
    </w:p>
    <w:bookmarkStart w:id="85" w:name="page86"/>
    <w:bookmarkEnd w:id="85"/>
    <w:p>
      <w:pPr>
        <w:jc w:val="both"/>
        <w:spacing w:after="0" w:line="212" w:lineRule="auto"/>
        <w:rPr>
          <w:sz w:val="20"/>
          <w:szCs w:val="20"/>
          <w:color w:val="auto"/>
        </w:rPr>
      </w:pPr>
      <w:r>
        <w:rPr>
          <w:rFonts w:ascii="Times New Roman" w:cs="Times New Roman" w:eastAsia="Times New Roman" w:hAnsi="Times New Roman"/>
          <w:sz w:val="22"/>
          <w:szCs w:val="22"/>
          <w:color w:val="auto"/>
        </w:rPr>
        <w:t>consequences of the Award and has either done so or knowingly and voluntarily declined to do so. Additionally, each Participant acknowledges any Option or SAR granted under the Plan is exempt from Section 409A only if the exercise or strike price is at least equal to the “fair market value” of the Common Stock on the date of grant as determined by the Internal Revenue Service and there is no other impermissible deferral of compensation associated with the Award. Additionally, as a condition to accepting an Option or SAR granted under the Plan, each Participant agrees not make any claim against the Company, or any of its Officers, Directors, Employees or Affiliates in the event that the Internal Revenue Service asserts that such exercise price or strike price is less than the “fair market value” of the Common Stock on the date of grant as subsequently determined by the Internal Revenue Service.</w:t>
      </w:r>
    </w:p>
    <w:p>
      <w:pPr>
        <w:spacing w:after="0" w:line="152" w:lineRule="exact"/>
        <w:rPr>
          <w:sz w:val="20"/>
          <w:szCs w:val="20"/>
          <w:color w:val="auto"/>
        </w:rPr>
      </w:pPr>
    </w:p>
    <w:p>
      <w:pPr>
        <w:jc w:val="both"/>
        <w:ind w:firstLine="8"/>
        <w:spacing w:after="0" w:line="221" w:lineRule="auto"/>
        <w:tabs>
          <w:tab w:leader="none" w:pos="645" w:val="left"/>
        </w:tabs>
        <w:numPr>
          <w:ilvl w:val="0"/>
          <w:numId w:val="7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Withholding Indemnification. </w:t>
      </w:r>
      <w:r>
        <w:rPr>
          <w:rFonts w:ascii="Times New Roman" w:cs="Times New Roman" w:eastAsia="Times New Roman" w:hAnsi="Times New Roman"/>
          <w:sz w:val="22"/>
          <w:szCs w:val="22"/>
          <w:color w:val="auto"/>
        </w:rPr>
        <w:t>As a condition to accepting an Award under the Plan, in the event that the amount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Company’s and/or its Affiliate’s withholding obligation in connection with such Award was greater than the amount actually withheld by the Company and/or its Affiliates, each Participant agrees to indemnify and hold the Company and/or its Affiliates harmless from any failure by the Company and/or its Affiliates to withhold the proper amount.</w:t>
      </w:r>
    </w:p>
    <w:p>
      <w:pPr>
        <w:spacing w:after="0" w:line="148" w:lineRule="exact"/>
        <w:rPr>
          <w:sz w:val="20"/>
          <w:szCs w:val="20"/>
          <w:color w:val="auto"/>
        </w:rPr>
      </w:pPr>
    </w:p>
    <w:p>
      <w:pPr>
        <w:ind w:left="660" w:hanging="652"/>
        <w:spacing w:after="0"/>
        <w:tabs>
          <w:tab w:leader="none" w:pos="660" w:val="left"/>
        </w:tabs>
        <w:numPr>
          <w:ilvl w:val="0"/>
          <w:numId w:val="7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Miscellaneous.</w:t>
      </w:r>
    </w:p>
    <w:p>
      <w:pPr>
        <w:spacing w:after="0" w:line="179" w:lineRule="exact"/>
        <w:rPr>
          <w:sz w:val="20"/>
          <w:szCs w:val="20"/>
          <w:color w:val="auto"/>
        </w:rPr>
      </w:pPr>
    </w:p>
    <w:p>
      <w:pPr>
        <w:ind w:firstLine="8"/>
        <w:spacing w:after="0" w:line="238" w:lineRule="auto"/>
        <w:tabs>
          <w:tab w:leader="none" w:pos="642" w:val="left"/>
        </w:tabs>
        <w:numPr>
          <w:ilvl w:val="0"/>
          <w:numId w:val="7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Source of Shares. </w:t>
      </w:r>
      <w:r>
        <w:rPr>
          <w:rFonts w:ascii="Times New Roman" w:cs="Times New Roman" w:eastAsia="Times New Roman" w:hAnsi="Times New Roman"/>
          <w:sz w:val="22"/>
          <w:szCs w:val="22"/>
          <w:color w:val="auto"/>
        </w:rPr>
        <w:t>The stock issuable under the Plan will be shares of authorized but unissued or reacquired Common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 including shares repurchased by the Company on the open market or otherwise.</w:t>
      </w:r>
    </w:p>
    <w:p>
      <w:pPr>
        <w:spacing w:after="0" w:line="146" w:lineRule="exact"/>
        <w:rPr>
          <w:rFonts w:ascii="Times New Roman" w:cs="Times New Roman" w:eastAsia="Times New Roman" w:hAnsi="Times New Roman"/>
          <w:sz w:val="22"/>
          <w:szCs w:val="22"/>
          <w:b w:val="1"/>
          <w:bCs w:val="1"/>
          <w:color w:val="auto"/>
        </w:rPr>
      </w:pPr>
    </w:p>
    <w:p>
      <w:pPr>
        <w:ind w:firstLine="8"/>
        <w:spacing w:after="0" w:line="238" w:lineRule="auto"/>
        <w:tabs>
          <w:tab w:leader="none" w:pos="636" w:val="left"/>
        </w:tabs>
        <w:numPr>
          <w:ilvl w:val="0"/>
          <w:numId w:val="7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Use of Proceeds from Sales of Common Stock. </w:t>
      </w:r>
      <w:r>
        <w:rPr>
          <w:rFonts w:ascii="Times New Roman" w:cs="Times New Roman" w:eastAsia="Times New Roman" w:hAnsi="Times New Roman"/>
          <w:sz w:val="22"/>
          <w:szCs w:val="22"/>
          <w:color w:val="auto"/>
        </w:rPr>
        <w:t>Proceeds from the sale of shares of Common Stock pursuant to Awards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will constitute general funds of the Company.</w:t>
      </w:r>
    </w:p>
    <w:p>
      <w:pPr>
        <w:spacing w:after="0" w:line="146" w:lineRule="exact"/>
        <w:rPr>
          <w:rFonts w:ascii="Times New Roman" w:cs="Times New Roman" w:eastAsia="Times New Roman" w:hAnsi="Times New Roman"/>
          <w:sz w:val="22"/>
          <w:szCs w:val="22"/>
          <w:b w:val="1"/>
          <w:bCs w:val="1"/>
          <w:color w:val="auto"/>
        </w:rPr>
      </w:pPr>
    </w:p>
    <w:p>
      <w:pPr>
        <w:jc w:val="both"/>
        <w:ind w:firstLine="8"/>
        <w:spacing w:after="0" w:line="213" w:lineRule="auto"/>
        <w:tabs>
          <w:tab w:leader="none" w:pos="648" w:val="left"/>
        </w:tabs>
        <w:numPr>
          <w:ilvl w:val="0"/>
          <w:numId w:val="7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Corporate Action Constituting Grant of Awards. </w:t>
      </w:r>
      <w:r>
        <w:rPr>
          <w:rFonts w:ascii="Times New Roman" w:cs="Times New Roman" w:eastAsia="Times New Roman" w:hAnsi="Times New Roman"/>
          <w:sz w:val="22"/>
          <w:szCs w:val="22"/>
          <w:color w:val="auto"/>
        </w:rPr>
        <w:t>Corporate action constituting a grant by the Company of an Award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Participant will be deemed completed as of the date of such corporate action, unless otherwise determined by the Board, regardless of when the instrument, certificate, or letter evidencing the Award is communicated to, or actually received or accepted by, the Participant. In the event that the corporate records (e.g., Board consents, resolutions or minutes) documenting the corporate action approving the grant contain terms (e.g., exercise price, vesting schedule or number of shares) that are inconsistent with those in the Award Agreement or related grant documents as a result of a clerical error in the Award Agreement or related grant documents, the corporate records will control and the Participant will have no legally binding right to the incorrect term in the Award Agreement or related grant documents.</w:t>
      </w:r>
    </w:p>
    <w:p>
      <w:pPr>
        <w:spacing w:after="0" w:line="147" w:lineRule="exact"/>
        <w:rPr>
          <w:rFonts w:ascii="Times New Roman" w:cs="Times New Roman" w:eastAsia="Times New Roman" w:hAnsi="Times New Roman"/>
          <w:sz w:val="22"/>
          <w:szCs w:val="22"/>
          <w:b w:val="1"/>
          <w:bCs w:val="1"/>
          <w:color w:val="auto"/>
        </w:rPr>
      </w:pPr>
    </w:p>
    <w:p>
      <w:pPr>
        <w:jc w:val="both"/>
        <w:ind w:firstLine="8"/>
        <w:spacing w:after="0" w:line="221" w:lineRule="auto"/>
        <w:tabs>
          <w:tab w:leader="none" w:pos="642" w:val="left"/>
        </w:tabs>
        <w:numPr>
          <w:ilvl w:val="0"/>
          <w:numId w:val="7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Stockholder Rights. </w:t>
      </w:r>
      <w:r>
        <w:rPr>
          <w:rFonts w:ascii="Times New Roman" w:cs="Times New Roman" w:eastAsia="Times New Roman" w:hAnsi="Times New Roman"/>
          <w:sz w:val="22"/>
          <w:szCs w:val="22"/>
          <w:color w:val="auto"/>
        </w:rPr>
        <w:t>No Participant will be deemed to be the holder of, or to have any of the rights of a holder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respect to, any shares of Common Stock subject to such Award unless and until (i) such Participant has satisfied all requirements for exercise of the Award pursuant to its terms, if applicable, and (ii) the issuance of the Common Stock subject to such Award is reflected in the records of the Company.</w:t>
      </w:r>
    </w:p>
    <w:p>
      <w:pPr>
        <w:spacing w:after="0" w:line="148" w:lineRule="exact"/>
        <w:rPr>
          <w:rFonts w:ascii="Times New Roman" w:cs="Times New Roman" w:eastAsia="Times New Roman" w:hAnsi="Times New Roman"/>
          <w:sz w:val="22"/>
          <w:szCs w:val="22"/>
          <w:b w:val="1"/>
          <w:bCs w:val="1"/>
          <w:color w:val="auto"/>
        </w:rPr>
      </w:pPr>
    </w:p>
    <w:p>
      <w:pPr>
        <w:jc w:val="both"/>
        <w:ind w:firstLine="8"/>
        <w:spacing w:after="0" w:line="213" w:lineRule="auto"/>
        <w:tabs>
          <w:tab w:leader="none" w:pos="636" w:val="left"/>
        </w:tabs>
        <w:numPr>
          <w:ilvl w:val="0"/>
          <w:numId w:val="7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No Employment or Other Service Rights. </w:t>
      </w:r>
      <w:r>
        <w:rPr>
          <w:rFonts w:ascii="Times New Roman" w:cs="Times New Roman" w:eastAsia="Times New Roman" w:hAnsi="Times New Roman"/>
          <w:sz w:val="22"/>
          <w:szCs w:val="22"/>
          <w:color w:val="auto"/>
        </w:rPr>
        <w:t>Nothing in the Plan, any Award Agreement or any other instrument executed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thereunder or in connection with any Award granted pursuant thereto will confer upon any Participant any right to continue to serve the Company or an Affiliate in the capacity in effect at the time the Award was granted or affect the right of the Company or an Affiliate to terminate at will and without regard to any future vesting opportunity that a Participant may have with respect to any Award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state or foreign jurisdiction in which the Company or the Affiliate is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3"/>
          <w:szCs w:val="13"/>
          <w:color w:val="auto"/>
        </w:rPr>
        <w:t>197532205 v11</w:t>
      </w:r>
    </w:p>
    <w:p>
      <w:pPr>
        <w:sectPr>
          <w:pgSz w:w="11900" w:h="16838" w:orient="portrait"/>
          <w:cols w:equalWidth="0" w:num="1">
            <w:col w:w="11240"/>
          </w:cols>
          <w:pgMar w:left="320" w:top="1395" w:right="339" w:bottom="1440" w:gutter="0" w:footer="0" w:header="0"/>
        </w:sectPr>
      </w:pPr>
    </w:p>
    <w:bookmarkStart w:id="86" w:name="page87"/>
    <w:bookmarkEnd w:id="86"/>
    <w:p>
      <w:pPr>
        <w:jc w:val="both"/>
        <w:spacing w:after="0" w:line="217" w:lineRule="auto"/>
        <w:rPr>
          <w:sz w:val="20"/>
          <w:szCs w:val="20"/>
          <w:color w:val="auto"/>
        </w:rPr>
      </w:pPr>
      <w:r>
        <w:rPr>
          <w:rFonts w:ascii="Times New Roman" w:cs="Times New Roman" w:eastAsia="Times New Roman" w:hAnsi="Times New Roman"/>
          <w:sz w:val="22"/>
          <w:szCs w:val="22"/>
          <w:color w:val="auto"/>
        </w:rPr>
        <w:t>incorporated, as the case may be. Further, nothing in the Plan, any Award Agreement or any other instrument executed thereunder or in connection with any Award will constitute any promise or commitment by the Company or an Affiliate regarding the fact or nature of future positions, future work assignments, future compensation or any other term or condition of employment or service or confer any right or benefit under the Award or the Plan unless such right or benefit has specifically accrued under the terms of the Award Agreement and/or Plan.</w:t>
      </w:r>
    </w:p>
    <w:p>
      <w:pPr>
        <w:spacing w:after="0" w:line="148" w:lineRule="exact"/>
        <w:rPr>
          <w:sz w:val="20"/>
          <w:szCs w:val="20"/>
          <w:color w:val="auto"/>
        </w:rPr>
      </w:pPr>
    </w:p>
    <w:p>
      <w:pPr>
        <w:jc w:val="both"/>
        <w:ind w:firstLine="8"/>
        <w:spacing w:after="0" w:line="223" w:lineRule="auto"/>
        <w:tabs>
          <w:tab w:leader="none" w:pos="648" w:val="left"/>
        </w:tabs>
        <w:numPr>
          <w:ilvl w:val="0"/>
          <w:numId w:val="7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Change in Time Commitment</w:t>
      </w:r>
      <w:r>
        <w:rPr>
          <w:rFonts w:ascii="Times New Roman" w:cs="Times New Roman" w:eastAsia="Times New Roman" w:hAnsi="Times New Roman"/>
          <w:sz w:val="21"/>
          <w:szCs w:val="21"/>
          <w:color w:val="auto"/>
        </w:rPr>
        <w:t>. In the event a Participant’s regular level of time commitment in the performance of his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her services for the Company and any Affiliates is reduced (for example, and without limitation, if the Participant is an Employee of the Company and the Employee has a change in status from a full-time Employee to a part-time Employee or takes an extended leave of absence) after the date of grant of any Award to the Participant, the Board may determine, to the extent permitted by Applicable Law, to (i) make a corresponding reduction in the number of shares or cash amount subject to any portion of such Award that is scheduled to vest or become payable after the date of such change in time commitment, and (ii) in lieu of or in combination with such a reduction, extend the vesting or payment schedule applicable to such Award. In the event of any such reduction, the Participant will have no right with respect to any portion of the Award that is so reduced or extended.</w:t>
      </w:r>
    </w:p>
    <w:p>
      <w:pPr>
        <w:spacing w:after="0" w:line="148" w:lineRule="exact"/>
        <w:rPr>
          <w:rFonts w:ascii="Times New Roman" w:cs="Times New Roman" w:eastAsia="Times New Roman" w:hAnsi="Times New Roman"/>
          <w:sz w:val="21"/>
          <w:szCs w:val="21"/>
          <w:b w:val="1"/>
          <w:bCs w:val="1"/>
          <w:color w:val="auto"/>
        </w:rPr>
      </w:pPr>
    </w:p>
    <w:p>
      <w:pPr>
        <w:jc w:val="both"/>
        <w:ind w:firstLine="8"/>
        <w:spacing w:after="0" w:line="221" w:lineRule="auto"/>
        <w:tabs>
          <w:tab w:leader="none" w:pos="642" w:val="left"/>
        </w:tabs>
        <w:numPr>
          <w:ilvl w:val="0"/>
          <w:numId w:val="7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Execution of Additional Documents. </w:t>
      </w:r>
      <w:r>
        <w:rPr>
          <w:rFonts w:ascii="Times New Roman" w:cs="Times New Roman" w:eastAsia="Times New Roman" w:hAnsi="Times New Roman"/>
          <w:sz w:val="22"/>
          <w:szCs w:val="22"/>
          <w:color w:val="auto"/>
        </w:rPr>
        <w:t>As a condition to accepting an Award under the Plan, the Participant agrees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execute any additional documents or instruments necessary or desirable, as determined in the Plan Administrator’s sole discretion, to carry out the purposes or intent of the Award, or facilitate compliance with securities and/or other regulatory requirements, in each case at the Plan Administrator’s request.</w:t>
      </w:r>
    </w:p>
    <w:p>
      <w:pPr>
        <w:spacing w:after="0" w:line="148" w:lineRule="exact"/>
        <w:rPr>
          <w:rFonts w:ascii="Times New Roman" w:cs="Times New Roman" w:eastAsia="Times New Roman" w:hAnsi="Times New Roman"/>
          <w:sz w:val="22"/>
          <w:szCs w:val="22"/>
          <w:b w:val="1"/>
          <w:bCs w:val="1"/>
          <w:color w:val="auto"/>
        </w:rPr>
      </w:pPr>
    </w:p>
    <w:p>
      <w:pPr>
        <w:jc w:val="both"/>
        <w:ind w:firstLine="8"/>
        <w:spacing w:after="0" w:line="214" w:lineRule="auto"/>
        <w:tabs>
          <w:tab w:leader="none" w:pos="643" w:val="left"/>
        </w:tabs>
        <w:numPr>
          <w:ilvl w:val="0"/>
          <w:numId w:val="7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Electronic Delivery and Participation</w:t>
      </w:r>
      <w:r>
        <w:rPr>
          <w:rFonts w:ascii="Times New Roman" w:cs="Times New Roman" w:eastAsia="Times New Roman" w:hAnsi="Times New Roman"/>
          <w:sz w:val="22"/>
          <w:szCs w:val="22"/>
          <w:color w:val="auto"/>
        </w:rPr>
        <w:t>. Any reference herein or in an Award Agreement to a “written” agreement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document will include any agreement or document delivered electronically, filed publicly at www.sec.gov (or any successor website thereto) or posted on the Company’s intranet (or other shared electronic medium controlled by the Company to which the Participant has access). By accepting any Award the Participant consents to receive documents by electronic delivery and to participate in the Plan through any on-line electronic system established and maintained by the Plan Administrator or another third party selected by the Plan Administrator. The form of delivery of any Common Stock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a stock certificate or electronic entry evidencing such shares) shall be determined by the Company.</w:t>
      </w:r>
    </w:p>
    <w:p>
      <w:pPr>
        <w:spacing w:after="0" w:line="149" w:lineRule="exact"/>
        <w:rPr>
          <w:sz w:val="20"/>
          <w:szCs w:val="20"/>
          <w:color w:val="auto"/>
        </w:rPr>
      </w:pPr>
    </w:p>
    <w:p>
      <w:pPr>
        <w:jc w:val="both"/>
        <w:ind w:firstLine="8"/>
        <w:spacing w:after="0" w:line="211" w:lineRule="auto"/>
        <w:tabs>
          <w:tab w:leader="none" w:pos="643" w:val="left"/>
        </w:tabs>
        <w:numPr>
          <w:ilvl w:val="0"/>
          <w:numId w:val="7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Clawback/Recovery</w:t>
      </w:r>
      <w:r>
        <w:rPr>
          <w:rFonts w:ascii="Times New Roman" w:cs="Times New Roman" w:eastAsia="Times New Roman" w:hAnsi="Times New Roman"/>
          <w:sz w:val="22"/>
          <w:szCs w:val="22"/>
          <w:color w:val="auto"/>
        </w:rPr>
        <w:t>. All Awards granted under the Plan will be subject to recoupment in accordance with any clawback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 and any clawback policy that the Company otherwise adopts, to the extent applicable and permissible under Applicable Law. In addition, the Board may impose such other clawback, recovery or recoupment provisions in an Award Agreement as the Board determines necessary or appropriate, including but not limited to a reacquisition right in respect of previously acquired shares of Common Stock or other cash or property upon the occurrence of Cause. No recovery of compensation under such a clawback policy will be an event giving rise to a Participant’s right to voluntary terminate employment upon a “resignation for good reason,” or for a “constructive termination” or any similar term under any plan of or agreement with the Company.</w:t>
      </w:r>
    </w:p>
    <w:p>
      <w:pPr>
        <w:spacing w:after="0" w:line="152" w:lineRule="exact"/>
        <w:rPr>
          <w:sz w:val="20"/>
          <w:szCs w:val="20"/>
          <w:color w:val="auto"/>
        </w:rPr>
      </w:pPr>
    </w:p>
    <w:p>
      <w:pPr>
        <w:jc w:val="both"/>
        <w:ind w:firstLine="8"/>
        <w:spacing w:after="0" w:line="238" w:lineRule="auto"/>
        <w:tabs>
          <w:tab w:leader="none" w:pos="648" w:val="left"/>
        </w:tabs>
        <w:numPr>
          <w:ilvl w:val="0"/>
          <w:numId w:val="7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Securities Law Compliance. </w:t>
      </w:r>
      <w:r>
        <w:rPr>
          <w:rFonts w:ascii="Times New Roman" w:cs="Times New Roman" w:eastAsia="Times New Roman" w:hAnsi="Times New Roman"/>
          <w:sz w:val="21"/>
          <w:szCs w:val="21"/>
          <w:color w:val="auto"/>
        </w:rPr>
        <w:t>A Participant will not be issued any shares in respect of an Award unless either (i)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shares are registered under the Securities Act; or (ii) the Company has determined that such issuance would be exempt from the registration requirements of the Securities Act. Each Award also must comply with other Applicable Law governing the Award,</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3"/>
          <w:szCs w:val="13"/>
          <w:color w:val="auto"/>
        </w:rPr>
        <w:t>197532205 v11</w:t>
      </w:r>
    </w:p>
    <w:p>
      <w:pPr>
        <w:sectPr>
          <w:pgSz w:w="11900" w:h="16838" w:orient="portrait"/>
          <w:cols w:equalWidth="0" w:num="1">
            <w:col w:w="11240"/>
          </w:cols>
          <w:pgMar w:left="320" w:top="1395" w:right="339" w:bottom="1440" w:gutter="0" w:footer="0" w:header="0"/>
        </w:sectPr>
      </w:pPr>
    </w:p>
    <w:bookmarkStart w:id="87" w:name="page88"/>
    <w:bookmarkEnd w:id="87"/>
    <w:p>
      <w:pPr>
        <w:ind w:right="20"/>
        <w:spacing w:after="0" w:line="236" w:lineRule="auto"/>
        <w:rPr>
          <w:sz w:val="20"/>
          <w:szCs w:val="20"/>
          <w:color w:val="auto"/>
        </w:rPr>
      </w:pPr>
      <w:r>
        <w:rPr>
          <w:rFonts w:ascii="Times New Roman" w:cs="Times New Roman" w:eastAsia="Times New Roman" w:hAnsi="Times New Roman"/>
          <w:sz w:val="22"/>
          <w:szCs w:val="22"/>
          <w:color w:val="auto"/>
        </w:rPr>
        <w:t>and a Participant will not receive such shares if the Company determines that such receipt would not be in material compliance with Applicable Law.</w:t>
      </w:r>
    </w:p>
    <w:p>
      <w:pPr>
        <w:spacing w:after="0" w:line="146" w:lineRule="exact"/>
        <w:rPr>
          <w:sz w:val="20"/>
          <w:szCs w:val="20"/>
          <w:color w:val="auto"/>
        </w:rPr>
      </w:pPr>
    </w:p>
    <w:p>
      <w:pPr>
        <w:jc w:val="both"/>
        <w:ind w:firstLine="8"/>
        <w:spacing w:after="0" w:line="228" w:lineRule="auto"/>
        <w:tabs>
          <w:tab w:leader="none" w:pos="643" w:val="left"/>
        </w:tabs>
        <w:numPr>
          <w:ilvl w:val="0"/>
          <w:numId w:val="7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Transfer or Assignment of Awards; Issued Shares. </w:t>
      </w:r>
      <w:r>
        <w:rPr>
          <w:rFonts w:ascii="Times New Roman" w:cs="Times New Roman" w:eastAsia="Times New Roman" w:hAnsi="Times New Roman"/>
          <w:sz w:val="21"/>
          <w:szCs w:val="21"/>
          <w:color w:val="auto"/>
        </w:rPr>
        <w:t>Except as expressly provided in the Plan or the form of Award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Awards granted under the Plan may not be transferred or assigned by the Participant. After the vested shares subject to an Award have been issued, or in the case of Restricted Stock and similar awards, after the issued shares have vested, the holder of such shares is free to assign, hypothecate, donate, encumber or otherwise dispose of any interest in such shares provided that any such actions are in compliance with the provisions herein, the terms of the Trading Policy and Applicable Law.</w:t>
      </w:r>
    </w:p>
    <w:p>
      <w:pPr>
        <w:spacing w:after="0" w:line="148" w:lineRule="exact"/>
        <w:rPr>
          <w:rFonts w:ascii="Times New Roman" w:cs="Times New Roman" w:eastAsia="Times New Roman" w:hAnsi="Times New Roman"/>
          <w:sz w:val="21"/>
          <w:szCs w:val="21"/>
          <w:b w:val="1"/>
          <w:bCs w:val="1"/>
          <w:color w:val="auto"/>
        </w:rPr>
      </w:pPr>
    </w:p>
    <w:p>
      <w:pPr>
        <w:jc w:val="both"/>
        <w:ind w:firstLine="8"/>
        <w:spacing w:after="0" w:line="218" w:lineRule="auto"/>
        <w:tabs>
          <w:tab w:leader="none" w:pos="642" w:val="left"/>
        </w:tabs>
        <w:numPr>
          <w:ilvl w:val="0"/>
          <w:numId w:val="7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Effect on Other Employee Benefit Plans. </w:t>
      </w:r>
      <w:r>
        <w:rPr>
          <w:rFonts w:ascii="Times New Roman" w:cs="Times New Roman" w:eastAsia="Times New Roman" w:hAnsi="Times New Roman"/>
          <w:sz w:val="22"/>
          <w:szCs w:val="22"/>
          <w:color w:val="auto"/>
        </w:rPr>
        <w:t>The value of any Award granted under the Plan, as determined upon grant,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vesting or settlement, shall not be included as compensation, earnings, salaries, or other similar terms used when calculating any Participant’s benefits under any employee benefit plan sponsored by the Company or any Affiliate, except as such plan otherwise expressly provides. The Company expressly reserves its rights to amend, modify, or terminate any of the Company's or any Affiliate's employee benefit plans.</w:t>
      </w:r>
    </w:p>
    <w:p>
      <w:pPr>
        <w:spacing w:after="0" w:line="147" w:lineRule="exact"/>
        <w:rPr>
          <w:rFonts w:ascii="Times New Roman" w:cs="Times New Roman" w:eastAsia="Times New Roman" w:hAnsi="Times New Roman"/>
          <w:sz w:val="22"/>
          <w:szCs w:val="22"/>
          <w:b w:val="1"/>
          <w:bCs w:val="1"/>
          <w:color w:val="auto"/>
        </w:rPr>
      </w:pPr>
    </w:p>
    <w:p>
      <w:pPr>
        <w:jc w:val="both"/>
        <w:ind w:firstLine="8"/>
        <w:spacing w:after="0" w:line="221" w:lineRule="auto"/>
        <w:tabs>
          <w:tab w:leader="none" w:pos="636" w:val="left"/>
        </w:tabs>
        <w:numPr>
          <w:ilvl w:val="0"/>
          <w:numId w:val="7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Deferrals. </w:t>
      </w:r>
      <w:r>
        <w:rPr>
          <w:rFonts w:ascii="Times New Roman" w:cs="Times New Roman" w:eastAsia="Times New Roman" w:hAnsi="Times New Roman"/>
          <w:sz w:val="22"/>
          <w:szCs w:val="22"/>
          <w:color w:val="auto"/>
        </w:rPr>
        <w:t>To the extent permitted by Applicable Law, the Board, in its sole discretion, may determine that the delivery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Common Stock or the payment of cash, upon the exercise, vesting or settlement of all or a portion of any Award may be deferred and may also establish programs and procedures for deferral elections to be made by Participants. Deferrals will be made in accordance with the requirements of Section 409A.</w:t>
      </w:r>
    </w:p>
    <w:p>
      <w:pPr>
        <w:spacing w:after="0" w:line="148" w:lineRule="exact"/>
        <w:rPr>
          <w:rFonts w:ascii="Times New Roman" w:cs="Times New Roman" w:eastAsia="Times New Roman" w:hAnsi="Times New Roman"/>
          <w:sz w:val="22"/>
          <w:szCs w:val="22"/>
          <w:b w:val="1"/>
          <w:bCs w:val="1"/>
          <w:color w:val="auto"/>
        </w:rPr>
      </w:pPr>
    </w:p>
    <w:p>
      <w:pPr>
        <w:jc w:val="both"/>
        <w:ind w:firstLine="8"/>
        <w:spacing w:after="0" w:line="219" w:lineRule="auto"/>
        <w:tabs>
          <w:tab w:leader="none" w:pos="648" w:val="left"/>
        </w:tabs>
        <w:numPr>
          <w:ilvl w:val="0"/>
          <w:numId w:val="7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Section 409A. </w:t>
      </w:r>
      <w:r>
        <w:rPr>
          <w:rFonts w:ascii="Times New Roman" w:cs="Times New Roman" w:eastAsia="Times New Roman" w:hAnsi="Times New Roman"/>
          <w:sz w:val="21"/>
          <w:szCs w:val="21"/>
          <w:color w:val="auto"/>
        </w:rPr>
        <w:t>Unless otherwise expressly provided for in an Award Agreement, the Plan and Award Agreements will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interpreted to the greatest extent possible in a manner that makes the Plan and the Awards granted hereunder exempt from Section 409A, and, to the extent not so exempt, in compliance with the requirements of Section 409A. If the Board determines that any Award granted hereunder is not exempt from and is therefore subject to Section 409A, the Award Agreement evidencing such Award will incorporate the terms and conditions necessary to avoid the consequences specified in Section 409A(a)(1) of the Code, and to the extent an Award Agreement is silent on terms necessary for compliance, such terms are hereby incorporated by reference into the Award Agreement. Notwithstanding anything to the contrary in this Plan (and unless the Award Agreement specifically provides otherwise), if the shares of Common Stock are publicly traded, and if a Participant holding an Award that constitutes “deferred compensation” under Section 409A is a “specified employee” for purposes of Section 409A, no distribution or payment of any amount that is due because of a “separation from service” (as defined in Section 409A without regard to alternative definitions thereunder) will be issued or paid before the date that is six months and one day following the date of such Participant’s “separation from service” or, if earlier, the date of the Participant’s death, unless such distribution or payment can be made in a manner that complies with Section 409A, and any amounts so deferred will be paid in a lump sum on the day after such six month period elapses, with the balance paid thereafter on the original schedule.</w:t>
      </w:r>
    </w:p>
    <w:p>
      <w:pPr>
        <w:spacing w:after="0" w:line="155" w:lineRule="exact"/>
        <w:rPr>
          <w:rFonts w:ascii="Times New Roman" w:cs="Times New Roman" w:eastAsia="Times New Roman" w:hAnsi="Times New Roman"/>
          <w:sz w:val="21"/>
          <w:szCs w:val="21"/>
          <w:b w:val="1"/>
          <w:bCs w:val="1"/>
          <w:color w:val="auto"/>
        </w:rPr>
      </w:pPr>
    </w:p>
    <w:p>
      <w:pPr>
        <w:jc w:val="both"/>
        <w:ind w:firstLine="8"/>
        <w:spacing w:after="0" w:line="227" w:lineRule="auto"/>
        <w:tabs>
          <w:tab w:leader="none" w:pos="642" w:val="left"/>
        </w:tabs>
        <w:numPr>
          <w:ilvl w:val="0"/>
          <w:numId w:val="7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Choice of Law. </w:t>
      </w:r>
      <w:r>
        <w:rPr>
          <w:rFonts w:ascii="Times New Roman" w:cs="Times New Roman" w:eastAsia="Times New Roman" w:hAnsi="Times New Roman"/>
          <w:sz w:val="22"/>
          <w:szCs w:val="22"/>
          <w:color w:val="auto"/>
        </w:rPr>
        <w:t>This Plan and any controversy arising out of or relating to this Plan shall be governed by, and construed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accordance with, the internal laws of the State of California, without regard to conflict of law principles that would result in any application of any law other than the law of the State of California.</w:t>
      </w:r>
    </w:p>
    <w:p>
      <w:pPr>
        <w:spacing w:after="0" w:line="146" w:lineRule="exact"/>
        <w:rPr>
          <w:sz w:val="20"/>
          <w:szCs w:val="20"/>
          <w:color w:val="auto"/>
        </w:rPr>
      </w:pPr>
    </w:p>
    <w:p>
      <w:pPr>
        <w:ind w:left="660" w:hanging="652"/>
        <w:spacing w:after="0"/>
        <w:tabs>
          <w:tab w:leader="none" w:pos="660" w:val="left"/>
        </w:tabs>
        <w:numPr>
          <w:ilvl w:val="0"/>
          <w:numId w:val="7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Covenants of the Company.</w:t>
      </w:r>
    </w:p>
    <w:p>
      <w:pPr>
        <w:spacing w:after="0" w:line="179" w:lineRule="exact"/>
        <w:rPr>
          <w:sz w:val="20"/>
          <w:szCs w:val="20"/>
          <w:color w:val="auto"/>
        </w:rPr>
      </w:pPr>
    </w:p>
    <w:p>
      <w:pPr>
        <w:jc w:val="both"/>
        <w:ind w:firstLine="8"/>
        <w:spacing w:after="0" w:line="227" w:lineRule="auto"/>
        <w:tabs>
          <w:tab w:leader="none" w:pos="642" w:val="left"/>
        </w:tabs>
        <w:numPr>
          <w:ilvl w:val="0"/>
          <w:numId w:val="8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Compliance with Law. </w:t>
      </w:r>
      <w:r>
        <w:rPr>
          <w:rFonts w:ascii="Times New Roman" w:cs="Times New Roman" w:eastAsia="Times New Roman" w:hAnsi="Times New Roman"/>
          <w:sz w:val="22"/>
          <w:szCs w:val="22"/>
          <w:color w:val="auto"/>
        </w:rPr>
        <w:t>The Company will seek to obtain from each regulatory commission or agency, as may be deemed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be necessary, having jurisdiction over the Plan such authority as may be required to grant Awards and to issue and sell shares of Common Stock upon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3"/>
          <w:szCs w:val="13"/>
          <w:color w:val="auto"/>
        </w:rPr>
        <w:t>197532205 v11</w:t>
      </w:r>
    </w:p>
    <w:p>
      <w:pPr>
        <w:sectPr>
          <w:pgSz w:w="11900" w:h="16838" w:orient="portrait"/>
          <w:cols w:equalWidth="0" w:num="1">
            <w:col w:w="11240"/>
          </w:cols>
          <w:pgMar w:left="320" w:top="1395" w:right="339" w:bottom="1440" w:gutter="0" w:footer="0" w:header="0"/>
        </w:sectPr>
      </w:pPr>
    </w:p>
    <w:bookmarkStart w:id="88" w:name="page89"/>
    <w:bookmarkEnd w:id="88"/>
    <w:p>
      <w:pPr>
        <w:jc w:val="both"/>
        <w:spacing w:after="0" w:line="214" w:lineRule="auto"/>
        <w:rPr>
          <w:sz w:val="20"/>
          <w:szCs w:val="20"/>
          <w:color w:val="auto"/>
        </w:rPr>
      </w:pPr>
      <w:r>
        <w:rPr>
          <w:rFonts w:ascii="Times New Roman" w:cs="Times New Roman" w:eastAsia="Times New Roman" w:hAnsi="Times New Roman"/>
          <w:sz w:val="22"/>
          <w:szCs w:val="22"/>
          <w:color w:val="auto"/>
        </w:rPr>
        <w:t xml:space="preserve">exercise or vesting of the Awards;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this undertaking will not require the Company to register under the Securities Act the Plan, any Award or any Common Stock issued or issuable pursuant to any such Award. If, after reasonable efforts and at a reasonable cost, the Company is unable to obtain from any such regulatory commission or agency the authority that counsel for the Company deems necessary or advisable for the lawful issuance and sale of Common Stock under the Plan, the Company will be relieved from any liability for failure to issue and sell Common Stock upon exercise or vesting of such Awards unless and until such authority is obtained. A Participant is not eligible for the grant of an Award or the subsequent issuance of Common Stock pursuant to the Award if such grant or issuance would be in violation of any Applicable Law.</w:t>
      </w:r>
    </w:p>
    <w:p>
      <w:pPr>
        <w:spacing w:after="0" w:line="149" w:lineRule="exact"/>
        <w:rPr>
          <w:sz w:val="20"/>
          <w:szCs w:val="20"/>
          <w:color w:val="auto"/>
        </w:rPr>
      </w:pPr>
    </w:p>
    <w:p>
      <w:pPr>
        <w:ind w:left="640" w:hanging="632"/>
        <w:spacing w:after="0"/>
        <w:tabs>
          <w:tab w:leader="none" w:pos="640" w:val="left"/>
        </w:tabs>
        <w:numPr>
          <w:ilvl w:val="0"/>
          <w:numId w:val="8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Additional Rules for Awards Subject to Section 409A.</w:t>
      </w:r>
    </w:p>
    <w:p>
      <w:pPr>
        <w:spacing w:after="0" w:line="179" w:lineRule="exact"/>
        <w:rPr>
          <w:sz w:val="20"/>
          <w:szCs w:val="20"/>
          <w:color w:val="auto"/>
        </w:rPr>
      </w:pPr>
    </w:p>
    <w:p>
      <w:pPr>
        <w:jc w:val="both"/>
        <w:ind w:firstLine="8"/>
        <w:spacing w:after="0" w:line="227" w:lineRule="auto"/>
        <w:tabs>
          <w:tab w:leader="none" w:pos="636" w:val="left"/>
        </w:tabs>
        <w:numPr>
          <w:ilvl w:val="0"/>
          <w:numId w:val="8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Application. </w:t>
      </w:r>
      <w:r>
        <w:rPr>
          <w:rFonts w:ascii="Times New Roman" w:cs="Times New Roman" w:eastAsia="Times New Roman" w:hAnsi="Times New Roman"/>
          <w:sz w:val="22"/>
          <w:szCs w:val="22"/>
          <w:color w:val="auto"/>
        </w:rPr>
        <w:t>Unless the provisions of this Section of the Plan are expressly superseded by the provisions in the form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Award Agreement, the provisions of this Section shall apply and shall supersede anything to the contrary set forth in the Award Agreement for a Non-Exempt Award.</w:t>
      </w:r>
    </w:p>
    <w:p>
      <w:pPr>
        <w:spacing w:after="0" w:line="146" w:lineRule="exact"/>
        <w:rPr>
          <w:rFonts w:ascii="Times New Roman" w:cs="Times New Roman" w:eastAsia="Times New Roman" w:hAnsi="Times New Roman"/>
          <w:sz w:val="22"/>
          <w:szCs w:val="22"/>
          <w:b w:val="1"/>
          <w:bCs w:val="1"/>
          <w:color w:val="auto"/>
        </w:rPr>
      </w:pPr>
    </w:p>
    <w:p>
      <w:pPr>
        <w:jc w:val="both"/>
        <w:ind w:firstLine="8"/>
        <w:spacing w:after="0" w:line="227" w:lineRule="auto"/>
        <w:tabs>
          <w:tab w:leader="none" w:pos="648" w:val="left"/>
        </w:tabs>
        <w:numPr>
          <w:ilvl w:val="0"/>
          <w:numId w:val="8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Non-Exempt Awards Subject to Non-Exempt Severance Arrangements. </w:t>
      </w:r>
      <w:r>
        <w:rPr>
          <w:rFonts w:ascii="Times New Roman" w:cs="Times New Roman" w:eastAsia="Times New Roman" w:hAnsi="Times New Roman"/>
          <w:sz w:val="22"/>
          <w:szCs w:val="22"/>
          <w:color w:val="auto"/>
        </w:rPr>
        <w:t>To the extent a Non-Exempt Award is subject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Section 409A due to application of a Non-Exempt Severance Arrangement, the following provisions of this subsection (b) apply.</w:t>
      </w:r>
    </w:p>
    <w:p>
      <w:pPr>
        <w:spacing w:after="0" w:line="150" w:lineRule="exact"/>
        <w:rPr>
          <w:sz w:val="20"/>
          <w:szCs w:val="20"/>
          <w:color w:val="auto"/>
        </w:rPr>
      </w:pPr>
    </w:p>
    <w:p>
      <w:pPr>
        <w:jc w:val="both"/>
        <w:ind w:firstLine="8"/>
        <w:spacing w:after="0" w:line="234" w:lineRule="auto"/>
        <w:tabs>
          <w:tab w:leader="none" w:pos="636" w:val="left"/>
        </w:tabs>
        <w:numPr>
          <w:ilvl w:val="0"/>
          <w:numId w:val="8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If the Non-Exempt Award vests in the ordinary course during the Participant’s Continuous Service in accordance with the vesting schedule set forth in the Award Agreement, and does not accelerate vesting under the terms of a Non-Exempt Severance Arrangement, in no event will the shares be issued in respect of such Non-Exempt Award any later than the later of: (i) December 31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21"/>
          <w:szCs w:val="21"/>
          <w:color w:val="auto"/>
        </w:rPr>
        <w:t xml:space="preserve"> of the calendar year that includes the applicable vesting date, or (ii) the 60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day that follows the applicable vesting date.</w:t>
      </w:r>
    </w:p>
    <w:p>
      <w:pPr>
        <w:spacing w:after="0" w:line="70" w:lineRule="exact"/>
        <w:rPr>
          <w:rFonts w:ascii="Times New Roman" w:cs="Times New Roman" w:eastAsia="Times New Roman" w:hAnsi="Times New Roman"/>
          <w:sz w:val="21"/>
          <w:szCs w:val="21"/>
          <w:b w:val="1"/>
          <w:bCs w:val="1"/>
          <w:color w:val="auto"/>
        </w:rPr>
      </w:pPr>
    </w:p>
    <w:p>
      <w:pPr>
        <w:jc w:val="both"/>
        <w:ind w:firstLine="8"/>
        <w:spacing w:after="0" w:line="209" w:lineRule="auto"/>
        <w:tabs>
          <w:tab w:leader="none" w:pos="642" w:val="left"/>
        </w:tabs>
        <w:numPr>
          <w:ilvl w:val="0"/>
          <w:numId w:val="8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If vesting of the Non-Exempt Award accelerates under the terms of a Non-Exempt Severance Arrangement in connection with the Participant’s Separation from Service, and such vesting acceleration provisions were in effect as of the date of grant of the Non-Exempt Award and, therefore, are part of the terms of such Non-Exempt Award as of the date of grant, then the shares will be earlier issued in settlement of such Non-Exempt Award upon the Participant’s Separation from Service in accordance with the terms of the Non-Exempt Severance Arrangement, but in no event later than the 60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day that follows the date of the Participant’s Separation from Service. However, if at the time the shares would otherwise be issued the Participant is subject to the distribution limitations contained in Section 409A applicable to “specified employees,” as defined in Section 409A(a)(2)(B)</w:t>
      </w:r>
    </w:p>
    <w:p>
      <w:pPr>
        <w:spacing w:after="0" w:line="3" w:lineRule="exact"/>
        <w:rPr>
          <w:rFonts w:ascii="Times New Roman" w:cs="Times New Roman" w:eastAsia="Times New Roman" w:hAnsi="Times New Roman"/>
          <w:sz w:val="21"/>
          <w:szCs w:val="21"/>
          <w:b w:val="1"/>
          <w:bCs w:val="1"/>
          <w:color w:val="auto"/>
        </w:rPr>
      </w:pPr>
    </w:p>
    <w:p>
      <w:pPr>
        <w:ind w:firstLine="8"/>
        <w:spacing w:after="0" w:line="225" w:lineRule="auto"/>
        <w:tabs>
          <w:tab w:leader="none" w:pos="297"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Code, such shares shall not be issued before the date that is six months following the date of such Participant’s Separation from Service, or, if earlier, the date of the Participant’s death that occurs within such six month period.</w:t>
      </w:r>
    </w:p>
    <w:p>
      <w:pPr>
        <w:spacing w:after="0" w:line="149" w:lineRule="exact"/>
        <w:rPr>
          <w:rFonts w:ascii="Times New Roman" w:cs="Times New Roman" w:eastAsia="Times New Roman" w:hAnsi="Times New Roman"/>
          <w:sz w:val="22"/>
          <w:szCs w:val="22"/>
          <w:color w:val="auto"/>
        </w:rPr>
      </w:pPr>
    </w:p>
    <w:p>
      <w:pPr>
        <w:jc w:val="both"/>
        <w:ind w:firstLine="8"/>
        <w:spacing w:after="0" w:line="212" w:lineRule="auto"/>
        <w:tabs>
          <w:tab w:leader="none" w:pos="648" w:val="left"/>
        </w:tabs>
        <w:numPr>
          <w:ilvl w:val="0"/>
          <w:numId w:val="8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vesting of a Non-Exempt Award accelerates under the terms of a Non-Exempt Severance Arrangement in connection with a Participant’s Separation from Service, and such vesting acceleration provisions were not in effect as of the date of grant of the Non-Exempt Award and, therefore, are not a part of the terms of such Non-Exempt Award on the date of grant, then such acceleration of vesting of the Non-Exempt Award shall not accelerate the issuance date of the shares, but the shares shall instead be issued on the same schedule as set forth in the Grant Notice as if they had vested in the ordinary course during the Participant’s Continuous Service, notwithstanding the vesting acceleration of the Non-Exempt Award. Such issuance schedule is intended to satisfy the requirements of payment on a specified date or pursuant to a fixed schedule, as provided under Treasury Regulations Section 1.409A-3(a)(4).</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3"/>
          <w:szCs w:val="13"/>
          <w:color w:val="auto"/>
        </w:rPr>
        <w:t>197532205 v11</w:t>
      </w:r>
    </w:p>
    <w:p>
      <w:pPr>
        <w:sectPr>
          <w:pgSz w:w="11900" w:h="16838" w:orient="portrait"/>
          <w:cols w:equalWidth="0" w:num="1">
            <w:col w:w="11240"/>
          </w:cols>
          <w:pgMar w:left="320" w:top="1391" w:right="339" w:bottom="1440" w:gutter="0" w:footer="0" w:header="0"/>
        </w:sectPr>
      </w:pPr>
    </w:p>
    <w:bookmarkStart w:id="89" w:name="page90"/>
    <w:bookmarkEnd w:id="89"/>
    <w:p>
      <w:pPr>
        <w:jc w:val="both"/>
        <w:ind w:firstLine="8"/>
        <w:spacing w:after="0" w:line="221" w:lineRule="auto"/>
        <w:tabs>
          <w:tab w:leader="none" w:pos="642" w:val="left"/>
        </w:tabs>
        <w:numPr>
          <w:ilvl w:val="0"/>
          <w:numId w:val="8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Treatment of Non-Exempt Awards Upon a Corporate Transaction for Employees and Consultants. </w:t>
      </w:r>
      <w:r>
        <w:rPr>
          <w:rFonts w:ascii="Times New Roman" w:cs="Times New Roman" w:eastAsia="Times New Roman" w:hAnsi="Times New Roman"/>
          <w:sz w:val="22"/>
          <w:szCs w:val="22"/>
          <w:color w:val="auto"/>
        </w:rPr>
        <w:t>The provisions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this subsection (c) shall apply and shall supersede anything to the contrary set forth in the Plan with respect to the permitted treatment of any Non-Exempt Award in connection with a Corporate Transaction if the Participant was either an Employee or Consultant upon the applicable date of grant of the Non-Exempt Award.</w:t>
      </w:r>
    </w:p>
    <w:p>
      <w:pPr>
        <w:spacing w:after="0" w:line="148" w:lineRule="exact"/>
        <w:rPr>
          <w:sz w:val="20"/>
          <w:szCs w:val="20"/>
          <w:color w:val="auto"/>
        </w:rPr>
      </w:pPr>
    </w:p>
    <w:p>
      <w:pPr>
        <w:ind w:firstLine="8"/>
        <w:spacing w:after="0" w:line="238" w:lineRule="auto"/>
        <w:tabs>
          <w:tab w:leader="none" w:pos="636" w:val="left"/>
        </w:tabs>
        <w:numPr>
          <w:ilvl w:val="0"/>
          <w:numId w:val="8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Vested Non-Exempt Awards. </w:t>
      </w:r>
      <w:r>
        <w:rPr>
          <w:rFonts w:ascii="Times New Roman" w:cs="Times New Roman" w:eastAsia="Times New Roman" w:hAnsi="Times New Roman"/>
          <w:sz w:val="22"/>
          <w:szCs w:val="22"/>
          <w:color w:val="auto"/>
        </w:rPr>
        <w:t>The following provisions shall apply to any Vested Non-Exempt Award in connection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 Corporate Transaction:</w:t>
      </w:r>
    </w:p>
    <w:p>
      <w:pPr>
        <w:spacing w:after="0" w:line="150" w:lineRule="exact"/>
        <w:rPr>
          <w:sz w:val="20"/>
          <w:szCs w:val="20"/>
          <w:color w:val="auto"/>
        </w:rPr>
      </w:pPr>
    </w:p>
    <w:p>
      <w:pPr>
        <w:jc w:val="both"/>
        <w:ind w:firstLine="8"/>
        <w:spacing w:after="0" w:line="217" w:lineRule="auto"/>
        <w:tabs>
          <w:tab w:leader="none" w:pos="643" w:val="left"/>
        </w:tabs>
        <w:numPr>
          <w:ilvl w:val="0"/>
          <w:numId w:val="8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Corporate Transaction is also a Section 409A Change in Control then the Acquiring Entity may not assume, continue or substitute the Vested Non-Exempt Award. Upon the Section 409A Change of Control the settlement of the Vested Non-Exempt Award will automatically be accelerated and the shares will be immediately issued in respect of the Vested Non-Exempt Award. Alternatively, the Company may instead provide that the Participant will receive a cash settlement equal to the Fair Market Value of the shares that would otherwise be issued to the Participant upon the Section 409A Change of Control.</w:t>
      </w:r>
    </w:p>
    <w:p>
      <w:pPr>
        <w:spacing w:after="0" w:line="152" w:lineRule="exact"/>
        <w:rPr>
          <w:rFonts w:ascii="Times New Roman" w:cs="Times New Roman" w:eastAsia="Times New Roman" w:hAnsi="Times New Roman"/>
          <w:sz w:val="22"/>
          <w:szCs w:val="22"/>
          <w:b w:val="1"/>
          <w:bCs w:val="1"/>
          <w:color w:val="auto"/>
        </w:rPr>
      </w:pPr>
    </w:p>
    <w:p>
      <w:pPr>
        <w:jc w:val="both"/>
        <w:ind w:firstLine="8"/>
        <w:spacing w:after="0" w:line="213" w:lineRule="auto"/>
        <w:tabs>
          <w:tab w:leader="none" w:pos="643" w:val="left"/>
        </w:tabs>
        <w:numPr>
          <w:ilvl w:val="0"/>
          <w:numId w:val="8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Corporate Transaction is not also a Section 409A Change of Control, then the Acquiring Entity must either assume, continue or substitute each Vested Non-Exempt Award. The shares to be issued in respect of the Vested Non-Exempt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the Fair Market Value of the shares made on the date of the Corporate Transaction.</w:t>
      </w:r>
    </w:p>
    <w:p>
      <w:pPr>
        <w:spacing w:after="0" w:line="152" w:lineRule="exact"/>
        <w:rPr>
          <w:sz w:val="20"/>
          <w:szCs w:val="20"/>
          <w:color w:val="auto"/>
        </w:rPr>
      </w:pPr>
    </w:p>
    <w:p>
      <w:pPr>
        <w:ind w:right="20" w:firstLine="8"/>
        <w:spacing w:after="0" w:line="238" w:lineRule="auto"/>
        <w:tabs>
          <w:tab w:leader="none" w:pos="643" w:val="left"/>
        </w:tabs>
        <w:numPr>
          <w:ilvl w:val="0"/>
          <w:numId w:val="8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Unvested Non-Exempt Awards. </w:t>
      </w:r>
      <w:r>
        <w:rPr>
          <w:rFonts w:ascii="Times New Roman" w:cs="Times New Roman" w:eastAsia="Times New Roman" w:hAnsi="Times New Roman"/>
          <w:sz w:val="22"/>
          <w:szCs w:val="22"/>
          <w:color w:val="auto"/>
        </w:rPr>
        <w:t>The following provisions shall apply to any Unvested Non-Exempt Award unless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otherwise determined by the Board pursuant to subsection (e) of this Section.</w:t>
      </w:r>
    </w:p>
    <w:p>
      <w:pPr>
        <w:spacing w:after="0" w:line="150" w:lineRule="exact"/>
        <w:rPr>
          <w:sz w:val="20"/>
          <w:szCs w:val="20"/>
          <w:color w:val="auto"/>
        </w:rPr>
      </w:pPr>
    </w:p>
    <w:p>
      <w:pPr>
        <w:jc w:val="both"/>
        <w:ind w:firstLine="8"/>
        <w:spacing w:after="0" w:line="212" w:lineRule="auto"/>
        <w:tabs>
          <w:tab w:leader="none" w:pos="643" w:val="left"/>
        </w:tabs>
        <w:numPr>
          <w:ilvl w:val="0"/>
          <w:numId w:val="9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In the event of a Corporate Transaction, the Acquiring Entity shall assume, continue or substitute any Unvested Non-Exempt Award. Unless otherwise determined by the Board, any Unvested Non-Exempt Award will remain subject to the same vesting and forfeiture restrictions that were applicable to the Award prior to the Corporate Transaction. The shares to be issued in respect of any Unvested Non-Exempt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Fair Market Value of the shares made on the date of the Corporate Transaction.</w:t>
      </w:r>
    </w:p>
    <w:p>
      <w:pPr>
        <w:spacing w:after="0" w:line="156" w:lineRule="exact"/>
        <w:rPr>
          <w:rFonts w:ascii="Times New Roman" w:cs="Times New Roman" w:eastAsia="Times New Roman" w:hAnsi="Times New Roman"/>
          <w:sz w:val="22"/>
          <w:szCs w:val="22"/>
          <w:b w:val="1"/>
          <w:bCs w:val="1"/>
          <w:color w:val="auto"/>
        </w:rPr>
      </w:pPr>
    </w:p>
    <w:p>
      <w:pPr>
        <w:jc w:val="both"/>
        <w:ind w:firstLine="8"/>
        <w:spacing w:after="0" w:line="212" w:lineRule="auto"/>
        <w:tabs>
          <w:tab w:leader="none" w:pos="643" w:val="left"/>
        </w:tabs>
        <w:numPr>
          <w:ilvl w:val="0"/>
          <w:numId w:val="9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Acquiring Entity will not assume, substitute or continue any Unvested Non-Exempt Award in connection with a Corporate Transaction, then such Award shall automatically terminate and be forfeited upon the Corporate Transaction with no consideration payable to any Participant in respect of such forfeited Unvested Non-Exempt Award. Notwithstanding the foregoing, to the extent permitted and in compliance with the requirements of Section 409A, the Board may in its discretion determine to elect to accelerate the vesting and settlement of the Unvested Non-Exempt Award upon the Corporate Transaction, or instead substitute a cash payment equal to the Fair Market Value of such shares that would otherwise be issued to the Participant, as further provided in subsection (e)(ii) below. In the absence of such discretionary election by the Board, any Unvested Non-Exempt Award shall be forfeited without payment of</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3"/>
          <w:szCs w:val="13"/>
          <w:color w:val="auto"/>
        </w:rPr>
        <w:t>197532205 v11</w:t>
      </w:r>
    </w:p>
    <w:p>
      <w:pPr>
        <w:sectPr>
          <w:pgSz w:w="11900" w:h="16838" w:orient="portrait"/>
          <w:cols w:equalWidth="0" w:num="1">
            <w:col w:w="11240"/>
          </w:cols>
          <w:pgMar w:left="320" w:top="1391" w:right="339" w:bottom="1440" w:gutter="0" w:footer="0" w:header="0"/>
        </w:sectPr>
      </w:pPr>
    </w:p>
    <w:bookmarkStart w:id="90" w:name="page91"/>
    <w:bookmarkEnd w:id="90"/>
    <w:p>
      <w:pPr>
        <w:spacing w:after="0" w:line="236" w:lineRule="auto"/>
        <w:rPr>
          <w:sz w:val="20"/>
          <w:szCs w:val="20"/>
          <w:color w:val="auto"/>
        </w:rPr>
      </w:pPr>
      <w:r>
        <w:rPr>
          <w:rFonts w:ascii="Times New Roman" w:cs="Times New Roman" w:eastAsia="Times New Roman" w:hAnsi="Times New Roman"/>
          <w:sz w:val="22"/>
          <w:szCs w:val="22"/>
          <w:color w:val="auto"/>
        </w:rPr>
        <w:t>any consideration to the affected Participants if the Acquiring Entity will not assume, substitute or continue the Unvested Non-Exempt Awards in connection with the Corporate Transaction.</w:t>
      </w:r>
    </w:p>
    <w:p>
      <w:pPr>
        <w:spacing w:after="0" w:line="150" w:lineRule="exact"/>
        <w:rPr>
          <w:sz w:val="20"/>
          <w:szCs w:val="20"/>
          <w:color w:val="auto"/>
        </w:rPr>
      </w:pPr>
    </w:p>
    <w:p>
      <w:pPr>
        <w:ind w:firstLine="8"/>
        <w:spacing w:after="0" w:line="236" w:lineRule="auto"/>
        <w:tabs>
          <w:tab w:leader="none" w:pos="643" w:val="left"/>
        </w:tabs>
        <w:numPr>
          <w:ilvl w:val="0"/>
          <w:numId w:val="9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foregoing treatment shall apply with respect to all Unvested Non-Exempt Awards upon any Corporate Transaction, and regardless of whether or not such Corporate Transaction is also a Section 409A Change of Control.</w:t>
      </w:r>
    </w:p>
    <w:p>
      <w:pPr>
        <w:spacing w:after="0" w:line="146" w:lineRule="exact"/>
        <w:rPr>
          <w:sz w:val="20"/>
          <w:szCs w:val="20"/>
          <w:color w:val="auto"/>
        </w:rPr>
      </w:pPr>
    </w:p>
    <w:p>
      <w:pPr>
        <w:jc w:val="both"/>
        <w:ind w:right="20" w:firstLine="8"/>
        <w:spacing w:after="0" w:line="227" w:lineRule="auto"/>
        <w:tabs>
          <w:tab w:leader="none" w:pos="643" w:val="left"/>
        </w:tabs>
        <w:numPr>
          <w:ilvl w:val="0"/>
          <w:numId w:val="9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Treatment of Non-Exempt Awards Upon a Corporate Transaction for Non-Employee Directors. </w:t>
      </w:r>
      <w:r>
        <w:rPr>
          <w:rFonts w:ascii="Times New Roman" w:cs="Times New Roman" w:eastAsia="Times New Roman" w:hAnsi="Times New Roman"/>
          <w:sz w:val="22"/>
          <w:szCs w:val="22"/>
          <w:color w:val="auto"/>
        </w:rPr>
        <w:t>The following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provisions of this subsection (d) shall apply and shall supersede anything to the contrary that may be set forth in the Plan with respect to the permitted treatment of a Non-Exempt Director Award in connection with a Corporate Transaction.</w:t>
      </w:r>
    </w:p>
    <w:p>
      <w:pPr>
        <w:spacing w:after="0" w:line="150" w:lineRule="exact"/>
        <w:rPr>
          <w:sz w:val="20"/>
          <w:szCs w:val="20"/>
          <w:color w:val="auto"/>
        </w:rPr>
      </w:pPr>
    </w:p>
    <w:p>
      <w:pPr>
        <w:jc w:val="both"/>
        <w:ind w:firstLine="8"/>
        <w:spacing w:after="0" w:line="215" w:lineRule="auto"/>
        <w:tabs>
          <w:tab w:leader="none" w:pos="636" w:val="left"/>
        </w:tabs>
        <w:numPr>
          <w:ilvl w:val="0"/>
          <w:numId w:val="9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Corporate Transaction is also a Section 409A Change of Control then the Acquiring Entity may not assume, continue or substitute the Non-Exempt Director Award. Upon the Section 409A Change of Control the vesting and settlement of any Non-Exempt Director Award will automatically be accelerated and the shares will be immediately issued to the Participant in respect of the Non-Exempt Director Award. Alternatively, the Company may provide that the Participant will instead receive a cash settlement equal to the Fair Market Value of the shares that would otherwise be issued to the Participant upon the Section 409A Change of Control pursuant to the preceding provision.</w:t>
      </w:r>
    </w:p>
    <w:p>
      <w:pPr>
        <w:spacing w:after="0" w:line="152" w:lineRule="exact"/>
        <w:rPr>
          <w:rFonts w:ascii="Times New Roman" w:cs="Times New Roman" w:eastAsia="Times New Roman" w:hAnsi="Times New Roman"/>
          <w:sz w:val="22"/>
          <w:szCs w:val="22"/>
          <w:b w:val="1"/>
          <w:bCs w:val="1"/>
          <w:color w:val="auto"/>
        </w:rPr>
      </w:pPr>
    </w:p>
    <w:p>
      <w:pPr>
        <w:jc w:val="both"/>
        <w:ind w:firstLine="8"/>
        <w:spacing w:after="0" w:line="222" w:lineRule="auto"/>
        <w:tabs>
          <w:tab w:leader="none" w:pos="642" w:val="left"/>
        </w:tabs>
        <w:numPr>
          <w:ilvl w:val="0"/>
          <w:numId w:val="9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If the Corporate Transaction is not also a Section 409A Change of Control, then the Acquiring Entity must either assume, continue or substitute the Non-Exempt Director Award. Unless otherwise determined by the Board, the Non-Exempt Director Award will remain subject to the same vesting and forfeiture restrictions that were applicable to the Award prior to the Corporate Transaction. The shares to be issued in respect of the Non-Exempt Director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Fair Market Value made on the date of the Corporate Transaction.</w:t>
      </w:r>
    </w:p>
    <w:p>
      <w:pPr>
        <w:spacing w:after="0" w:line="157" w:lineRule="exact"/>
        <w:rPr>
          <w:sz w:val="20"/>
          <w:szCs w:val="20"/>
          <w:color w:val="auto"/>
        </w:rPr>
      </w:pPr>
    </w:p>
    <w:p>
      <w:pPr>
        <w:jc w:val="both"/>
        <w:ind w:firstLine="8"/>
        <w:spacing w:after="0" w:line="225" w:lineRule="auto"/>
        <w:tabs>
          <w:tab w:leader="none" w:pos="642" w:val="left"/>
        </w:tabs>
        <w:numPr>
          <w:ilvl w:val="0"/>
          <w:numId w:val="9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RSU Award is a Non-Exempt Award, then the provisions in this Section 11(e) shall apply and supersede anything to the contrary that may be set forth in the Plan or the Award Agreement with respect to the permitted treatment of such Non-Exempt Award:</w:t>
      </w:r>
    </w:p>
    <w:p>
      <w:pPr>
        <w:spacing w:after="0" w:line="152" w:lineRule="exact"/>
        <w:rPr>
          <w:sz w:val="20"/>
          <w:szCs w:val="20"/>
          <w:color w:val="auto"/>
        </w:rPr>
      </w:pPr>
    </w:p>
    <w:p>
      <w:pPr>
        <w:jc w:val="both"/>
        <w:ind w:firstLine="8"/>
        <w:spacing w:after="0" w:line="225" w:lineRule="auto"/>
        <w:tabs>
          <w:tab w:leader="none" w:pos="636" w:val="left"/>
        </w:tabs>
        <w:numPr>
          <w:ilvl w:val="0"/>
          <w:numId w:val="9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Any exercise by the Board of discretion to accelerate the vesting of a Non-Exempt Award shall not result in any acceleration of the scheduled issuance dates for the shares in respect of the Non-Exempt Award unless earlier issuance of the shares upon the applicable vesting dates would be in compliance with the requirements of Section 409A.</w:t>
      </w:r>
    </w:p>
    <w:p>
      <w:pPr>
        <w:spacing w:after="0" w:line="152" w:lineRule="exact"/>
        <w:rPr>
          <w:rFonts w:ascii="Times New Roman" w:cs="Times New Roman" w:eastAsia="Times New Roman" w:hAnsi="Times New Roman"/>
          <w:sz w:val="22"/>
          <w:szCs w:val="22"/>
          <w:b w:val="1"/>
          <w:bCs w:val="1"/>
          <w:color w:val="auto"/>
        </w:rPr>
      </w:pPr>
    </w:p>
    <w:p>
      <w:pPr>
        <w:jc w:val="both"/>
        <w:ind w:firstLine="8"/>
        <w:spacing w:after="0" w:line="225" w:lineRule="auto"/>
        <w:tabs>
          <w:tab w:leader="none" w:pos="642" w:val="left"/>
        </w:tabs>
        <w:numPr>
          <w:ilvl w:val="0"/>
          <w:numId w:val="9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Company explicitly reserves the right to earlier settle any Non-Exempt Award to the extent permitted and in compliance with the requirements of Section 409A, including pursuant to any of the exemptions available in Treasury Regulations Section 1.409A-3(j)(4)(ix).</w:t>
      </w:r>
    </w:p>
    <w:p>
      <w:pPr>
        <w:spacing w:after="0" w:line="152" w:lineRule="exact"/>
        <w:rPr>
          <w:rFonts w:ascii="Times New Roman" w:cs="Times New Roman" w:eastAsia="Times New Roman" w:hAnsi="Times New Roman"/>
          <w:sz w:val="22"/>
          <w:szCs w:val="22"/>
          <w:b w:val="1"/>
          <w:bCs w:val="1"/>
          <w:color w:val="auto"/>
        </w:rPr>
      </w:pPr>
    </w:p>
    <w:p>
      <w:pPr>
        <w:jc w:val="both"/>
        <w:ind w:firstLine="8"/>
        <w:spacing w:after="0" w:line="215" w:lineRule="auto"/>
        <w:tabs>
          <w:tab w:leader="none" w:pos="648" w:val="left"/>
        </w:tabs>
        <w:numPr>
          <w:ilvl w:val="0"/>
          <w:numId w:val="9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To the extent the terms of any Non-Exempt Award provide that it will be settled upon a Change in Control or Corporate Transaction, to the extent it is required for compliance with the requirements of Section 409A, the Change in Control or Corporate Transaction event triggering settlement must also constitute a Section 409A Change of Control. To the extent the terms of a Non-Exempt Award provides that it will be settled upon a termination of employment or termination of Continuous Service, to the extent it is required for compliance with the requirements of Section 409A, the termination event triggering settlement must also constitute a Separation From Service. However, if at the time the shares would otherwise be issued to a</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3"/>
          <w:szCs w:val="13"/>
          <w:color w:val="auto"/>
        </w:rPr>
        <w:t>197532205 v11</w:t>
      </w:r>
    </w:p>
    <w:p>
      <w:pPr>
        <w:sectPr>
          <w:pgSz w:w="11900" w:h="16838" w:orient="portrait"/>
          <w:cols w:equalWidth="0" w:num="1">
            <w:col w:w="11240"/>
          </w:cols>
          <w:pgMar w:left="320" w:top="1395" w:right="339" w:bottom="1440" w:gutter="0" w:footer="0" w:header="0"/>
        </w:sectPr>
      </w:pPr>
    </w:p>
    <w:bookmarkStart w:id="91" w:name="page92"/>
    <w:bookmarkEnd w:id="91"/>
    <w:p>
      <w:pPr>
        <w:jc w:val="both"/>
        <w:spacing w:after="0" w:line="220" w:lineRule="auto"/>
        <w:rPr>
          <w:sz w:val="20"/>
          <w:szCs w:val="20"/>
          <w:color w:val="auto"/>
        </w:rPr>
      </w:pPr>
      <w:r>
        <w:rPr>
          <w:rFonts w:ascii="Times New Roman" w:cs="Times New Roman" w:eastAsia="Times New Roman" w:hAnsi="Times New Roman"/>
          <w:sz w:val="22"/>
          <w:szCs w:val="22"/>
          <w:color w:val="auto"/>
        </w:rPr>
        <w:t>Participant in connection with a “separation from service” such Participant is subject to the distribution limitations contained in Section 409A applicable to “specified employees,” as defined in Section 409A(a)(2)(B)(i) of the Code, such shares shall not be issued before the date that is six months following the date of the Participant’s Separation From Service, or, if earlier, the date of the Participant’s death that occurs within such six month period.</w:t>
      </w:r>
    </w:p>
    <w:p>
      <w:pPr>
        <w:spacing w:after="0" w:line="152" w:lineRule="exact"/>
        <w:rPr>
          <w:sz w:val="20"/>
          <w:szCs w:val="20"/>
          <w:color w:val="auto"/>
        </w:rPr>
      </w:pPr>
    </w:p>
    <w:p>
      <w:pPr>
        <w:jc w:val="both"/>
        <w:ind w:firstLine="8"/>
        <w:spacing w:after="0" w:line="220" w:lineRule="auto"/>
        <w:tabs>
          <w:tab w:leader="none" w:pos="636" w:val="left"/>
        </w:tabs>
        <w:numPr>
          <w:ilvl w:val="0"/>
          <w:numId w:val="9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provisions in this subsection (e) for delivery of the shares in respect of the settlement of a RSU Award that is a Non-Exempt Award are intended to comply with the requirements of Section 409A so that the delivery of the shares to the Participant in respect of such Non-Exempt Award will not trigger the additional tax imposed under Section 409A, and any ambiguities herein will be so interpreted.</w:t>
      </w:r>
    </w:p>
    <w:p>
      <w:pPr>
        <w:spacing w:after="0" w:line="148" w:lineRule="exact"/>
        <w:rPr>
          <w:sz w:val="20"/>
          <w:szCs w:val="20"/>
          <w:color w:val="auto"/>
        </w:rPr>
      </w:pPr>
    </w:p>
    <w:p>
      <w:pPr>
        <w:ind w:left="660" w:hanging="652"/>
        <w:spacing w:after="0"/>
        <w:tabs>
          <w:tab w:leader="none" w:pos="660" w:val="left"/>
        </w:tabs>
        <w:numPr>
          <w:ilvl w:val="0"/>
          <w:numId w:val="9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Severability.</w:t>
      </w:r>
    </w:p>
    <w:p>
      <w:pPr>
        <w:spacing w:after="0" w:line="183"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If all or any part of the Plan or any Award Agreement is declared by any court or governmental authority to be unlawful or invalid, such unlawfulness or invalidity shall not invalidate any portion of the Plan or such Award Agreement not declared to be unlawful or invalid. Any Section of the Plan or any Award Agreement (or part of such a Section) so declared to be unlawful or invalid shall, if possible, be construed in a manner which will give effect to the terms of such Section or part of a Section to the fullest extent possible while remaining lawful and valid.</w:t>
      </w:r>
    </w:p>
    <w:p>
      <w:pPr>
        <w:spacing w:after="0" w:line="148" w:lineRule="exact"/>
        <w:rPr>
          <w:sz w:val="20"/>
          <w:szCs w:val="20"/>
          <w:color w:val="auto"/>
        </w:rPr>
      </w:pPr>
    </w:p>
    <w:p>
      <w:pPr>
        <w:ind w:left="660" w:hanging="652"/>
        <w:spacing w:after="0"/>
        <w:tabs>
          <w:tab w:leader="none" w:pos="660" w:val="left"/>
        </w:tabs>
        <w:numPr>
          <w:ilvl w:val="0"/>
          <w:numId w:val="9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Termination of the Plan.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Board may suspend or terminate the Plan at any time.</w:t>
      </w:r>
    </w:p>
    <w:p>
      <w:pPr>
        <w:spacing w:after="0" w:line="179"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No Incentive Stock Options may be granted after the tenth anniversary of the earlier of: (i) the Adoption Date, or (ii) the date the Plan is approved by the Company’s stockholders.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 Awards may be granted under the Plan while the Plan is suspended or after it is terminated.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3"/>
          <w:szCs w:val="13"/>
          <w:color w:val="auto"/>
        </w:rPr>
        <w:t>197532205 v11</w:t>
      </w:r>
    </w:p>
    <w:p>
      <w:pPr>
        <w:sectPr>
          <w:pgSz w:w="11900" w:h="16838" w:orient="portrait"/>
          <w:cols w:equalWidth="0" w:num="1">
            <w:col w:w="11240"/>
          </w:cols>
          <w:pgMar w:left="320" w:top="1395"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As used in the Plan, the following definitions apply to the capitalized terms indicated below:</w:t>
      </w:r>
    </w:p>
    <w:p>
      <w:pPr>
        <w:spacing w:after="0" w:line="173" w:lineRule="exact"/>
        <w:rPr>
          <w:sz w:val="20"/>
          <w:szCs w:val="20"/>
          <w:color w:val="auto"/>
        </w:rPr>
      </w:pPr>
    </w:p>
    <w:p>
      <w:pPr>
        <w:ind w:firstLine="8"/>
        <w:spacing w:after="0" w:line="239" w:lineRule="auto"/>
        <w:tabs>
          <w:tab w:leader="none" w:pos="643" w:val="left"/>
        </w:tabs>
        <w:numPr>
          <w:ilvl w:val="0"/>
          <w:numId w:val="9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Acquiring Entity</w:t>
      </w:r>
      <w:r>
        <w:rPr>
          <w:rFonts w:ascii="Times New Roman" w:cs="Times New Roman" w:eastAsia="Times New Roman" w:hAnsi="Times New Roman"/>
          <w:sz w:val="22"/>
          <w:szCs w:val="22"/>
          <w:color w:val="auto"/>
        </w:rPr>
        <w:t>” means the surviving or acquiring corporation (or its parent company) in connection with a Corporate Transaction.</w:t>
      </w:r>
    </w:p>
    <w:p>
      <w:pPr>
        <w:spacing w:after="0" w:line="144" w:lineRule="exact"/>
        <w:rPr>
          <w:rFonts w:ascii="Times New Roman" w:cs="Times New Roman" w:eastAsia="Times New Roman" w:hAnsi="Times New Roman"/>
          <w:sz w:val="22"/>
          <w:szCs w:val="22"/>
          <w:b w:val="1"/>
          <w:bCs w:val="1"/>
          <w:color w:val="auto"/>
        </w:rPr>
      </w:pPr>
    </w:p>
    <w:p>
      <w:pPr>
        <w:ind w:left="640" w:hanging="632"/>
        <w:spacing w:after="0"/>
        <w:tabs>
          <w:tab w:leader="none" w:pos="640" w:val="left"/>
        </w:tabs>
        <w:numPr>
          <w:ilvl w:val="0"/>
          <w:numId w:val="9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Adoption Date</w:t>
      </w:r>
      <w:r>
        <w:rPr>
          <w:rFonts w:ascii="Times New Roman" w:cs="Times New Roman" w:eastAsia="Times New Roman" w:hAnsi="Times New Roman"/>
          <w:sz w:val="22"/>
          <w:szCs w:val="22"/>
          <w:color w:val="auto"/>
        </w:rPr>
        <w:t>” means the date the Plan is first approved by the Board or Compensation Committee.</w:t>
      </w:r>
    </w:p>
    <w:p>
      <w:pPr>
        <w:spacing w:after="0" w:line="179" w:lineRule="exact"/>
        <w:rPr>
          <w:rFonts w:ascii="Times New Roman" w:cs="Times New Roman" w:eastAsia="Times New Roman" w:hAnsi="Times New Roman"/>
          <w:sz w:val="22"/>
          <w:szCs w:val="22"/>
          <w:b w:val="1"/>
          <w:bCs w:val="1"/>
          <w:color w:val="auto"/>
        </w:rPr>
      </w:pPr>
    </w:p>
    <w:p>
      <w:pPr>
        <w:jc w:val="both"/>
        <w:ind w:firstLine="8"/>
        <w:spacing w:after="0" w:line="227" w:lineRule="auto"/>
        <w:tabs>
          <w:tab w:leader="none" w:pos="645" w:val="left"/>
        </w:tabs>
        <w:numPr>
          <w:ilvl w:val="0"/>
          <w:numId w:val="9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Affiliate</w:t>
      </w:r>
      <w:r>
        <w:rPr>
          <w:rFonts w:ascii="Times New Roman" w:cs="Times New Roman" w:eastAsia="Times New Roman" w:hAnsi="Times New Roman"/>
          <w:sz w:val="22"/>
          <w:szCs w:val="22"/>
          <w:color w:val="auto"/>
        </w:rPr>
        <w:t>” means, at the time of determination, any “parent” or “subsidiary” of the Company as such terms are defined in Rule 405 promulgated under the Securities Act. The Board may determine the time or times at which “parent” or “subsidiary” status is determined within the foregoing definition.</w:t>
      </w:r>
    </w:p>
    <w:p>
      <w:pPr>
        <w:spacing w:after="0" w:line="146" w:lineRule="exact"/>
        <w:rPr>
          <w:rFonts w:ascii="Times New Roman" w:cs="Times New Roman" w:eastAsia="Times New Roman" w:hAnsi="Times New Roman"/>
          <w:sz w:val="22"/>
          <w:szCs w:val="22"/>
          <w:b w:val="1"/>
          <w:bCs w:val="1"/>
          <w:color w:val="auto"/>
        </w:rPr>
      </w:pPr>
    </w:p>
    <w:p>
      <w:pPr>
        <w:jc w:val="both"/>
        <w:ind w:firstLine="8"/>
        <w:spacing w:after="0" w:line="218" w:lineRule="auto"/>
        <w:tabs>
          <w:tab w:leader="none" w:pos="642" w:val="left"/>
        </w:tabs>
        <w:numPr>
          <w:ilvl w:val="0"/>
          <w:numId w:val="9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Applicable Law</w:t>
      </w:r>
      <w:r>
        <w:rPr>
          <w:rFonts w:ascii="Times New Roman" w:cs="Times New Roman" w:eastAsia="Times New Roman" w:hAnsi="Times New Roman"/>
          <w:sz w:val="22"/>
          <w:szCs w:val="22"/>
          <w:color w:val="auto"/>
        </w:rPr>
        <w:t>” means shall mean any applicable securities, federal, state, foreign,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Body (or under the authority of the NASDAQ Stock Market or the Financial Industry Regulatory Authority).</w:t>
      </w:r>
    </w:p>
    <w:p>
      <w:pPr>
        <w:spacing w:after="0" w:line="147" w:lineRule="exact"/>
        <w:rPr>
          <w:rFonts w:ascii="Times New Roman" w:cs="Times New Roman" w:eastAsia="Times New Roman" w:hAnsi="Times New Roman"/>
          <w:sz w:val="22"/>
          <w:szCs w:val="22"/>
          <w:b w:val="1"/>
          <w:bCs w:val="1"/>
          <w:color w:val="auto"/>
        </w:rPr>
      </w:pPr>
    </w:p>
    <w:p>
      <w:pPr>
        <w:jc w:val="both"/>
        <w:ind w:firstLine="8"/>
        <w:spacing w:after="0" w:line="227" w:lineRule="auto"/>
        <w:tabs>
          <w:tab w:leader="none" w:pos="645" w:val="left"/>
        </w:tabs>
        <w:numPr>
          <w:ilvl w:val="0"/>
          <w:numId w:val="9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Award</w:t>
      </w:r>
      <w:r>
        <w:rPr>
          <w:rFonts w:ascii="Times New Roman" w:cs="Times New Roman" w:eastAsia="Times New Roman" w:hAnsi="Times New Roman"/>
          <w:sz w:val="22"/>
          <w:szCs w:val="22"/>
          <w:color w:val="auto"/>
        </w:rPr>
        <w:t>” means any right to receive Common Stock, cash or other property granted under the Plan (including an Incentive Stock Option, a Nonstatutory Stock Option, a Restricted Stock Award, a RSU Award, a SAR, a Performance Award or any Other Award).</w:t>
      </w:r>
    </w:p>
    <w:p>
      <w:pPr>
        <w:spacing w:after="0" w:line="146" w:lineRule="exact"/>
        <w:rPr>
          <w:rFonts w:ascii="Times New Roman" w:cs="Times New Roman" w:eastAsia="Times New Roman" w:hAnsi="Times New Roman"/>
          <w:sz w:val="22"/>
          <w:szCs w:val="22"/>
          <w:b w:val="1"/>
          <w:bCs w:val="1"/>
          <w:color w:val="auto"/>
        </w:rPr>
      </w:pPr>
    </w:p>
    <w:p>
      <w:pPr>
        <w:jc w:val="both"/>
        <w:ind w:firstLine="8"/>
        <w:spacing w:after="0" w:line="222" w:lineRule="auto"/>
        <w:tabs>
          <w:tab w:leader="none" w:pos="648" w:val="left"/>
        </w:tabs>
        <w:numPr>
          <w:ilvl w:val="0"/>
          <w:numId w:val="9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Award Agreement</w:t>
      </w:r>
      <w:r>
        <w:rPr>
          <w:rFonts w:ascii="Times New Roman" w:cs="Times New Roman" w:eastAsia="Times New Roman" w:hAnsi="Times New Roman"/>
          <w:sz w:val="22"/>
          <w:szCs w:val="22"/>
          <w:color w:val="auto"/>
        </w:rPr>
        <w:t>” means a written agreement between the Company and a Participant evidencing the terms and conditions of an Award. The Award Agreement generally consists of the Grant Notice and the agreement containing the written summary of the general terms and conditions applicable to the Award and which is provided to a Participant along with the Grant Notice.</w:t>
      </w:r>
    </w:p>
    <w:p>
      <w:pPr>
        <w:spacing w:after="0" w:line="143" w:lineRule="exact"/>
        <w:rPr>
          <w:rFonts w:ascii="Times New Roman" w:cs="Times New Roman" w:eastAsia="Times New Roman" w:hAnsi="Times New Roman"/>
          <w:sz w:val="22"/>
          <w:szCs w:val="22"/>
          <w:b w:val="1"/>
          <w:bCs w:val="1"/>
          <w:color w:val="auto"/>
        </w:rPr>
      </w:pPr>
    </w:p>
    <w:p>
      <w:pPr>
        <w:jc w:val="both"/>
        <w:ind w:firstLine="8"/>
        <w:spacing w:after="0" w:line="227" w:lineRule="auto"/>
        <w:tabs>
          <w:tab w:leader="none" w:pos="643" w:val="left"/>
        </w:tabs>
        <w:numPr>
          <w:ilvl w:val="0"/>
          <w:numId w:val="9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means the Board of Directors of the Company (or its designee). Any decision or determination made by the Board shall be a decision or determination that is made in the sole discretion of the Board (or its designee), and such decision or determination shall be final and binding on all Participants.</w:t>
      </w:r>
    </w:p>
    <w:p>
      <w:pPr>
        <w:spacing w:after="0" w:line="146" w:lineRule="exact"/>
        <w:rPr>
          <w:rFonts w:ascii="Times New Roman" w:cs="Times New Roman" w:eastAsia="Times New Roman" w:hAnsi="Times New Roman"/>
          <w:sz w:val="22"/>
          <w:szCs w:val="22"/>
          <w:b w:val="1"/>
          <w:bCs w:val="1"/>
          <w:color w:val="auto"/>
        </w:rPr>
      </w:pPr>
    </w:p>
    <w:p>
      <w:pPr>
        <w:jc w:val="both"/>
        <w:ind w:firstLine="8"/>
        <w:spacing w:after="0" w:line="224" w:lineRule="auto"/>
        <w:tabs>
          <w:tab w:leader="none" w:pos="642" w:val="left"/>
        </w:tabs>
        <w:numPr>
          <w:ilvl w:val="0"/>
          <w:numId w:val="9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Capitalization Adjustment</w:t>
      </w:r>
      <w:r>
        <w:rPr>
          <w:rFonts w:ascii="Times New Roman" w:cs="Times New Roman" w:eastAsia="Times New Roman" w:hAnsi="Times New Roman"/>
          <w:sz w:val="21"/>
          <w:szCs w:val="21"/>
          <w:color w:val="auto"/>
        </w:rPr>
        <w:t>” means any change that is made in, or other events that occur with respect to, the Common Stock subject to the Plan or subject to any Award after the Effective Date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143" w:lineRule="exact"/>
        <w:rPr>
          <w:sz w:val="20"/>
          <w:szCs w:val="20"/>
          <w:color w:val="auto"/>
        </w:rPr>
      </w:pPr>
    </w:p>
    <w:p>
      <w:pPr>
        <w:ind w:left="660" w:hanging="652"/>
        <w:spacing w:after="0"/>
        <w:tabs>
          <w:tab w:leader="none" w:pos="660" w:val="left"/>
        </w:tabs>
        <w:numPr>
          <w:ilvl w:val="0"/>
          <w:numId w:val="10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Capital Stock</w:t>
      </w:r>
      <w:r>
        <w:rPr>
          <w:rFonts w:ascii="Times New Roman" w:cs="Times New Roman" w:eastAsia="Times New Roman" w:hAnsi="Times New Roman"/>
          <w:sz w:val="22"/>
          <w:szCs w:val="22"/>
          <w:color w:val="auto"/>
        </w:rPr>
        <w:t>” means each and every class of common stock of the Company, regardless of the number of votes per</w:t>
      </w:r>
    </w:p>
    <w:p>
      <w:pPr>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share.</w:t>
      </w:r>
    </w:p>
    <w:p>
      <w:pPr>
        <w:spacing w:after="0" w:line="149" w:lineRule="exact"/>
        <w:rPr>
          <w:sz w:val="20"/>
          <w:szCs w:val="20"/>
          <w:color w:val="auto"/>
        </w:rPr>
      </w:pPr>
    </w:p>
    <w:p>
      <w:pPr>
        <w:ind w:right="20" w:firstLine="8"/>
        <w:spacing w:after="0" w:line="239" w:lineRule="auto"/>
        <w:tabs>
          <w:tab w:leader="none" w:pos="636" w:val="left"/>
        </w:tabs>
        <w:numPr>
          <w:ilvl w:val="0"/>
          <w:numId w:val="10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Cause</w:t>
      </w:r>
      <w:r>
        <w:rPr>
          <w:rFonts w:ascii="Times New Roman" w:cs="Times New Roman" w:eastAsia="Times New Roman" w:hAnsi="Times New Roman"/>
          <w:sz w:val="22"/>
          <w:szCs w:val="22"/>
          <w:color w:val="auto"/>
        </w:rPr>
        <w:t>” has the meaning ascribed to such term in any written agreement between the Participant and the Company defining such term and, in the absence of such agreement, such</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3"/>
          <w:szCs w:val="13"/>
          <w:color w:val="auto"/>
        </w:rPr>
        <w:t>197532205 v11</w:t>
      </w:r>
    </w:p>
    <w:p>
      <w:pPr>
        <w:sectPr>
          <w:pgSz w:w="11900" w:h="16838" w:orient="portrait"/>
          <w:cols w:equalWidth="0" w:num="1">
            <w:col w:w="11240"/>
          </w:cols>
          <w:pgMar w:left="320" w:top="1391" w:right="339" w:bottom="1440" w:gutter="0" w:footer="0" w:header="0"/>
        </w:sectPr>
      </w:pPr>
    </w:p>
    <w:bookmarkStart w:id="93" w:name="page94"/>
    <w:bookmarkEnd w:id="93"/>
    <w:p>
      <w:pPr>
        <w:jc w:val="both"/>
        <w:spacing w:after="0" w:line="219" w:lineRule="auto"/>
        <w:rPr>
          <w:sz w:val="20"/>
          <w:szCs w:val="20"/>
          <w:color w:val="auto"/>
        </w:rPr>
      </w:pPr>
      <w:r>
        <w:rPr>
          <w:rFonts w:ascii="Times New Roman" w:cs="Times New Roman" w:eastAsia="Times New Roman" w:hAnsi="Times New Roman"/>
          <w:sz w:val="21"/>
          <w:szCs w:val="21"/>
          <w:color w:val="auto"/>
        </w:rPr>
        <w:t>term means, with respect to a Participant, the occurrence of any of the following actions or events by such Participant: (i) attempted commission of, or participation in, a fraud or act of dishonesty against the Company and/or its Affiliates; (ii) material violation of any contract or agreement between the Participant and the Company and/or its Affiliates or of any statutory duty owed to the Company and/or its Affiliates or such Participant's material failure to comply with the Company’s and/or its Affiliates’s written policies or rules; (iii) unauthorized use or disclosure of the Company’s and/or its Affiliates’s confidential information or trade secrets; (iv) conviction of, or plea of "guilty" or "no contest" to a felony; (v) willful and continuing failure to perform assigned duties after receiving written notification from the Company and/or its Affiliates of the failure; (vi) gross negligence or gross misconduct; or (vii) failure to cooperate in good faith with a governmental or internal investigation of the Company and/or its Affiliates or its directors, officers or employees, if the Company requests cooperation. The determination that a termination of the Participant’s Continuous Service is either for Cause or without Cause will be made by the Board with respect to Participants who are executive officers of the Company and by the Company’s Chief Executive Officer with respect to Participants who are not executive officers of the Company. Any determination by the Company that the Continuous Service of a Participant was terminated with or without Cause for the purposes of outstanding Awards held by such Participant will have no effect upon any determination of the rights or obligations of the Company or such Participant for any other purpose.</w:t>
      </w:r>
    </w:p>
    <w:p>
      <w:pPr>
        <w:spacing w:after="0" w:line="149" w:lineRule="exact"/>
        <w:rPr>
          <w:sz w:val="20"/>
          <w:szCs w:val="20"/>
          <w:color w:val="auto"/>
        </w:rPr>
      </w:pPr>
    </w:p>
    <w:p>
      <w:pPr>
        <w:jc w:val="both"/>
        <w:ind w:firstLine="8"/>
        <w:spacing w:after="0" w:line="227" w:lineRule="auto"/>
        <w:tabs>
          <w:tab w:leader="none" w:pos="648" w:val="left"/>
        </w:tabs>
        <w:numPr>
          <w:ilvl w:val="0"/>
          <w:numId w:val="10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Change in Control</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i w:val="1"/>
          <w:iCs w:val="1"/>
          <w:color w:val="auto"/>
        </w:rPr>
        <w:t>Change of Control</w:t>
      </w:r>
      <w:r>
        <w:rPr>
          <w:rFonts w:ascii="Times New Roman" w:cs="Times New Roman" w:eastAsia="Times New Roman" w:hAnsi="Times New Roman"/>
          <w:sz w:val="22"/>
          <w:szCs w:val="22"/>
          <w:color w:val="auto"/>
        </w:rPr>
        <w:t>” means the occurrence, in a single transaction or in a series of related transactions, of any one or more of the following events; provided, however, to the extent necessary to avoid adverse personal income tax consequences to the Participant in connection with an Award, also constitutes a Section 409A Change of Control:</w:t>
      </w:r>
    </w:p>
    <w:p>
      <w:pPr>
        <w:spacing w:after="0" w:line="152" w:lineRule="exact"/>
        <w:rPr>
          <w:sz w:val="20"/>
          <w:szCs w:val="20"/>
          <w:color w:val="auto"/>
        </w:rPr>
      </w:pPr>
    </w:p>
    <w:p>
      <w:pPr>
        <w:jc w:val="both"/>
        <w:ind w:firstLine="8"/>
        <w:spacing w:after="0" w:line="219" w:lineRule="auto"/>
        <w:tabs>
          <w:tab w:leader="none" w:pos="636" w:val="left"/>
        </w:tabs>
        <w:numPr>
          <w:ilvl w:val="0"/>
          <w:numId w:val="10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any Exchange Act Person becomes the Owner, directly or indirectly, of securities of the Company representing more than 50% of the combined voting power of the Company’s then outstanding securities other than by virtue of a merger, consolidation or similar transaction. Notwithstanding the foregoing, a Change in Control shall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 “</w:t>
      </w:r>
      <w:r>
        <w:rPr>
          <w:rFonts w:ascii="Times New Roman" w:cs="Times New Roman" w:eastAsia="Times New Roman" w:hAnsi="Times New Roman"/>
          <w:sz w:val="21"/>
          <w:szCs w:val="21"/>
          <w:i w:val="1"/>
          <w:iCs w:val="1"/>
          <w:color w:val="auto"/>
        </w:rPr>
        <w:t>Subject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Person</w:t>
      </w:r>
      <w:r>
        <w:rPr>
          <w:rFonts w:ascii="Times New Roman" w:cs="Times New Roman" w:eastAsia="Times New Roman" w:hAnsi="Times New Roman"/>
          <w:sz w:val="21"/>
          <w:szCs w:val="21"/>
          <w:color w:val="auto"/>
        </w:rPr>
        <w:t>”) exceeds the designated percentage threshold of the outstanding voting securities as a result of a repurchase or other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shall be deemed to occur;</w:t>
      </w:r>
    </w:p>
    <w:p>
      <w:pPr>
        <w:spacing w:after="0" w:line="159" w:lineRule="exact"/>
        <w:rPr>
          <w:rFonts w:ascii="Times New Roman" w:cs="Times New Roman" w:eastAsia="Times New Roman" w:hAnsi="Times New Roman"/>
          <w:sz w:val="21"/>
          <w:szCs w:val="21"/>
          <w:b w:val="1"/>
          <w:bCs w:val="1"/>
          <w:color w:val="auto"/>
        </w:rPr>
      </w:pPr>
    </w:p>
    <w:p>
      <w:pPr>
        <w:jc w:val="both"/>
        <w:ind w:firstLine="8"/>
        <w:spacing w:after="0" w:line="213" w:lineRule="auto"/>
        <w:tabs>
          <w:tab w:leader="none" w:pos="642" w:val="left"/>
        </w:tabs>
        <w:numPr>
          <w:ilvl w:val="0"/>
          <w:numId w:val="10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50% of the combined outstanding voting power of the surviving Entity in such merger, consolidation or similar transaction or (B) more than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3"/>
          <w:szCs w:val="13"/>
          <w:color w:val="auto"/>
        </w:rPr>
        <w:t>197532205 v11</w:t>
      </w:r>
    </w:p>
    <w:p>
      <w:pPr>
        <w:sectPr>
          <w:pgSz w:w="11900" w:h="16838" w:orient="portrait"/>
          <w:cols w:equalWidth="0" w:num="1">
            <w:col w:w="11240"/>
          </w:cols>
          <w:pgMar w:left="320" w:top="1395" w:right="339" w:bottom="1440" w:gutter="0" w:footer="0" w:header="0"/>
        </w:sectPr>
      </w:pPr>
    </w:p>
    <w:bookmarkStart w:id="94" w:name="page95"/>
    <w:bookmarkEnd w:id="94"/>
    <w:p>
      <w:pPr>
        <w:jc w:val="both"/>
        <w:ind w:firstLine="8"/>
        <w:spacing w:after="0" w:line="225" w:lineRule="auto"/>
        <w:tabs>
          <w:tab w:leader="none" w:pos="648" w:val="left"/>
        </w:tabs>
        <w:numPr>
          <w:ilvl w:val="0"/>
          <w:numId w:val="10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stockholders of the Company approve or the Board approves a plan of complete dissolution or liquidation of the Company, or a complete dissolution or liquidation of the Company shall otherwise occur, except for a liquidation into a parent corporation;</w:t>
      </w:r>
    </w:p>
    <w:p>
      <w:pPr>
        <w:spacing w:after="0" w:line="152" w:lineRule="exact"/>
        <w:rPr>
          <w:rFonts w:ascii="Times New Roman" w:cs="Times New Roman" w:eastAsia="Times New Roman" w:hAnsi="Times New Roman"/>
          <w:sz w:val="22"/>
          <w:szCs w:val="22"/>
          <w:b w:val="1"/>
          <w:bCs w:val="1"/>
          <w:color w:val="auto"/>
        </w:rPr>
      </w:pPr>
    </w:p>
    <w:p>
      <w:pPr>
        <w:jc w:val="both"/>
        <w:ind w:firstLine="8"/>
        <w:spacing w:after="0" w:line="217" w:lineRule="auto"/>
        <w:tabs>
          <w:tab w:leader="none" w:pos="636" w:val="left"/>
        </w:tabs>
        <w:numPr>
          <w:ilvl w:val="0"/>
          <w:numId w:val="10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or</w:t>
      </w:r>
    </w:p>
    <w:p>
      <w:pPr>
        <w:spacing w:after="0" w:line="146" w:lineRule="exact"/>
        <w:rPr>
          <w:rFonts w:ascii="Times New Roman" w:cs="Times New Roman" w:eastAsia="Times New Roman" w:hAnsi="Times New Roman"/>
          <w:sz w:val="22"/>
          <w:szCs w:val="22"/>
          <w:b w:val="1"/>
          <w:bCs w:val="1"/>
          <w:color w:val="auto"/>
        </w:rPr>
      </w:pPr>
    </w:p>
    <w:p>
      <w:pPr>
        <w:jc w:val="both"/>
        <w:ind w:firstLine="8"/>
        <w:spacing w:after="0" w:line="218" w:lineRule="auto"/>
        <w:tabs>
          <w:tab w:leader="none" w:pos="643" w:val="left"/>
        </w:tabs>
        <w:numPr>
          <w:ilvl w:val="0"/>
          <w:numId w:val="10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individuals who, on the date the Plan is adopted by the Board, are members of the Board (the “</w:t>
      </w:r>
      <w:r>
        <w:rPr>
          <w:rFonts w:ascii="Times New Roman" w:cs="Times New Roman" w:eastAsia="Times New Roman" w:hAnsi="Times New Roman"/>
          <w:sz w:val="22"/>
          <w:szCs w:val="22"/>
          <w:b w:val="1"/>
          <w:bCs w:val="1"/>
          <w:i w:val="1"/>
          <w:iCs w:val="1"/>
          <w:color w:val="auto"/>
        </w:rPr>
        <w:t>Incumbent Board</w:t>
      </w:r>
      <w:r>
        <w:rPr>
          <w:rFonts w:ascii="Times New Roman" w:cs="Times New Roman" w:eastAsia="Times New Roman" w:hAnsi="Times New Roman"/>
          <w:sz w:val="22"/>
          <w:szCs w:val="22"/>
          <w:color w:val="auto"/>
        </w:rPr>
        <w:t xml:space="preserve">”) cease for any reason to constitute at least a majority of the members of the Board;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if the appointment or election (or nomination for election) of any new Board member was approved or recommended by a majority vote of the members of the Incumbent Board then still in office, such new member shall, for purposes of this Plan, be considered as a member of the Incumbent Board.</w:t>
      </w:r>
    </w:p>
    <w:p>
      <w:pPr>
        <w:spacing w:after="0" w:line="153"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 xml:space="preserve">Notwithstanding the foregoing or any other provision of this Plan, (A) the term Change in Control shall not include a sale of assets, merger or other transaction effected exclusively for the purpose of changing the domicile of the Company, and (B) the definition of Change in Control (or any analogous term) in an individual written agreement between the Company or any Affiliate and the Participant shall supersede the foregoing definition with respect to Awards subject to such agreement;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if no definition of Change in Control or any analogous term is set forth in such an individual written agreement,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foregoing definition shall apply.</w:t>
      </w:r>
    </w:p>
    <w:p>
      <w:pPr>
        <w:spacing w:after="0" w:line="146" w:lineRule="exact"/>
        <w:rPr>
          <w:sz w:val="20"/>
          <w:szCs w:val="20"/>
          <w:color w:val="auto"/>
        </w:rPr>
      </w:pPr>
    </w:p>
    <w:p>
      <w:pPr>
        <w:ind w:right="20" w:firstLine="8"/>
        <w:spacing w:after="0" w:line="239" w:lineRule="auto"/>
        <w:tabs>
          <w:tab w:leader="none" w:pos="642" w:val="left"/>
        </w:tabs>
        <w:numPr>
          <w:ilvl w:val="0"/>
          <w:numId w:val="10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Code</w:t>
      </w:r>
      <w:r>
        <w:rPr>
          <w:rFonts w:ascii="Times New Roman" w:cs="Times New Roman" w:eastAsia="Times New Roman" w:hAnsi="Times New Roman"/>
          <w:sz w:val="22"/>
          <w:szCs w:val="22"/>
          <w:color w:val="auto"/>
        </w:rPr>
        <w:t>” means the Internal Revenue Code of 1986, as amended, including any applicable regulations and guidance thereunder.</w:t>
      </w:r>
    </w:p>
    <w:p>
      <w:pPr>
        <w:spacing w:after="0" w:line="144" w:lineRule="exact"/>
        <w:rPr>
          <w:rFonts w:ascii="Times New Roman" w:cs="Times New Roman" w:eastAsia="Times New Roman" w:hAnsi="Times New Roman"/>
          <w:sz w:val="22"/>
          <w:szCs w:val="22"/>
          <w:b w:val="1"/>
          <w:bCs w:val="1"/>
          <w:color w:val="auto"/>
        </w:rPr>
      </w:pPr>
    </w:p>
    <w:p>
      <w:pPr>
        <w:ind w:firstLine="8"/>
        <w:spacing w:after="0" w:line="239" w:lineRule="auto"/>
        <w:tabs>
          <w:tab w:leader="none" w:pos="636" w:val="left"/>
        </w:tabs>
        <w:numPr>
          <w:ilvl w:val="0"/>
          <w:numId w:val="10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Committee</w:t>
      </w:r>
      <w:r>
        <w:rPr>
          <w:rFonts w:ascii="Times New Roman" w:cs="Times New Roman" w:eastAsia="Times New Roman" w:hAnsi="Times New Roman"/>
          <w:sz w:val="22"/>
          <w:szCs w:val="22"/>
          <w:color w:val="auto"/>
        </w:rPr>
        <w:t>” means the Compensation Committee and any other committee of Directors to whom authority has been delegated by the Board or Compensation Committee in accordance with the Plan.</w:t>
      </w:r>
    </w:p>
    <w:p>
      <w:pPr>
        <w:spacing w:after="0" w:line="144" w:lineRule="exact"/>
        <w:rPr>
          <w:sz w:val="20"/>
          <w:szCs w:val="20"/>
          <w:color w:val="auto"/>
        </w:rPr>
      </w:pPr>
    </w:p>
    <w:p>
      <w:pPr>
        <w:ind w:left="640" w:hanging="632"/>
        <w:spacing w:after="0"/>
        <w:tabs>
          <w:tab w:leader="none" w:pos="640" w:val="left"/>
        </w:tabs>
        <w:numPr>
          <w:ilvl w:val="0"/>
          <w:numId w:val="10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Common Stock</w:t>
      </w:r>
      <w:r>
        <w:rPr>
          <w:rFonts w:ascii="Times New Roman" w:cs="Times New Roman" w:eastAsia="Times New Roman" w:hAnsi="Times New Roman"/>
          <w:sz w:val="22"/>
          <w:szCs w:val="22"/>
          <w:color w:val="auto"/>
        </w:rPr>
        <w:t>” means the Class A common stock of the Company.</w:t>
      </w:r>
    </w:p>
    <w:p>
      <w:pPr>
        <w:spacing w:after="0" w:line="179" w:lineRule="exact"/>
        <w:rPr>
          <w:rFonts w:ascii="Times New Roman" w:cs="Times New Roman" w:eastAsia="Times New Roman" w:hAnsi="Times New Roman"/>
          <w:sz w:val="22"/>
          <w:szCs w:val="22"/>
          <w:b w:val="1"/>
          <w:bCs w:val="1"/>
          <w:color w:val="auto"/>
        </w:rPr>
      </w:pPr>
    </w:p>
    <w:p>
      <w:pPr>
        <w:ind w:left="660" w:hanging="652"/>
        <w:spacing w:after="0"/>
        <w:tabs>
          <w:tab w:leader="none" w:pos="660" w:val="left"/>
        </w:tabs>
        <w:numPr>
          <w:ilvl w:val="0"/>
          <w:numId w:val="10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means Zoom Video Communications, Inc., a Delaware corporation.</w:t>
      </w:r>
    </w:p>
    <w:p>
      <w:pPr>
        <w:spacing w:after="0" w:line="179" w:lineRule="exact"/>
        <w:rPr>
          <w:rFonts w:ascii="Times New Roman" w:cs="Times New Roman" w:eastAsia="Times New Roman" w:hAnsi="Times New Roman"/>
          <w:sz w:val="22"/>
          <w:szCs w:val="22"/>
          <w:b w:val="1"/>
          <w:bCs w:val="1"/>
          <w:color w:val="auto"/>
        </w:rPr>
      </w:pPr>
    </w:p>
    <w:p>
      <w:pPr>
        <w:ind w:left="660" w:hanging="652"/>
        <w:spacing w:after="0"/>
        <w:tabs>
          <w:tab w:leader="none" w:pos="660" w:val="left"/>
        </w:tabs>
        <w:numPr>
          <w:ilvl w:val="0"/>
          <w:numId w:val="10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 xml:space="preserve">“Compensation Committee” </w:t>
      </w:r>
      <w:r>
        <w:rPr>
          <w:rFonts w:ascii="Times New Roman" w:cs="Times New Roman" w:eastAsia="Times New Roman" w:hAnsi="Times New Roman"/>
          <w:sz w:val="22"/>
          <w:szCs w:val="22"/>
          <w:color w:val="auto"/>
        </w:rPr>
        <w:t>means the Compensation Committee of the Board.</w:t>
      </w:r>
    </w:p>
    <w:p>
      <w:pPr>
        <w:spacing w:after="0" w:line="179" w:lineRule="exact"/>
        <w:rPr>
          <w:rFonts w:ascii="Times New Roman" w:cs="Times New Roman" w:eastAsia="Times New Roman" w:hAnsi="Times New Roman"/>
          <w:sz w:val="22"/>
          <w:szCs w:val="22"/>
          <w:b w:val="1"/>
          <w:bCs w:val="1"/>
          <w:color w:val="auto"/>
        </w:rPr>
      </w:pPr>
    </w:p>
    <w:p>
      <w:pPr>
        <w:jc w:val="both"/>
        <w:ind w:firstLine="8"/>
        <w:spacing w:after="0" w:line="216" w:lineRule="auto"/>
        <w:tabs>
          <w:tab w:leader="none" w:pos="648" w:val="left"/>
        </w:tabs>
        <w:numPr>
          <w:ilvl w:val="0"/>
          <w:numId w:val="10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Consultant</w:t>
      </w:r>
      <w:r>
        <w:rPr>
          <w:rFonts w:ascii="Times New Roman" w:cs="Times New Roman" w:eastAsia="Times New Roman" w:hAnsi="Times New Roman"/>
          <w:sz w:val="22"/>
          <w:szCs w:val="22"/>
          <w:color w:val="auto"/>
        </w:rPr>
        <w:t>” 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 Notwithstanding the foregoing, a person is treated as a Consultant under this Plan only if a Form S-8 Registration Statement under the Securities Act is available to register either the offer or the sale of the Company’s securities to such person.</w:t>
      </w:r>
    </w:p>
    <w:p>
      <w:pPr>
        <w:spacing w:after="0" w:line="145" w:lineRule="exact"/>
        <w:rPr>
          <w:rFonts w:ascii="Times New Roman" w:cs="Times New Roman" w:eastAsia="Times New Roman" w:hAnsi="Times New Roman"/>
          <w:sz w:val="22"/>
          <w:szCs w:val="22"/>
          <w:b w:val="1"/>
          <w:bCs w:val="1"/>
          <w:color w:val="auto"/>
        </w:rPr>
      </w:pPr>
    </w:p>
    <w:p>
      <w:pPr>
        <w:jc w:val="both"/>
        <w:ind w:firstLine="8"/>
        <w:spacing w:after="0" w:line="227" w:lineRule="auto"/>
        <w:tabs>
          <w:tab w:leader="none" w:pos="642" w:val="left"/>
        </w:tabs>
        <w:numPr>
          <w:ilvl w:val="0"/>
          <w:numId w:val="10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Continuous Service</w:t>
      </w:r>
      <w:r>
        <w:rPr>
          <w:rFonts w:ascii="Times New Roman" w:cs="Times New Roman" w:eastAsia="Times New Roman" w:hAnsi="Times New Roman"/>
          <w:sz w:val="22"/>
          <w:szCs w:val="22"/>
          <w:color w:val="auto"/>
        </w:rPr>
        <w:t>” means that the Participant’s service with the Company or an Affiliate, whether as an Employee, Director or Consultant, is not interrupted or terminated. A change in the capacity in which the Participant renders service to the Company or an Affiliate as an Employee, Director or Consultant or a change in the Entity for which the Participant renders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3"/>
          <w:szCs w:val="13"/>
          <w:color w:val="auto"/>
        </w:rPr>
        <w:t>197532205 v11</w:t>
      </w:r>
    </w:p>
    <w:p>
      <w:pPr>
        <w:sectPr>
          <w:pgSz w:w="11900" w:h="16838" w:orient="portrait"/>
          <w:cols w:equalWidth="0" w:num="1">
            <w:col w:w="11240"/>
          </w:cols>
          <w:pgMar w:left="320" w:top="1395" w:right="339" w:bottom="1440" w:gutter="0" w:footer="0" w:header="0"/>
        </w:sectPr>
      </w:pPr>
    </w:p>
    <w:bookmarkStart w:id="95" w:name="page96"/>
    <w:bookmarkEnd w:id="95"/>
    <w:p>
      <w:pPr>
        <w:jc w:val="both"/>
        <w:spacing w:after="0" w:line="209" w:lineRule="auto"/>
        <w:rPr>
          <w:sz w:val="20"/>
          <w:szCs w:val="20"/>
          <w:color w:val="auto"/>
        </w:rPr>
      </w:pPr>
      <w:r>
        <w:rPr>
          <w:rFonts w:ascii="Times New Roman" w:cs="Times New Roman" w:eastAsia="Times New Roman" w:hAnsi="Times New Roman"/>
          <w:sz w:val="22"/>
          <w:szCs w:val="22"/>
          <w:color w:val="auto"/>
        </w:rPr>
        <w:t xml:space="preserve">such service, provided that there is no interruption or termination of the Participant’s service with the Company or an Affiliate, will not terminate a Participant’s Continuous Service;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if the Entity for which a Participant is rendering services ceases to qualify as an Affiliate, as determined by the Board, such Participant’s Continuous Service will be considered to have terminated on the date such Entity ceases to qualify as an Affiliate. For example, a change in status from an Employee of the Company to a Consultant of an Affiliate or to a Director will not constitute an interruption of Continuous Service. To the extent permitted by law, the Board or the chief executive officer of the Company, in that party’s sole discretion, may determine whether Continuous Service will be considered interrupted in the case of (i) any leave of absence approved by the Board or chief executive officer, including sick leave, military leave or any other personal leave, or (ii) transfers between the Company, an Affiliate, or their successors. Notwithstanding the foregoing, a leave of absence will be treated as Continuous Service for purposes of vesting in an Award only to such extent as may be provided in the Company’s leave of absence policy, in the written terms of any leave of absence agreement or policy applicable to the Participant, or as otherwise required by law. In addition, to the extent required for exemption from or compliance with Section 409A, the determination of whether there has been a termination of Continuous Service will be made, and such term will be construed, in a manner that is consistent with the definition of “separation from service” as defined under Treasury Regulation Section 1.409A-1(h) (without regard to any alternative definition thereunder).</w:t>
      </w:r>
    </w:p>
    <w:p>
      <w:pPr>
        <w:spacing w:after="0" w:line="145" w:lineRule="exact"/>
        <w:rPr>
          <w:sz w:val="20"/>
          <w:szCs w:val="20"/>
          <w:color w:val="auto"/>
        </w:rPr>
      </w:pPr>
    </w:p>
    <w:p>
      <w:pPr>
        <w:ind w:firstLine="8"/>
        <w:spacing w:after="0" w:line="239" w:lineRule="auto"/>
        <w:tabs>
          <w:tab w:leader="none" w:pos="643" w:val="left"/>
        </w:tabs>
        <w:numPr>
          <w:ilvl w:val="0"/>
          <w:numId w:val="10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Corporate Transaction</w:t>
      </w:r>
      <w:r>
        <w:rPr>
          <w:rFonts w:ascii="Times New Roman" w:cs="Times New Roman" w:eastAsia="Times New Roman" w:hAnsi="Times New Roman"/>
          <w:sz w:val="22"/>
          <w:szCs w:val="22"/>
          <w:color w:val="auto"/>
        </w:rPr>
        <w:t>” means the consummation, in a single transaction or in a series of related transactions, of any one or more of the following events:</w:t>
      </w:r>
    </w:p>
    <w:p>
      <w:pPr>
        <w:spacing w:after="0" w:line="150" w:lineRule="exact"/>
        <w:rPr>
          <w:sz w:val="20"/>
          <w:szCs w:val="20"/>
          <w:color w:val="auto"/>
        </w:rPr>
      </w:pPr>
    </w:p>
    <w:p>
      <w:pPr>
        <w:ind w:firstLine="8"/>
        <w:spacing w:after="0" w:line="236" w:lineRule="auto"/>
        <w:tabs>
          <w:tab w:leader="none" w:pos="636" w:val="left"/>
        </w:tabs>
        <w:numPr>
          <w:ilvl w:val="0"/>
          <w:numId w:val="10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 sale or other disposition of all or substantially all, as determined by the Board, of the consolidated assets of the Company and its Subsidiaries;</w:t>
      </w:r>
    </w:p>
    <w:p>
      <w:pPr>
        <w:spacing w:after="0" w:line="150" w:lineRule="exact"/>
        <w:rPr>
          <w:rFonts w:ascii="Times New Roman" w:cs="Times New Roman" w:eastAsia="Times New Roman" w:hAnsi="Times New Roman"/>
          <w:sz w:val="22"/>
          <w:szCs w:val="22"/>
          <w:b w:val="1"/>
          <w:bCs w:val="1"/>
          <w:color w:val="auto"/>
        </w:rPr>
      </w:pPr>
    </w:p>
    <w:p>
      <w:pPr>
        <w:ind w:left="640" w:hanging="632"/>
        <w:spacing w:after="0"/>
        <w:tabs>
          <w:tab w:leader="none" w:pos="640" w:val="left"/>
        </w:tabs>
        <w:numPr>
          <w:ilvl w:val="0"/>
          <w:numId w:val="10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 sale or other disposition of at least 50% of the outstanding securities of the Company;</w:t>
      </w:r>
    </w:p>
    <w:p>
      <w:pPr>
        <w:spacing w:after="0" w:line="179" w:lineRule="exact"/>
        <w:rPr>
          <w:rFonts w:ascii="Times New Roman" w:cs="Times New Roman" w:eastAsia="Times New Roman" w:hAnsi="Times New Roman"/>
          <w:sz w:val="22"/>
          <w:szCs w:val="22"/>
          <w:b w:val="1"/>
          <w:bCs w:val="1"/>
          <w:color w:val="auto"/>
        </w:rPr>
      </w:pPr>
    </w:p>
    <w:p>
      <w:pPr>
        <w:ind w:left="660" w:hanging="652"/>
        <w:spacing w:after="0"/>
        <w:tabs>
          <w:tab w:leader="none" w:pos="660" w:val="left"/>
        </w:tabs>
        <w:numPr>
          <w:ilvl w:val="0"/>
          <w:numId w:val="10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 merger, consolidation or similar transaction following which the Company is not the surviving corporation; or</w:t>
      </w:r>
    </w:p>
    <w:p>
      <w:pPr>
        <w:spacing w:after="0" w:line="179" w:lineRule="exact"/>
        <w:rPr>
          <w:rFonts w:ascii="Times New Roman" w:cs="Times New Roman" w:eastAsia="Times New Roman" w:hAnsi="Times New Roman"/>
          <w:sz w:val="22"/>
          <w:szCs w:val="22"/>
          <w:b w:val="1"/>
          <w:bCs w:val="1"/>
          <w:color w:val="auto"/>
        </w:rPr>
      </w:pPr>
    </w:p>
    <w:p>
      <w:pPr>
        <w:jc w:val="both"/>
        <w:ind w:firstLine="8"/>
        <w:spacing w:after="0" w:line="220" w:lineRule="auto"/>
        <w:tabs>
          <w:tab w:leader="none" w:pos="636" w:val="left"/>
        </w:tabs>
        <w:numPr>
          <w:ilvl w:val="0"/>
          <w:numId w:val="10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146" w:lineRule="exact"/>
        <w:rPr>
          <w:sz w:val="20"/>
          <w:szCs w:val="20"/>
          <w:color w:val="auto"/>
        </w:rPr>
      </w:pPr>
    </w:p>
    <w:p>
      <w:pPr>
        <w:ind w:left="660" w:hanging="652"/>
        <w:spacing w:after="0"/>
        <w:tabs>
          <w:tab w:leader="none" w:pos="660" w:val="left"/>
        </w:tabs>
        <w:numPr>
          <w:ilvl w:val="0"/>
          <w:numId w:val="10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Director</w:t>
      </w:r>
      <w:r>
        <w:rPr>
          <w:rFonts w:ascii="Times New Roman" w:cs="Times New Roman" w:eastAsia="Times New Roman" w:hAnsi="Times New Roman"/>
          <w:sz w:val="22"/>
          <w:szCs w:val="22"/>
          <w:color w:val="auto"/>
        </w:rPr>
        <w:t>” means a member of the Board.</w:t>
      </w:r>
    </w:p>
    <w:p>
      <w:pPr>
        <w:spacing w:after="0" w:line="179" w:lineRule="exact"/>
        <w:rPr>
          <w:rFonts w:ascii="Times New Roman" w:cs="Times New Roman" w:eastAsia="Times New Roman" w:hAnsi="Times New Roman"/>
          <w:sz w:val="22"/>
          <w:szCs w:val="22"/>
          <w:b w:val="1"/>
          <w:bCs w:val="1"/>
          <w:color w:val="auto"/>
        </w:rPr>
      </w:pPr>
    </w:p>
    <w:p>
      <w:pPr>
        <w:ind w:left="640" w:hanging="632"/>
        <w:spacing w:after="0"/>
        <w:tabs>
          <w:tab w:leader="none" w:pos="640" w:val="left"/>
        </w:tabs>
        <w:numPr>
          <w:ilvl w:val="0"/>
          <w:numId w:val="10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i w:val="1"/>
          <w:iCs w:val="1"/>
          <w:color w:val="auto"/>
        </w:rPr>
        <w:t xml:space="preserve">“determine” or “determined” </w:t>
      </w:r>
      <w:r>
        <w:rPr>
          <w:rFonts w:ascii="Times New Roman" w:cs="Times New Roman" w:eastAsia="Times New Roman" w:hAnsi="Times New Roman"/>
          <w:sz w:val="21"/>
          <w:szCs w:val="21"/>
          <w:color w:val="auto"/>
        </w:rPr>
        <w:t>means as determined by the Board or the Committee (or its designee) in its sole discretion.</w:t>
      </w:r>
    </w:p>
    <w:p>
      <w:pPr>
        <w:spacing w:after="0" w:line="190" w:lineRule="exact"/>
        <w:rPr>
          <w:rFonts w:ascii="Times New Roman" w:cs="Times New Roman" w:eastAsia="Times New Roman" w:hAnsi="Times New Roman"/>
          <w:sz w:val="21"/>
          <w:szCs w:val="21"/>
          <w:b w:val="1"/>
          <w:bCs w:val="1"/>
          <w:color w:val="auto"/>
        </w:rPr>
      </w:pPr>
    </w:p>
    <w:p>
      <w:pPr>
        <w:jc w:val="both"/>
        <w:ind w:firstLine="8"/>
        <w:spacing w:after="0" w:line="232" w:lineRule="auto"/>
        <w:tabs>
          <w:tab w:leader="none" w:pos="645" w:val="left"/>
        </w:tabs>
        <w:numPr>
          <w:ilvl w:val="0"/>
          <w:numId w:val="10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Disability</w:t>
      </w:r>
      <w:r>
        <w:rPr>
          <w:rFonts w:ascii="Times New Roman" w:cs="Times New Roman" w:eastAsia="Times New Roman" w:hAnsi="Times New Roman"/>
          <w:sz w:val="21"/>
          <w:szCs w:val="21"/>
          <w:color w:val="auto"/>
        </w:rPr>
        <w:t>” means, with respect to a Participant, such Participant is unable to engage in any substantial gainful activity by reason of any medically determinable physical or mental impairment which can be expected to result in death or which has lasted or can be expected to last for a continuous period of not less than 12 months, as provided in Section 22(e)(3) of the Code, and will be determined by the Board on the basis of such medical evidence as the Board deems warranted under the circumstances.</w:t>
      </w:r>
    </w:p>
    <w:p>
      <w:pPr>
        <w:spacing w:after="0" w:line="139" w:lineRule="exact"/>
        <w:rPr>
          <w:rFonts w:ascii="Times New Roman" w:cs="Times New Roman" w:eastAsia="Times New Roman" w:hAnsi="Times New Roman"/>
          <w:sz w:val="21"/>
          <w:szCs w:val="21"/>
          <w:b w:val="1"/>
          <w:bCs w:val="1"/>
          <w:color w:val="auto"/>
        </w:rPr>
      </w:pPr>
    </w:p>
    <w:p>
      <w:pPr>
        <w:ind w:left="720" w:hanging="712"/>
        <w:spacing w:after="0"/>
        <w:tabs>
          <w:tab w:leader="none" w:pos="720" w:val="left"/>
        </w:tabs>
        <w:numPr>
          <w:ilvl w:val="0"/>
          <w:numId w:val="10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Effective Date</w:t>
      </w:r>
      <w:r>
        <w:rPr>
          <w:rFonts w:ascii="Times New Roman" w:cs="Times New Roman" w:eastAsia="Times New Roman" w:hAnsi="Times New Roman"/>
          <w:sz w:val="22"/>
          <w:szCs w:val="22"/>
          <w:color w:val="auto"/>
        </w:rPr>
        <w:t>” means the IPO Date, provided this Plan is approved by the Company’s stockholders prior to the IPO</w:t>
      </w:r>
    </w:p>
    <w:p>
      <w:pPr>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3"/>
          <w:szCs w:val="13"/>
          <w:color w:val="auto"/>
        </w:rPr>
        <w:t>197532205 v11</w:t>
      </w:r>
    </w:p>
    <w:p>
      <w:pPr>
        <w:sectPr>
          <w:pgSz w:w="11900" w:h="16838" w:orient="portrait"/>
          <w:cols w:equalWidth="0" w:num="1">
            <w:col w:w="11240"/>
          </w:cols>
          <w:pgMar w:left="320" w:top="1395" w:right="339" w:bottom="1440" w:gutter="0" w:footer="0" w:header="0"/>
        </w:sectPr>
      </w:pPr>
    </w:p>
    <w:bookmarkStart w:id="96" w:name="page97"/>
    <w:bookmarkEnd w:id="96"/>
    <w:p>
      <w:pPr>
        <w:ind w:firstLine="8"/>
        <w:spacing w:after="0" w:line="239" w:lineRule="auto"/>
        <w:tabs>
          <w:tab w:leader="none" w:pos="645" w:val="left"/>
        </w:tabs>
        <w:numPr>
          <w:ilvl w:val="0"/>
          <w:numId w:val="1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Employee</w:t>
      </w:r>
      <w:r>
        <w:rPr>
          <w:rFonts w:ascii="Times New Roman" w:cs="Times New Roman" w:eastAsia="Times New Roman" w:hAnsi="Times New Roman"/>
          <w:sz w:val="22"/>
          <w:szCs w:val="22"/>
          <w:color w:val="auto"/>
        </w:rPr>
        <w:t>” means any person employed by the Company or an Affiliate. However, service solely as a Director, or payment of a fee for such services, will not cause a Director to be considered an “Employee” for purposes of the Plan.</w:t>
      </w:r>
    </w:p>
    <w:p>
      <w:pPr>
        <w:spacing w:after="0" w:line="144" w:lineRule="exact"/>
        <w:rPr>
          <w:rFonts w:ascii="Times New Roman" w:cs="Times New Roman" w:eastAsia="Times New Roman" w:hAnsi="Times New Roman"/>
          <w:sz w:val="22"/>
          <w:szCs w:val="22"/>
          <w:b w:val="1"/>
          <w:bCs w:val="1"/>
          <w:color w:val="auto"/>
        </w:rPr>
      </w:pPr>
    </w:p>
    <w:p>
      <w:pPr>
        <w:ind w:left="660" w:hanging="652"/>
        <w:spacing w:after="0"/>
        <w:tabs>
          <w:tab w:leader="none" w:pos="660" w:val="left"/>
        </w:tabs>
        <w:numPr>
          <w:ilvl w:val="0"/>
          <w:numId w:val="1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Employer</w:t>
      </w:r>
      <w:r>
        <w:rPr>
          <w:rFonts w:ascii="Times New Roman" w:cs="Times New Roman" w:eastAsia="Times New Roman" w:hAnsi="Times New Roman"/>
          <w:sz w:val="22"/>
          <w:szCs w:val="22"/>
          <w:color w:val="auto"/>
        </w:rPr>
        <w:t>” means the Company or the Affiliate of the Company that employs the Participant.</w:t>
      </w:r>
    </w:p>
    <w:p>
      <w:pPr>
        <w:spacing w:after="0" w:line="179" w:lineRule="exact"/>
        <w:rPr>
          <w:rFonts w:ascii="Times New Roman" w:cs="Times New Roman" w:eastAsia="Times New Roman" w:hAnsi="Times New Roman"/>
          <w:sz w:val="22"/>
          <w:szCs w:val="22"/>
          <w:b w:val="1"/>
          <w:bCs w:val="1"/>
          <w:color w:val="auto"/>
        </w:rPr>
      </w:pPr>
    </w:p>
    <w:p>
      <w:pPr>
        <w:ind w:left="660" w:hanging="652"/>
        <w:spacing w:after="0"/>
        <w:tabs>
          <w:tab w:leader="none" w:pos="660" w:val="left"/>
        </w:tabs>
        <w:numPr>
          <w:ilvl w:val="0"/>
          <w:numId w:val="1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Entity</w:t>
      </w:r>
      <w:r>
        <w:rPr>
          <w:rFonts w:ascii="Times New Roman" w:cs="Times New Roman" w:eastAsia="Times New Roman" w:hAnsi="Times New Roman"/>
          <w:sz w:val="22"/>
          <w:szCs w:val="22"/>
          <w:color w:val="auto"/>
        </w:rPr>
        <w:t>” means a corporation, partnership, limited liability company or other entity.</w:t>
      </w:r>
    </w:p>
    <w:p>
      <w:pPr>
        <w:spacing w:after="0" w:line="179" w:lineRule="exact"/>
        <w:rPr>
          <w:rFonts w:ascii="Times New Roman" w:cs="Times New Roman" w:eastAsia="Times New Roman" w:hAnsi="Times New Roman"/>
          <w:sz w:val="22"/>
          <w:szCs w:val="22"/>
          <w:b w:val="1"/>
          <w:bCs w:val="1"/>
          <w:color w:val="auto"/>
        </w:rPr>
      </w:pPr>
    </w:p>
    <w:p>
      <w:pPr>
        <w:ind w:firstLine="8"/>
        <w:spacing w:after="0" w:line="239" w:lineRule="auto"/>
        <w:tabs>
          <w:tab w:leader="none" w:pos="642" w:val="left"/>
        </w:tabs>
        <w:numPr>
          <w:ilvl w:val="0"/>
          <w:numId w:val="1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Exchange Act</w:t>
      </w:r>
      <w:r>
        <w:rPr>
          <w:rFonts w:ascii="Times New Roman" w:cs="Times New Roman" w:eastAsia="Times New Roman" w:hAnsi="Times New Roman"/>
          <w:sz w:val="22"/>
          <w:szCs w:val="22"/>
          <w:color w:val="auto"/>
        </w:rPr>
        <w:t>” means the Securities Exchange Act of 1934, as amended, and the rules and regulations promulgated thereunder.</w:t>
      </w:r>
    </w:p>
    <w:p>
      <w:pPr>
        <w:spacing w:after="0" w:line="144" w:lineRule="exact"/>
        <w:rPr>
          <w:rFonts w:ascii="Times New Roman" w:cs="Times New Roman" w:eastAsia="Times New Roman" w:hAnsi="Times New Roman"/>
          <w:sz w:val="22"/>
          <w:szCs w:val="22"/>
          <w:b w:val="1"/>
          <w:bCs w:val="1"/>
          <w:color w:val="auto"/>
        </w:rPr>
      </w:pPr>
    </w:p>
    <w:p>
      <w:pPr>
        <w:jc w:val="both"/>
        <w:ind w:firstLine="8"/>
        <w:spacing w:after="0" w:line="212" w:lineRule="auto"/>
        <w:tabs>
          <w:tab w:leader="none" w:pos="636" w:val="left"/>
        </w:tabs>
        <w:numPr>
          <w:ilvl w:val="0"/>
          <w:numId w:val="1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Exchange Act Person</w:t>
      </w:r>
      <w:r>
        <w:rPr>
          <w:rFonts w:ascii="Times New Roman" w:cs="Times New Roman" w:eastAsia="Times New Roman" w:hAnsi="Times New Roman"/>
          <w:sz w:val="22"/>
          <w:szCs w:val="22"/>
          <w:color w:val="auto"/>
        </w:rPr>
        <w:t>” 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50% of the combined voting power of the Company’s then outstanding securities.</w:t>
      </w:r>
    </w:p>
    <w:p>
      <w:pPr>
        <w:spacing w:after="0" w:line="148" w:lineRule="exact"/>
        <w:rPr>
          <w:rFonts w:ascii="Times New Roman" w:cs="Times New Roman" w:eastAsia="Times New Roman" w:hAnsi="Times New Roman"/>
          <w:sz w:val="22"/>
          <w:szCs w:val="22"/>
          <w:b w:val="1"/>
          <w:bCs w:val="1"/>
          <w:color w:val="auto"/>
        </w:rPr>
      </w:pPr>
    </w:p>
    <w:p>
      <w:pPr>
        <w:ind w:right="20" w:firstLine="8"/>
        <w:spacing w:after="0" w:line="239" w:lineRule="auto"/>
        <w:tabs>
          <w:tab w:leader="none" w:pos="648" w:val="left"/>
        </w:tabs>
        <w:numPr>
          <w:ilvl w:val="0"/>
          <w:numId w:val="1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Fair Market Value</w:t>
      </w:r>
      <w:r>
        <w:rPr>
          <w:rFonts w:ascii="Times New Roman" w:cs="Times New Roman" w:eastAsia="Times New Roman" w:hAnsi="Times New Roman"/>
          <w:sz w:val="22"/>
          <w:szCs w:val="22"/>
          <w:color w:val="auto"/>
        </w:rPr>
        <w:t>” means, as of any date, unless otherwise determined by the Board, the value of the Common Stock (as determined on a per share or aggregate basis, as applicable) determined as follows:</w:t>
      </w:r>
    </w:p>
    <w:p>
      <w:pPr>
        <w:spacing w:after="0" w:line="150" w:lineRule="exact"/>
        <w:rPr>
          <w:sz w:val="20"/>
          <w:szCs w:val="20"/>
          <w:color w:val="auto"/>
        </w:rPr>
      </w:pPr>
    </w:p>
    <w:p>
      <w:pPr>
        <w:jc w:val="both"/>
        <w:ind w:firstLine="8"/>
        <w:spacing w:after="0" w:line="236" w:lineRule="auto"/>
        <w:tabs>
          <w:tab w:leader="none" w:pos="643" w:val="left"/>
        </w:tabs>
        <w:numPr>
          <w:ilvl w:val="0"/>
          <w:numId w:val="11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If the Common Stock is listed on any established stock exchange or traded on any established market, the Fair Market Value will be the closing sales price for such stock as quoted on such exchange or market (or the exchange or market with the greatest volume of trading in the Common Stock) on the date of determination, as reported in a source the Board deems reliable.</w:t>
      </w:r>
    </w:p>
    <w:p>
      <w:pPr>
        <w:spacing w:after="0" w:line="151" w:lineRule="exact"/>
        <w:rPr>
          <w:rFonts w:ascii="Times New Roman" w:cs="Times New Roman" w:eastAsia="Times New Roman" w:hAnsi="Times New Roman"/>
          <w:sz w:val="21"/>
          <w:szCs w:val="21"/>
          <w:b w:val="1"/>
          <w:bCs w:val="1"/>
          <w:color w:val="auto"/>
        </w:rPr>
      </w:pPr>
    </w:p>
    <w:p>
      <w:pPr>
        <w:ind w:firstLine="8"/>
        <w:spacing w:after="0" w:line="236" w:lineRule="auto"/>
        <w:tabs>
          <w:tab w:leader="none" w:pos="636" w:val="left"/>
        </w:tabs>
        <w:numPr>
          <w:ilvl w:val="0"/>
          <w:numId w:val="1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there is no closing sales price for the Common Stock on the date of determination, then the Fair Market Value will be the closing selling price on the last preceding date for which such quotation exists.</w:t>
      </w:r>
    </w:p>
    <w:p>
      <w:pPr>
        <w:spacing w:after="0" w:line="150" w:lineRule="exact"/>
        <w:rPr>
          <w:rFonts w:ascii="Times New Roman" w:cs="Times New Roman" w:eastAsia="Times New Roman" w:hAnsi="Times New Roman"/>
          <w:sz w:val="22"/>
          <w:szCs w:val="22"/>
          <w:b w:val="1"/>
          <w:bCs w:val="1"/>
          <w:color w:val="auto"/>
        </w:rPr>
      </w:pPr>
    </w:p>
    <w:p>
      <w:pPr>
        <w:ind w:firstLine="8"/>
        <w:spacing w:after="0" w:line="236" w:lineRule="auto"/>
        <w:tabs>
          <w:tab w:leader="none" w:pos="642" w:val="left"/>
        </w:tabs>
        <w:numPr>
          <w:ilvl w:val="0"/>
          <w:numId w:val="1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In the absence of such markets for the Common Stock, or if otherwise determined by the Board, the Fair Market Value will be determined by the Board in good faith and in a manner that complies with Sections 409A and 422 of the Code.</w:t>
      </w:r>
    </w:p>
    <w:p>
      <w:pPr>
        <w:spacing w:after="0" w:line="144" w:lineRule="exact"/>
        <w:rPr>
          <w:sz w:val="20"/>
          <w:szCs w:val="20"/>
          <w:color w:val="auto"/>
        </w:rPr>
      </w:pPr>
    </w:p>
    <w:p>
      <w:pPr>
        <w:jc w:val="both"/>
        <w:ind w:firstLine="8"/>
        <w:spacing w:after="0" w:line="214" w:lineRule="auto"/>
        <w:tabs>
          <w:tab w:leader="none" w:pos="645" w:val="left"/>
        </w:tabs>
        <w:numPr>
          <w:ilvl w:val="0"/>
          <w:numId w:val="1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Governmental Body</w:t>
      </w:r>
      <w:r>
        <w:rPr>
          <w:rFonts w:ascii="Times New Roman" w:cs="Times New Roman" w:eastAsia="Times New Roman" w:hAnsi="Times New Roman"/>
          <w:sz w:val="22"/>
          <w:szCs w:val="22"/>
          <w:color w:val="auto"/>
        </w:rPr>
        <w:t>” means any: (a) nation, state, commonwealth, province, territory, county, municipality, district or other jurisdiction of any nature; (b) federal, state, local, municipal, foreign or other government; (c) governmental or regulatory body, or quasi-governmental body of any nature (including any governmental division, department, administrative agency or bureau, commission, authority, instrumentality, official, ministry, fund, foundation, center, organization, unit, body or Entity and any court or other tribunal, and for the avoidance of doubt, any Tax authority) or other body exercising similar powers or authority; or (d) self-regulatory organization (including the NASDAQ Stock Market and the Financial Industry Regulatory Authority).</w:t>
      </w:r>
    </w:p>
    <w:p>
      <w:pPr>
        <w:spacing w:after="0" w:line="149" w:lineRule="exact"/>
        <w:rPr>
          <w:sz w:val="20"/>
          <w:szCs w:val="20"/>
          <w:color w:val="auto"/>
        </w:rPr>
      </w:pPr>
    </w:p>
    <w:p>
      <w:pPr>
        <w:ind w:firstLine="8"/>
        <w:spacing w:after="0" w:line="239" w:lineRule="auto"/>
        <w:tabs>
          <w:tab w:leader="none" w:pos="709" w:val="left"/>
        </w:tabs>
        <w:numPr>
          <w:ilvl w:val="0"/>
          <w:numId w:val="1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 xml:space="preserve">“Grant Notice” </w:t>
      </w:r>
      <w:r>
        <w:rPr>
          <w:rFonts w:ascii="Times New Roman" w:cs="Times New Roman" w:eastAsia="Times New Roman" w:hAnsi="Times New Roman"/>
          <w:sz w:val="22"/>
          <w:szCs w:val="22"/>
          <w:color w:val="auto"/>
        </w:rPr>
        <w:t>means the notice provided to a Participant that he or she has been granted an Award under the Plan and</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which includes the name of the Participant, the type of</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3"/>
          <w:szCs w:val="13"/>
          <w:color w:val="auto"/>
        </w:rPr>
        <w:t>197532205 v11</w:t>
      </w:r>
    </w:p>
    <w:p>
      <w:pPr>
        <w:sectPr>
          <w:pgSz w:w="11900" w:h="16838" w:orient="portrait"/>
          <w:cols w:equalWidth="0" w:num="1">
            <w:col w:w="11240"/>
          </w:cols>
          <w:pgMar w:left="320" w:top="1389" w:right="339" w:bottom="1440" w:gutter="0" w:footer="0" w:header="0"/>
        </w:sectPr>
      </w:pPr>
    </w:p>
    <w:bookmarkStart w:id="97" w:name="page98"/>
    <w:bookmarkEnd w:id="97"/>
    <w:p>
      <w:pPr>
        <w:spacing w:after="0" w:line="236" w:lineRule="auto"/>
        <w:rPr>
          <w:sz w:val="20"/>
          <w:szCs w:val="20"/>
          <w:color w:val="auto"/>
        </w:rPr>
      </w:pPr>
      <w:r>
        <w:rPr>
          <w:rFonts w:ascii="Times New Roman" w:cs="Times New Roman" w:eastAsia="Times New Roman" w:hAnsi="Times New Roman"/>
          <w:sz w:val="22"/>
          <w:szCs w:val="22"/>
          <w:color w:val="auto"/>
        </w:rPr>
        <w:t>Award, the date of grant of the Award, number of shares of Common Stock subject to the Award or potential cash payment right, (if any), the vesting schedule for the Award (if any) and other key terms applicable to the Award.</w:t>
      </w:r>
    </w:p>
    <w:p>
      <w:pPr>
        <w:spacing w:after="0" w:line="144" w:lineRule="exact"/>
        <w:rPr>
          <w:sz w:val="20"/>
          <w:szCs w:val="20"/>
          <w:color w:val="auto"/>
        </w:rPr>
      </w:pPr>
    </w:p>
    <w:p>
      <w:pPr>
        <w:ind w:right="20" w:firstLine="8"/>
        <w:spacing w:after="0" w:line="239" w:lineRule="auto"/>
        <w:tabs>
          <w:tab w:leader="none" w:pos="642" w:val="left"/>
        </w:tabs>
        <w:numPr>
          <w:ilvl w:val="0"/>
          <w:numId w:val="11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Incentive Stock Option</w:t>
      </w:r>
      <w:r>
        <w:rPr>
          <w:rFonts w:ascii="Times New Roman" w:cs="Times New Roman" w:eastAsia="Times New Roman" w:hAnsi="Times New Roman"/>
          <w:sz w:val="22"/>
          <w:szCs w:val="22"/>
          <w:color w:val="auto"/>
        </w:rPr>
        <w:t>” means an option granted pursuant to Section 4 of the Plan that is intended to be, and qualifies as, an “incentive stock option” within the meaning of Section 422 of the Code.</w:t>
      </w:r>
    </w:p>
    <w:p>
      <w:pPr>
        <w:spacing w:after="0" w:line="144" w:lineRule="exact"/>
        <w:rPr>
          <w:rFonts w:ascii="Times New Roman" w:cs="Times New Roman" w:eastAsia="Times New Roman" w:hAnsi="Times New Roman"/>
          <w:sz w:val="22"/>
          <w:szCs w:val="22"/>
          <w:b w:val="1"/>
          <w:bCs w:val="1"/>
          <w:color w:val="auto"/>
        </w:rPr>
      </w:pPr>
    </w:p>
    <w:p>
      <w:pPr>
        <w:ind w:firstLine="8"/>
        <w:spacing w:after="0" w:line="239" w:lineRule="auto"/>
        <w:tabs>
          <w:tab w:leader="none" w:pos="643" w:val="left"/>
        </w:tabs>
        <w:numPr>
          <w:ilvl w:val="0"/>
          <w:numId w:val="11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IPO Date</w:t>
      </w:r>
      <w:r>
        <w:rPr>
          <w:rFonts w:ascii="Times New Roman" w:cs="Times New Roman" w:eastAsia="Times New Roman" w:hAnsi="Times New Roman"/>
          <w:sz w:val="22"/>
          <w:szCs w:val="22"/>
          <w:color w:val="auto"/>
        </w:rPr>
        <w:t>” means the date of the underwriting agreement between the Company and the underwriter(s) managing the initial public offering of the Common Stock, pursuant to which the Common Stock is priced for the initial public offering.</w:t>
      </w:r>
    </w:p>
    <w:p>
      <w:pPr>
        <w:spacing w:after="0" w:line="144" w:lineRule="exact"/>
        <w:rPr>
          <w:sz w:val="20"/>
          <w:szCs w:val="20"/>
          <w:color w:val="auto"/>
        </w:rPr>
      </w:pPr>
    </w:p>
    <w:p>
      <w:pPr>
        <w:jc w:val="both"/>
        <w:ind w:firstLine="8"/>
        <w:spacing w:after="0" w:line="211" w:lineRule="auto"/>
        <w:tabs>
          <w:tab w:leader="none" w:pos="642" w:val="left"/>
        </w:tabs>
        <w:numPr>
          <w:ilvl w:val="0"/>
          <w:numId w:val="1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 xml:space="preserve">“Materially Impair” </w:t>
      </w:r>
      <w:r>
        <w:rPr>
          <w:rFonts w:ascii="Times New Roman" w:cs="Times New Roman" w:eastAsia="Times New Roman" w:hAnsi="Times New Roman"/>
          <w:sz w:val="22"/>
          <w:szCs w:val="22"/>
          <w:color w:val="auto"/>
        </w:rPr>
        <w:t>means any amendment to the terms of the Award that materially adversely affects the Participant’s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rights under the Award. A Participant's rights under an Award will not be deemed to have been Materially Impaired by any such amendment if the Board, in its sole discretion, determines that the amendment, taken as a whole, does not materially impair the Participant's rights. For example, the following types of amendments to the terms of an Award do not Materially Impair the Participant’s rights under the Award: (i) imposition of reasonable restrictions on the minimum number of shares subject to an Option that may be exercised, (ii) to maintain the qualified status of the Award as an Incentive Stock Option under Section 422 of the Code; (iii) to change the terms of an Incentive Stock Option in a manner that disqualifies, impairs or otherwise affects the qualified status of the Award as an Incentive Stock Option under Section 422 of the Code; (iv) to clarify the manner of exemption from, or to bring the Award into compliance with or qualify it for an exemption from, Section 409A; or (v) to comply with other Applicable Laws.</w:t>
      </w:r>
    </w:p>
    <w:p>
      <w:pPr>
        <w:spacing w:after="0" w:line="152" w:lineRule="exact"/>
        <w:rPr>
          <w:sz w:val="20"/>
          <w:szCs w:val="20"/>
          <w:color w:val="auto"/>
        </w:rPr>
      </w:pPr>
    </w:p>
    <w:p>
      <w:pPr>
        <w:jc w:val="both"/>
        <w:ind w:firstLine="8"/>
        <w:spacing w:after="0" w:line="214" w:lineRule="auto"/>
        <w:tabs>
          <w:tab w:leader="none" w:pos="642" w:val="left"/>
        </w:tabs>
        <w:numPr>
          <w:ilvl w:val="0"/>
          <w:numId w:val="1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Non-Employee Director</w:t>
      </w:r>
      <w:r>
        <w:rPr>
          <w:rFonts w:ascii="Times New Roman" w:cs="Times New Roman" w:eastAsia="Times New Roman" w:hAnsi="Times New Roman"/>
          <w:sz w:val="22"/>
          <w:szCs w:val="22"/>
          <w:color w:val="auto"/>
        </w:rPr>
        <w:t>” means a Director who either (i) is not a current employee or officer of the Company or an Affiliate, does not 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w:t>
      </w:r>
      <w:r>
        <w:rPr>
          <w:rFonts w:ascii="Times New Roman" w:cs="Times New Roman" w:eastAsia="Times New Roman" w:hAnsi="Times New Roman"/>
          <w:sz w:val="22"/>
          <w:szCs w:val="22"/>
          <w:b w:val="1"/>
          <w:bCs w:val="1"/>
          <w:i w:val="1"/>
          <w:iCs w:val="1"/>
          <w:color w:val="auto"/>
        </w:rPr>
        <w:t>Regulation S-K</w:t>
      </w:r>
      <w:r>
        <w:rPr>
          <w:rFonts w:ascii="Times New Roman" w:cs="Times New Roman" w:eastAsia="Times New Roman" w:hAnsi="Times New Roman"/>
          <w:sz w:val="22"/>
          <w:szCs w:val="22"/>
          <w:color w:val="auto"/>
        </w:rPr>
        <w:t>”)), does not possess an interest in any other transaction for which disclosure would be required under Item 404(a) of Regulation S-K, and is not engaged in a business relationship for which disclosure would be required pursuant to Item 404(b) of Regulation S-K; or (ii) is otherwise considered a “non-employee director” for purposes of Rule 16b-3.</w:t>
      </w:r>
    </w:p>
    <w:p>
      <w:pPr>
        <w:spacing w:after="0" w:line="148" w:lineRule="exact"/>
        <w:rPr>
          <w:rFonts w:ascii="Times New Roman" w:cs="Times New Roman" w:eastAsia="Times New Roman" w:hAnsi="Times New Roman"/>
          <w:sz w:val="22"/>
          <w:szCs w:val="22"/>
          <w:b w:val="1"/>
          <w:bCs w:val="1"/>
          <w:color w:val="auto"/>
        </w:rPr>
      </w:pPr>
    </w:p>
    <w:p>
      <w:pPr>
        <w:ind w:left="640" w:hanging="632"/>
        <w:spacing w:after="0"/>
        <w:tabs>
          <w:tab w:leader="none" w:pos="640" w:val="left"/>
        </w:tabs>
        <w:numPr>
          <w:ilvl w:val="0"/>
          <w:numId w:val="11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i w:val="1"/>
          <w:iCs w:val="1"/>
          <w:color w:val="auto"/>
        </w:rPr>
        <w:t xml:space="preserve">“Non-Exempt Award” </w:t>
      </w:r>
      <w:r>
        <w:rPr>
          <w:rFonts w:ascii="Times New Roman" w:cs="Times New Roman" w:eastAsia="Times New Roman" w:hAnsi="Times New Roman"/>
          <w:sz w:val="21"/>
          <w:szCs w:val="21"/>
          <w:color w:val="auto"/>
        </w:rPr>
        <w:t>means any Award that is subject to, and not exempt from, Section 409A, including as the result of</w:t>
      </w:r>
    </w:p>
    <w:p>
      <w:pPr>
        <w:spacing w:after="0" w:line="4" w:lineRule="exact"/>
        <w:rPr>
          <w:rFonts w:ascii="Times New Roman" w:cs="Times New Roman" w:eastAsia="Times New Roman" w:hAnsi="Times New Roman"/>
          <w:sz w:val="21"/>
          <w:szCs w:val="21"/>
          <w:b w:val="1"/>
          <w:bCs w:val="1"/>
          <w:color w:val="auto"/>
        </w:rPr>
      </w:pPr>
    </w:p>
    <w:p>
      <w:pPr>
        <w:ind w:left="280" w:hanging="272"/>
        <w:spacing w:after="0" w:line="204" w:lineRule="auto"/>
        <w:tabs>
          <w:tab w:leader="none" w:pos="280"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deferral of the issuance of the shares subject to the Award which is elected by the Participant or imposed by the Company,</w:t>
      </w:r>
    </w:p>
    <w:p>
      <w:pPr>
        <w:ind w:left="320" w:hanging="312"/>
        <w:spacing w:after="0"/>
        <w:tabs>
          <w:tab w:leader="none" w:pos="320"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terms of any Non-Exempt Severance Agreement.</w:t>
      </w:r>
    </w:p>
    <w:p>
      <w:pPr>
        <w:spacing w:after="0" w:line="149" w:lineRule="exact"/>
        <w:rPr>
          <w:rFonts w:ascii="Times New Roman" w:cs="Times New Roman" w:eastAsia="Times New Roman" w:hAnsi="Times New Roman"/>
          <w:sz w:val="22"/>
          <w:szCs w:val="22"/>
          <w:color w:val="auto"/>
        </w:rPr>
      </w:pPr>
    </w:p>
    <w:p>
      <w:pPr>
        <w:ind w:right="20" w:firstLine="8"/>
        <w:spacing w:after="0" w:line="239" w:lineRule="auto"/>
        <w:tabs>
          <w:tab w:leader="none" w:pos="645" w:val="left"/>
        </w:tabs>
        <w:numPr>
          <w:ilvl w:val="0"/>
          <w:numId w:val="1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 xml:space="preserve">“Non-Exempt Director Award” </w:t>
      </w:r>
      <w:r>
        <w:rPr>
          <w:rFonts w:ascii="Times New Roman" w:cs="Times New Roman" w:eastAsia="Times New Roman" w:hAnsi="Times New Roman"/>
          <w:sz w:val="22"/>
          <w:szCs w:val="22"/>
          <w:color w:val="auto"/>
        </w:rPr>
        <w:t>means a Non-Exempt Award granted to a Participant who was a Director but not an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Employee on the applicable grant date.</w:t>
      </w:r>
    </w:p>
    <w:p>
      <w:pPr>
        <w:spacing w:after="0" w:line="144" w:lineRule="exact"/>
        <w:rPr>
          <w:rFonts w:ascii="Times New Roman" w:cs="Times New Roman" w:eastAsia="Times New Roman" w:hAnsi="Times New Roman"/>
          <w:sz w:val="22"/>
          <w:szCs w:val="22"/>
          <w:b w:val="1"/>
          <w:bCs w:val="1"/>
          <w:color w:val="auto"/>
        </w:rPr>
      </w:pPr>
    </w:p>
    <w:p>
      <w:pPr>
        <w:jc w:val="both"/>
        <w:ind w:firstLine="8"/>
        <w:spacing w:after="0" w:line="216" w:lineRule="auto"/>
        <w:tabs>
          <w:tab w:leader="none" w:pos="646" w:val="left"/>
        </w:tabs>
        <w:numPr>
          <w:ilvl w:val="0"/>
          <w:numId w:val="1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 xml:space="preserve">“Non-Exempt Severance Arrangement” </w:t>
      </w:r>
      <w:r>
        <w:rPr>
          <w:rFonts w:ascii="Times New Roman" w:cs="Times New Roman" w:eastAsia="Times New Roman" w:hAnsi="Times New Roman"/>
          <w:sz w:val="22"/>
          <w:szCs w:val="22"/>
          <w:color w:val="auto"/>
        </w:rPr>
        <w:t>means a severance arrangement or other agreement between the Participant and</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the Company that provides for acceleration of vesting of an Award and issuance of the shares in respect of such Award upon the Participant’s termination of employment or separation from service (as such term is defined in Section 409A(a)(2)(A)(i) of the Code (and without regard to any alternative definition thereunder) (“</w:t>
      </w:r>
      <w:r>
        <w:rPr>
          <w:rFonts w:ascii="Times New Roman" w:cs="Times New Roman" w:eastAsia="Times New Roman" w:hAnsi="Times New Roman"/>
          <w:sz w:val="22"/>
          <w:szCs w:val="22"/>
          <w:b w:val="1"/>
          <w:bCs w:val="1"/>
          <w:i w:val="1"/>
          <w:iCs w:val="1"/>
          <w:color w:val="auto"/>
        </w:rPr>
        <w:t>Separation from Service</w:t>
      </w:r>
      <w:r>
        <w:rPr>
          <w:rFonts w:ascii="Times New Roman" w:cs="Times New Roman" w:eastAsia="Times New Roman" w:hAnsi="Times New Roman"/>
          <w:sz w:val="22"/>
          <w:szCs w:val="22"/>
          <w:color w:val="auto"/>
        </w:rPr>
        <w:t>”)) and such severance benefit does not satisfy the requirements for an exemption from application of Section 409A provided under Treasury Regulations Section 1.409A-1(b)(4), 1.409A-1(b)(9) or otherwise.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3"/>
          <w:szCs w:val="13"/>
          <w:color w:val="auto"/>
        </w:rPr>
        <w:t>197532205 v11</w:t>
      </w:r>
    </w:p>
    <w:p>
      <w:pPr>
        <w:sectPr>
          <w:pgSz w:w="11900" w:h="16838" w:orient="portrait"/>
          <w:cols w:equalWidth="0" w:num="1">
            <w:col w:w="11240"/>
          </w:cols>
          <w:pgMar w:left="320" w:top="1395" w:right="339" w:bottom="1440" w:gutter="0" w:footer="0" w:header="0"/>
        </w:sectPr>
      </w:pPr>
    </w:p>
    <w:bookmarkStart w:id="98" w:name="page99"/>
    <w:bookmarkEnd w:id="98"/>
    <w:p>
      <w:pPr>
        <w:ind w:firstLine="8"/>
        <w:spacing w:after="0" w:line="239" w:lineRule="auto"/>
        <w:tabs>
          <w:tab w:leader="none" w:pos="648" w:val="left"/>
        </w:tabs>
        <w:numPr>
          <w:ilvl w:val="0"/>
          <w:numId w:val="1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Nonstatutory Stock Option</w:t>
      </w:r>
      <w:r>
        <w:rPr>
          <w:rFonts w:ascii="Times New Roman" w:cs="Times New Roman" w:eastAsia="Times New Roman" w:hAnsi="Times New Roman"/>
          <w:sz w:val="22"/>
          <w:szCs w:val="22"/>
          <w:color w:val="auto"/>
        </w:rPr>
        <w:t>” means any option granted pursuant to Section 4 of the Plan that does not qualify as an Incentive Stock Option.</w:t>
      </w:r>
    </w:p>
    <w:p>
      <w:pPr>
        <w:spacing w:after="0" w:line="144" w:lineRule="exact"/>
        <w:rPr>
          <w:rFonts w:ascii="Times New Roman" w:cs="Times New Roman" w:eastAsia="Times New Roman" w:hAnsi="Times New Roman"/>
          <w:sz w:val="22"/>
          <w:szCs w:val="22"/>
          <w:b w:val="1"/>
          <w:bCs w:val="1"/>
          <w:color w:val="auto"/>
        </w:rPr>
      </w:pPr>
    </w:p>
    <w:p>
      <w:pPr>
        <w:ind w:left="640" w:hanging="632"/>
        <w:spacing w:after="0"/>
        <w:tabs>
          <w:tab w:leader="none" w:pos="640" w:val="left"/>
        </w:tabs>
        <w:numPr>
          <w:ilvl w:val="0"/>
          <w:numId w:val="1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Officer</w:t>
      </w:r>
      <w:r>
        <w:rPr>
          <w:rFonts w:ascii="Times New Roman" w:cs="Times New Roman" w:eastAsia="Times New Roman" w:hAnsi="Times New Roman"/>
          <w:sz w:val="22"/>
          <w:szCs w:val="22"/>
          <w:color w:val="auto"/>
        </w:rPr>
        <w:t>” means a person who is an officer of the Company within the meaning of Section 16 of the Exchange Act.</w:t>
      </w:r>
    </w:p>
    <w:p>
      <w:pPr>
        <w:spacing w:after="0" w:line="179" w:lineRule="exact"/>
        <w:rPr>
          <w:rFonts w:ascii="Times New Roman" w:cs="Times New Roman" w:eastAsia="Times New Roman" w:hAnsi="Times New Roman"/>
          <w:sz w:val="22"/>
          <w:szCs w:val="22"/>
          <w:b w:val="1"/>
          <w:bCs w:val="1"/>
          <w:color w:val="auto"/>
        </w:rPr>
      </w:pPr>
    </w:p>
    <w:p>
      <w:pPr>
        <w:ind w:right="20" w:firstLine="8"/>
        <w:spacing w:after="0" w:line="239" w:lineRule="auto"/>
        <w:tabs>
          <w:tab w:leader="none" w:pos="643" w:val="left"/>
        </w:tabs>
        <w:numPr>
          <w:ilvl w:val="0"/>
          <w:numId w:val="1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Option</w:t>
      </w:r>
      <w:r>
        <w:rPr>
          <w:rFonts w:ascii="Times New Roman" w:cs="Times New Roman" w:eastAsia="Times New Roman" w:hAnsi="Times New Roman"/>
          <w:sz w:val="22"/>
          <w:szCs w:val="22"/>
          <w:color w:val="auto"/>
        </w:rPr>
        <w:t>” means an Incentive Stock Option or a Nonstatutory Stock Option to purchase shares of Common Stock granted pursuant to the Plan.</w:t>
      </w:r>
    </w:p>
    <w:p>
      <w:pPr>
        <w:spacing w:after="0" w:line="144" w:lineRule="exact"/>
        <w:rPr>
          <w:rFonts w:ascii="Times New Roman" w:cs="Times New Roman" w:eastAsia="Times New Roman" w:hAnsi="Times New Roman"/>
          <w:sz w:val="22"/>
          <w:szCs w:val="22"/>
          <w:b w:val="1"/>
          <w:bCs w:val="1"/>
          <w:color w:val="auto"/>
        </w:rPr>
      </w:pPr>
    </w:p>
    <w:p>
      <w:pPr>
        <w:jc w:val="both"/>
        <w:ind w:firstLine="8"/>
        <w:spacing w:after="0" w:line="222" w:lineRule="auto"/>
        <w:tabs>
          <w:tab w:leader="none" w:pos="637" w:val="left"/>
        </w:tabs>
        <w:numPr>
          <w:ilvl w:val="0"/>
          <w:numId w:val="1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Option Agreement</w:t>
      </w:r>
      <w:r>
        <w:rPr>
          <w:rFonts w:ascii="Times New Roman" w:cs="Times New Roman" w:eastAsia="Times New Roman" w:hAnsi="Times New Roman"/>
          <w:sz w:val="22"/>
          <w:szCs w:val="22"/>
          <w:color w:val="auto"/>
        </w:rPr>
        <w:t>” means a written agreement between the Company and the Optionholder evidencing the terms and conditions of the Option grant. The Option Agreement includes the Grant Notice for the Option and the agreement containing the written summary of the general terms and conditions applicable to the Option and which is provided to a Participant along with the Grant Notice. Each Option Agreement will be subject to the terms and conditions of the Plan.</w:t>
      </w:r>
    </w:p>
    <w:p>
      <w:pPr>
        <w:spacing w:after="0" w:line="143" w:lineRule="exact"/>
        <w:rPr>
          <w:rFonts w:ascii="Times New Roman" w:cs="Times New Roman" w:eastAsia="Times New Roman" w:hAnsi="Times New Roman"/>
          <w:sz w:val="22"/>
          <w:szCs w:val="22"/>
          <w:b w:val="1"/>
          <w:bCs w:val="1"/>
          <w:color w:val="auto"/>
        </w:rPr>
      </w:pPr>
    </w:p>
    <w:p>
      <w:pPr>
        <w:ind w:firstLine="8"/>
        <w:spacing w:after="0" w:line="239" w:lineRule="auto"/>
        <w:tabs>
          <w:tab w:leader="none" w:pos="643" w:val="left"/>
        </w:tabs>
        <w:numPr>
          <w:ilvl w:val="0"/>
          <w:numId w:val="1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Optionholder</w:t>
      </w:r>
      <w:r>
        <w:rPr>
          <w:rFonts w:ascii="Times New Roman" w:cs="Times New Roman" w:eastAsia="Times New Roman" w:hAnsi="Times New Roman"/>
          <w:sz w:val="22"/>
          <w:szCs w:val="22"/>
          <w:color w:val="auto"/>
        </w:rPr>
        <w:t>” means a person to whom an Option is granted pursuant to the Plan or, if applicable, such other person who holds an outstanding Option.</w:t>
      </w:r>
    </w:p>
    <w:p>
      <w:pPr>
        <w:spacing w:after="0" w:line="144" w:lineRule="exact"/>
        <w:rPr>
          <w:rFonts w:ascii="Times New Roman" w:cs="Times New Roman" w:eastAsia="Times New Roman" w:hAnsi="Times New Roman"/>
          <w:sz w:val="22"/>
          <w:szCs w:val="22"/>
          <w:b w:val="1"/>
          <w:bCs w:val="1"/>
          <w:color w:val="auto"/>
        </w:rPr>
      </w:pPr>
    </w:p>
    <w:p>
      <w:pPr>
        <w:ind w:firstLine="8"/>
        <w:spacing w:after="0" w:line="239" w:lineRule="auto"/>
        <w:tabs>
          <w:tab w:leader="none" w:pos="643" w:val="left"/>
        </w:tabs>
        <w:numPr>
          <w:ilvl w:val="0"/>
          <w:numId w:val="1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Other Award</w:t>
      </w:r>
      <w:r>
        <w:rPr>
          <w:rFonts w:ascii="Times New Roman" w:cs="Times New Roman" w:eastAsia="Times New Roman" w:hAnsi="Times New Roman"/>
          <w:sz w:val="22"/>
          <w:szCs w:val="22"/>
          <w:color w:val="auto"/>
        </w:rPr>
        <w:t>” means an award based in whole or in part by reference to the Common Stock which is granted pursuant to the terms and conditions of Section 5(c).</w:t>
      </w:r>
    </w:p>
    <w:p>
      <w:pPr>
        <w:spacing w:after="0" w:line="144" w:lineRule="exact"/>
        <w:rPr>
          <w:rFonts w:ascii="Times New Roman" w:cs="Times New Roman" w:eastAsia="Times New Roman" w:hAnsi="Times New Roman"/>
          <w:sz w:val="22"/>
          <w:szCs w:val="22"/>
          <w:b w:val="1"/>
          <w:bCs w:val="1"/>
          <w:color w:val="auto"/>
        </w:rPr>
      </w:pPr>
    </w:p>
    <w:p>
      <w:pPr>
        <w:jc w:val="both"/>
        <w:ind w:firstLine="8"/>
        <w:spacing w:after="0" w:line="227" w:lineRule="auto"/>
        <w:tabs>
          <w:tab w:leader="none" w:pos="645" w:val="left"/>
        </w:tabs>
        <w:numPr>
          <w:ilvl w:val="0"/>
          <w:numId w:val="1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Other Award Agreement</w:t>
      </w:r>
      <w:r>
        <w:rPr>
          <w:rFonts w:ascii="Times New Roman" w:cs="Times New Roman" w:eastAsia="Times New Roman" w:hAnsi="Times New Roman"/>
          <w:sz w:val="22"/>
          <w:szCs w:val="22"/>
          <w:color w:val="auto"/>
        </w:rPr>
        <w:t>” means a written agreement between the Company and a holder of an Other Award evidencing the terms and conditions of an Other Award grant. Each Other Award Agreement will be subject to the terms and conditions of the Plan.</w:t>
      </w:r>
    </w:p>
    <w:p>
      <w:pPr>
        <w:spacing w:after="0" w:line="146" w:lineRule="exact"/>
        <w:rPr>
          <w:sz w:val="20"/>
          <w:szCs w:val="20"/>
          <w:color w:val="auto"/>
        </w:rPr>
      </w:pPr>
    </w:p>
    <w:p>
      <w:pPr>
        <w:jc w:val="both"/>
        <w:ind w:firstLine="8"/>
        <w:spacing w:after="0" w:line="222" w:lineRule="auto"/>
        <w:tabs>
          <w:tab w:leader="none" w:pos="643" w:val="left"/>
        </w:tabs>
        <w:numPr>
          <w:ilvl w:val="0"/>
          <w:numId w:val="12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Own,</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i w:val="1"/>
          <w:iCs w:val="1"/>
          <w:color w:val="auto"/>
        </w:rPr>
        <w:t>Owned,</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i w:val="1"/>
          <w:iCs w:val="1"/>
          <w:color w:val="auto"/>
        </w:rPr>
        <w:t>Owner,</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i w:val="1"/>
          <w:iCs w:val="1"/>
          <w:color w:val="auto"/>
        </w:rPr>
        <w:t>Ownership</w:t>
      </w:r>
      <w:r>
        <w:rPr>
          <w:rFonts w:ascii="Times New Roman" w:cs="Times New Roman" w:eastAsia="Times New Roman" w:hAnsi="Times New Roman"/>
          <w:sz w:val="22"/>
          <w:szCs w:val="22"/>
          <w:color w:val="auto"/>
        </w:rPr>
        <w:t>” means that a person or Entity will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spacing w:after="0" w:line="14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b w:val="1"/>
          <w:bCs w:val="1"/>
          <w:color w:val="auto"/>
        </w:rPr>
        <w:t xml:space="preserve">(ab)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Participant</w:t>
      </w:r>
      <w:r>
        <w:rPr>
          <w:rFonts w:ascii="Times New Roman" w:cs="Times New Roman" w:eastAsia="Times New Roman" w:hAnsi="Times New Roman"/>
          <w:sz w:val="22"/>
          <w:szCs w:val="22"/>
          <w:color w:val="auto"/>
        </w:rPr>
        <w:t>” means an Employee, Director or Consultant to whom an Award is granted pursuant to the Plan or, if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applicable, such other person who holds an outstanding Award.</w:t>
      </w:r>
    </w:p>
    <w:p>
      <w:pPr>
        <w:spacing w:after="0" w:line="144"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22"/>
          <w:szCs w:val="22"/>
          <w:b w:val="1"/>
          <w:bCs w:val="1"/>
          <w:color w:val="auto"/>
        </w:rPr>
        <w:t xml:space="preserve">(ac)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Performance Award</w:t>
      </w:r>
      <w:r>
        <w:rPr>
          <w:rFonts w:ascii="Times New Roman" w:cs="Times New Roman" w:eastAsia="Times New Roman" w:hAnsi="Times New Roman"/>
          <w:sz w:val="22"/>
          <w:szCs w:val="22"/>
          <w:color w:val="auto"/>
        </w:rPr>
        <w:t>” means an Award that may vest or may be exercised or a cash award that may vest or become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earned and paid contingent upon the attainment during a Performance Period of certain Performance Goals and which is granted under the terms and conditions of Section 5(b) pursuant to such terms as are approved by the Board. In addition, to the extent permitted by Applicable Law and set forth in the applicable Award Agreement, the Board may determine that cash or other property may be used in payment of Performance Awards. Performance Awards that are settled in cash or other property are not required to be valued in whole or in part by reference to, or otherwise based on, the Common Stock.</w:t>
      </w:r>
    </w:p>
    <w:p>
      <w:pPr>
        <w:spacing w:after="0" w:line="146"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(ad)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Performance Criteria</w:t>
      </w:r>
      <w:r>
        <w:rPr>
          <w:rFonts w:ascii="Times New Roman" w:cs="Times New Roman" w:eastAsia="Times New Roman" w:hAnsi="Times New Roman"/>
          <w:sz w:val="22"/>
          <w:szCs w:val="22"/>
          <w:color w:val="auto"/>
        </w:rPr>
        <w:t>” means the one or more criteria that the Board will select for purposes of establishing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Performance Goals for a Performance Period. The Performance Criteria that will be used to establish such Performance Goals may be based on any measure of performance selected by the Board.</w:t>
      </w:r>
    </w:p>
    <w:p>
      <w:pPr>
        <w:spacing w:after="0" w:line="146"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2"/>
          <w:szCs w:val="22"/>
          <w:b w:val="1"/>
          <w:bCs w:val="1"/>
          <w:color w:val="auto"/>
        </w:rPr>
        <w:t xml:space="preserve">(ae)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Performance Goals</w:t>
      </w:r>
      <w:r>
        <w:rPr>
          <w:rFonts w:ascii="Times New Roman" w:cs="Times New Roman" w:eastAsia="Times New Roman" w:hAnsi="Times New Roman"/>
          <w:sz w:val="22"/>
          <w:szCs w:val="22"/>
          <w:color w:val="auto"/>
        </w:rPr>
        <w:t>” means, for a Performance Period, the one or more goals established by the Board for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Performance Period based upon the 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3"/>
          <w:szCs w:val="13"/>
          <w:color w:val="auto"/>
        </w:rPr>
        <w:t>197532205 v11</w:t>
      </w:r>
    </w:p>
    <w:p>
      <w:pPr>
        <w:sectPr>
          <w:pgSz w:w="11900" w:h="16838" w:orient="portrait"/>
          <w:cols w:equalWidth="0" w:num="1">
            <w:col w:w="11240"/>
          </w:cols>
          <w:pgMar w:left="320" w:top="1389" w:right="339" w:bottom="1440" w:gutter="0" w:footer="0" w:header="0"/>
        </w:sectPr>
      </w:pPr>
    </w:p>
    <w:bookmarkStart w:id="99" w:name="page100"/>
    <w:bookmarkEnd w:id="99"/>
    <w:p>
      <w:pPr>
        <w:jc w:val="both"/>
        <w:spacing w:after="0" w:line="208" w:lineRule="auto"/>
        <w:rPr>
          <w:sz w:val="20"/>
          <w:szCs w:val="20"/>
          <w:color w:val="auto"/>
        </w:rPr>
      </w:pPr>
      <w:r>
        <w:rPr>
          <w:rFonts w:ascii="Times New Roman" w:cs="Times New Roman" w:eastAsia="Times New Roman" w:hAnsi="Times New Roman"/>
          <w:sz w:val="22"/>
          <w:szCs w:val="22"/>
          <w:color w:val="auto"/>
        </w:rPr>
        <w:t>relevant indices. Unless specified otherwise by the Board (i) in the Award Agreement at the time the Award is granted or (ii) in such other document setting forth the Performance Goals at the time the Performance Goals are established, the Board will appropriately make adjustments in the method of calculating the attainment of Performance Goals for a Performance Period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the Company achieved performance objectives at targeted levels during the balance of a Performance Period following such divestiture; (8) to exclude the effect of any change in the outstanding shares of common stock of the Company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the Company’s bonus plans; (10) to exclude costs incurred in connection with potential acquisitions or divestitures that are required to expensed under generally accepted accounting principles; and (11) to exclude the goodwill and intangible asset impairment charges that are required to be recorded under generally accepted accounting principles. In addition, the Board retains the discretion to reduce or eliminate the compensation or economic benefit due upon attainment of Performance Goals and to define the manner of calculating the Performance Criteria it selects to use for such Performance Period. Partial achievement of the specified criteria may result in the payment or vesting corresponding to the degree of achievement as specified in the Award Agreement or the written terms of a Performance Cash Award.</w:t>
      </w:r>
    </w:p>
    <w:p>
      <w:pPr>
        <w:spacing w:after="0" w:line="148"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(af)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Performance Period</w:t>
      </w:r>
      <w:r>
        <w:rPr>
          <w:rFonts w:ascii="Times New Roman" w:cs="Times New Roman" w:eastAsia="Times New Roman" w:hAnsi="Times New Roman"/>
          <w:sz w:val="22"/>
          <w:szCs w:val="22"/>
          <w:color w:val="auto"/>
        </w:rPr>
        <w:t>” means the period of time selected by the Board over which the attainment of one or more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Performance Goals will be measured for the purpose of determining a Participant’s right to vesting or exercise of an Award. Performance Periods may be of varying and overlapping duration, at the sole discretion of the Board.</w:t>
      </w:r>
    </w:p>
    <w:p>
      <w:pPr>
        <w:spacing w:after="0" w:line="14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(ag)</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 means this Zoom Video Communications, Inc. 2019 Equity Incentive Plan, as amended from time to time.</w:t>
      </w:r>
    </w:p>
    <w:p>
      <w:pPr>
        <w:spacing w:after="0" w:line="17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b w:val="1"/>
          <w:bCs w:val="1"/>
          <w:color w:val="auto"/>
        </w:rPr>
        <w:t xml:space="preserve">(ah) </w:t>
      </w:r>
      <w:r>
        <w:rPr>
          <w:rFonts w:ascii="Times New Roman" w:cs="Times New Roman" w:eastAsia="Times New Roman" w:hAnsi="Times New Roman"/>
          <w:sz w:val="22"/>
          <w:szCs w:val="22"/>
          <w:b w:val="1"/>
          <w:bCs w:val="1"/>
          <w:i w:val="1"/>
          <w:iCs w:val="1"/>
          <w:color w:val="auto"/>
        </w:rPr>
        <w:t>“Plan Administrator”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the person, persons, and/or third-party administrator designated by the Company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administer the day to day operations of the Plan and the Company’s other equity incentive programs.</w:t>
      </w:r>
    </w:p>
    <w:p>
      <w:pPr>
        <w:spacing w:after="0" w:line="144"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22"/>
          <w:szCs w:val="22"/>
          <w:b w:val="1"/>
          <w:bCs w:val="1"/>
          <w:color w:val="auto"/>
        </w:rPr>
        <w:t xml:space="preserve">(ai)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Post-Termination Exercise Period</w:t>
      </w:r>
      <w:r>
        <w:rPr>
          <w:rFonts w:ascii="Times New Roman" w:cs="Times New Roman" w:eastAsia="Times New Roman" w:hAnsi="Times New Roman"/>
          <w:sz w:val="22"/>
          <w:szCs w:val="22"/>
          <w:color w:val="auto"/>
        </w:rPr>
        <w:t>” means the period following termination of a Participant’s Continuous Service within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which an Option or SAR is exercisable, as specified in Section 4(h).</w:t>
      </w:r>
    </w:p>
    <w:p>
      <w:pPr>
        <w:spacing w:after="0" w:line="144"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22"/>
          <w:szCs w:val="22"/>
          <w:b w:val="1"/>
          <w:bCs w:val="1"/>
          <w:color w:val="auto"/>
        </w:rPr>
        <w:t xml:space="preserve">(aj)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Prior Plan’s Available Reserve</w:t>
      </w:r>
      <w:r>
        <w:rPr>
          <w:rFonts w:ascii="Times New Roman" w:cs="Times New Roman" w:eastAsia="Times New Roman" w:hAnsi="Times New Roman"/>
          <w:sz w:val="22"/>
          <w:szCs w:val="22"/>
          <w:color w:val="auto"/>
        </w:rPr>
        <w:t>” means the number of shares available for the grant of new awards under the Prior Plan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of immediately prior to the Effective Date.</w:t>
      </w:r>
    </w:p>
    <w:p>
      <w:pPr>
        <w:spacing w:after="0" w:line="14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b w:val="1"/>
          <w:bCs w:val="1"/>
          <w:color w:val="auto"/>
        </w:rPr>
        <w:t>(ak)</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Prior Plan</w:t>
      </w:r>
      <w:r>
        <w:rPr>
          <w:rFonts w:ascii="Times New Roman" w:cs="Times New Roman" w:eastAsia="Times New Roman" w:hAnsi="Times New Roman"/>
          <w:sz w:val="22"/>
          <w:szCs w:val="22"/>
          <w:color w:val="auto"/>
        </w:rPr>
        <w:t>” means the Zoom Video Communications, Inc. Fourth Amended and Restated 2011 Global Share Plan.</w:t>
      </w:r>
    </w:p>
    <w:p>
      <w:pPr>
        <w:spacing w:after="0" w:line="17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b w:val="1"/>
          <w:bCs w:val="1"/>
          <w:color w:val="auto"/>
        </w:rPr>
        <w:t>(al)</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Prospectus</w:t>
      </w:r>
      <w:r>
        <w:rPr>
          <w:rFonts w:ascii="Times New Roman" w:cs="Times New Roman" w:eastAsia="Times New Roman" w:hAnsi="Times New Roman"/>
          <w:sz w:val="22"/>
          <w:szCs w:val="22"/>
          <w:color w:val="auto"/>
        </w:rPr>
        <w:t>” means the document containing the Plan information specified in Section 10(a) of the Securities Act.</w:t>
      </w:r>
    </w:p>
    <w:p>
      <w:pPr>
        <w:spacing w:after="0" w:line="17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b w:val="1"/>
          <w:bCs w:val="1"/>
          <w:color w:val="auto"/>
        </w:rPr>
        <w:t xml:space="preserve">(am)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Restricted Stock Award</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i w:val="1"/>
          <w:iCs w:val="1"/>
          <w:color w:val="auto"/>
        </w:rPr>
        <w:t>RSA</w:t>
      </w:r>
      <w:r>
        <w:rPr>
          <w:rFonts w:ascii="Times New Roman" w:cs="Times New Roman" w:eastAsia="Times New Roman" w:hAnsi="Times New Roman"/>
          <w:sz w:val="22"/>
          <w:szCs w:val="22"/>
          <w:color w:val="auto"/>
        </w:rPr>
        <w:t>” means an Award of shares of Common Stock which is granted pursuant to the terms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conditions of Section 5(a).</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3"/>
          <w:szCs w:val="13"/>
          <w:color w:val="auto"/>
        </w:rPr>
        <w:t>197532205 v11</w:t>
      </w:r>
    </w:p>
    <w:p>
      <w:pPr>
        <w:sectPr>
          <w:pgSz w:w="11900" w:h="16838" w:orient="portrait"/>
          <w:cols w:equalWidth="0" w:num="1">
            <w:col w:w="11240"/>
          </w:cols>
          <w:pgMar w:left="320" w:top="1395" w:right="339" w:bottom="1440" w:gutter="0" w:footer="0" w:header="0"/>
        </w:sectPr>
      </w:pPr>
    </w:p>
    <w:bookmarkStart w:id="100" w:name="page101"/>
    <w:bookmarkEnd w:id="100"/>
    <w:p>
      <w:pPr>
        <w:jc w:val="both"/>
        <w:spacing w:after="0" w:line="218" w:lineRule="auto"/>
        <w:rPr>
          <w:sz w:val="20"/>
          <w:szCs w:val="20"/>
          <w:color w:val="auto"/>
        </w:rPr>
      </w:pPr>
      <w:r>
        <w:rPr>
          <w:rFonts w:ascii="Times New Roman" w:cs="Times New Roman" w:eastAsia="Times New Roman" w:hAnsi="Times New Roman"/>
          <w:sz w:val="22"/>
          <w:szCs w:val="22"/>
          <w:b w:val="1"/>
          <w:bCs w:val="1"/>
          <w:color w:val="auto"/>
        </w:rPr>
        <w:t xml:space="preserve">(an)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Restricted Stock Award Agreement</w:t>
      </w:r>
      <w:r>
        <w:rPr>
          <w:rFonts w:ascii="Times New Roman" w:cs="Times New Roman" w:eastAsia="Times New Roman" w:hAnsi="Times New Roman"/>
          <w:sz w:val="22"/>
          <w:szCs w:val="22"/>
          <w:color w:val="auto"/>
        </w:rPr>
        <w:t>” means a written agreement between the Company and a holder of a Restricted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 Award evidencing the terms and conditions of a Restricted Stock Award grant. The Restricted Stock Award Agreement includes the Grant Notice for the Restricted Stock Award and the agreement containing the written summary of the general terms and conditions applicable to the Restricted Stock Award and which is provided to a Participant along with the Grant Notice. Each Restricted Stock Award Agreement will be subject to the terms and conditions of the Plan.</w:t>
      </w:r>
    </w:p>
    <w:p>
      <w:pPr>
        <w:spacing w:after="0" w:line="147"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22"/>
          <w:szCs w:val="22"/>
          <w:b w:val="1"/>
          <w:bCs w:val="1"/>
          <w:color w:val="auto"/>
        </w:rPr>
        <w:t xml:space="preserve">(ao)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Returning Shares</w:t>
      </w:r>
      <w:r>
        <w:rPr>
          <w:rFonts w:ascii="Times New Roman" w:cs="Times New Roman" w:eastAsia="Times New Roman" w:hAnsi="Times New Roman"/>
          <w:sz w:val="22"/>
          <w:szCs w:val="22"/>
          <w:color w:val="auto"/>
        </w:rPr>
        <w:t>” means shares subject to outstanding stock awards granted under the Prior Plan and that following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Effective Date: (A) are not issued because such stock award or any portion thereof expires or otherwise terminates without all of the shares covered by such stock award having been issued; (B) are not issued because such stock award or any portion thereof is settled in cash; (C) are forfeited back to or repurchased by the Company because of the failure to meet a contingency or condition required for the vesting of such shares; (D) are withheld or reacquired to satisfy the exercise, strike or purchase price; or (E) are withheld or reacquired to satisfy a tax withholding obligation. Returning Shares of Class B common stock that become available for grant under this Plan shall convert on a one-for-one basis into shares of Common Stock.</w:t>
      </w:r>
    </w:p>
    <w:p>
      <w:pPr>
        <w:spacing w:after="0" w:line="14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b w:val="1"/>
          <w:bCs w:val="1"/>
          <w:color w:val="auto"/>
        </w:rPr>
        <w:t xml:space="preserve">(ap)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RSU Award</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i w:val="1"/>
          <w:iCs w:val="1"/>
          <w:color w:val="auto"/>
        </w:rPr>
        <w:t>RSU</w:t>
      </w:r>
      <w:r>
        <w:rPr>
          <w:rFonts w:ascii="Times New Roman" w:cs="Times New Roman" w:eastAsia="Times New Roman" w:hAnsi="Times New Roman"/>
          <w:sz w:val="22"/>
          <w:szCs w:val="22"/>
          <w:color w:val="auto"/>
        </w:rPr>
        <w:t>” means an Award of restricted stock units representing the right to receive an issuance of shares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Common Stock which is granted pursuant to the terms and conditions of Section 5(a).</w:t>
      </w:r>
    </w:p>
    <w:p>
      <w:pPr>
        <w:spacing w:after="0" w:line="144"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2"/>
          <w:szCs w:val="22"/>
          <w:b w:val="1"/>
          <w:bCs w:val="1"/>
          <w:color w:val="auto"/>
        </w:rPr>
        <w:t xml:space="preserve">(aq)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RSU Award Agreement</w:t>
      </w:r>
      <w:r>
        <w:rPr>
          <w:rFonts w:ascii="Times New Roman" w:cs="Times New Roman" w:eastAsia="Times New Roman" w:hAnsi="Times New Roman"/>
          <w:sz w:val="22"/>
          <w:szCs w:val="22"/>
          <w:color w:val="auto"/>
        </w:rPr>
        <w:t>” means a written agreement between the Company and a holder of a RSU Award evidencing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terms and conditions of a RSU Award grant. The RSU Award Agreement includes the Grant Notice for the RSU Award and the agreement containing the written summary of the general terms and conditions applicable to the RSU Award and which is provided to a Participant along with the Grant Notice. Each RSU Award Agreement will be subject to the terms and conditions of the Plan.</w:t>
      </w:r>
    </w:p>
    <w:p>
      <w:pPr>
        <w:spacing w:after="0" w:line="14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b w:val="1"/>
          <w:bCs w:val="1"/>
          <w:color w:val="auto"/>
        </w:rPr>
        <w:t xml:space="preserve">(ar)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Rule 16b-3</w:t>
      </w:r>
      <w:r>
        <w:rPr>
          <w:rFonts w:ascii="Times New Roman" w:cs="Times New Roman" w:eastAsia="Times New Roman" w:hAnsi="Times New Roman"/>
          <w:sz w:val="22"/>
          <w:szCs w:val="22"/>
          <w:color w:val="auto"/>
        </w:rPr>
        <w:t>” means Rule 16b-3 promulgated under the Exchange Act or any successor to Rule 16b-3, as in effect from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time to time.</w:t>
      </w:r>
    </w:p>
    <w:p>
      <w:pPr>
        <w:spacing w:after="0" w:line="14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(as)</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Rule 405</w:t>
      </w:r>
      <w:r>
        <w:rPr>
          <w:rFonts w:ascii="Times New Roman" w:cs="Times New Roman" w:eastAsia="Times New Roman" w:hAnsi="Times New Roman"/>
          <w:sz w:val="22"/>
          <w:szCs w:val="22"/>
          <w:color w:val="auto"/>
        </w:rPr>
        <w:t>” means Rule 405 promulgated under the Securities Act.</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(at)</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Section 409A</w:t>
      </w:r>
      <w:r>
        <w:rPr>
          <w:rFonts w:ascii="Times New Roman" w:cs="Times New Roman" w:eastAsia="Times New Roman" w:hAnsi="Times New Roman"/>
          <w:sz w:val="22"/>
          <w:szCs w:val="22"/>
          <w:color w:val="auto"/>
        </w:rPr>
        <w:t>” means Section 409A of the Code and the regulations and other guidance thereunder.</w:t>
      </w:r>
    </w:p>
    <w:p>
      <w:pPr>
        <w:spacing w:after="0" w:line="179"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(au)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Section 409A Change of Control</w:t>
      </w:r>
      <w:r>
        <w:rPr>
          <w:rFonts w:ascii="Times New Roman" w:cs="Times New Roman" w:eastAsia="Times New Roman" w:hAnsi="Times New Roman"/>
          <w:sz w:val="22"/>
          <w:szCs w:val="22"/>
          <w:color w:val="auto"/>
        </w:rPr>
        <w:t>” means a change in the ownership or effective control of the Company, or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ownership of a substantial portion of the Company’s assets, as provided in Section 409A(a)(2)(A)(v) of the Code and Treasury Regulations Section 1.409A-3(i)(5) (without regard to any alternative definition thereunder).</w:t>
      </w:r>
    </w:p>
    <w:p>
      <w:pPr>
        <w:spacing w:after="0" w:line="14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(av)</w:t>
      </w:r>
      <w:r>
        <w:rPr>
          <w:sz w:val="20"/>
          <w:szCs w:val="20"/>
          <w:color w:val="auto"/>
        </w:rPr>
        <w:tab/>
      </w:r>
      <w:r>
        <w:rPr>
          <w:rFonts w:ascii="Times New Roman" w:cs="Times New Roman" w:eastAsia="Times New Roman" w:hAnsi="Times New Roman"/>
          <w:sz w:val="22"/>
          <w:szCs w:val="22"/>
          <w:b w:val="1"/>
          <w:bCs w:val="1"/>
          <w:i w:val="1"/>
          <w:iCs w:val="1"/>
          <w:color w:val="auto"/>
        </w:rPr>
        <w:t>“Securities Act</w:t>
      </w:r>
      <w:r>
        <w:rPr>
          <w:rFonts w:ascii="Times New Roman" w:cs="Times New Roman" w:eastAsia="Times New Roman" w:hAnsi="Times New Roman"/>
          <w:sz w:val="22"/>
          <w:szCs w:val="22"/>
          <w:color w:val="auto"/>
        </w:rPr>
        <w:t>” means the Securities Act of 1933, as amended.</w:t>
      </w:r>
    </w:p>
    <w:p>
      <w:pPr>
        <w:spacing w:after="0" w:line="17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b w:val="1"/>
          <w:bCs w:val="1"/>
          <w:color w:val="auto"/>
        </w:rPr>
        <w:t>(aw)</w:t>
      </w:r>
      <w:r>
        <w:rPr>
          <w:sz w:val="20"/>
          <w:szCs w:val="20"/>
          <w:color w:val="auto"/>
        </w:rPr>
        <w:tab/>
      </w:r>
      <w:r>
        <w:rPr>
          <w:rFonts w:ascii="Times New Roman" w:cs="Times New Roman" w:eastAsia="Times New Roman" w:hAnsi="Times New Roman"/>
          <w:sz w:val="21"/>
          <w:szCs w:val="21"/>
          <w:b w:val="1"/>
          <w:bCs w:val="1"/>
          <w:i w:val="1"/>
          <w:iCs w:val="1"/>
          <w:color w:val="auto"/>
        </w:rPr>
        <w:t xml:space="preserve">“Share Reserve” </w:t>
      </w:r>
      <w:r>
        <w:rPr>
          <w:rFonts w:ascii="Times New Roman" w:cs="Times New Roman" w:eastAsia="Times New Roman" w:hAnsi="Times New Roman"/>
          <w:sz w:val="21"/>
          <w:szCs w:val="21"/>
          <w:color w:val="auto"/>
        </w:rPr>
        <w:t>means the number of shares available for issuance under the Plan as set forth in Section 2(a).</w:t>
      </w:r>
    </w:p>
    <w:p>
      <w:pPr>
        <w:spacing w:after="0" w:line="17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b w:val="1"/>
          <w:bCs w:val="1"/>
          <w:color w:val="auto"/>
        </w:rPr>
        <w:t xml:space="preserve">(ax)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Stock Appreciation Right</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i w:val="1"/>
          <w:iCs w:val="1"/>
          <w:color w:val="auto"/>
        </w:rPr>
        <w:t>SAR</w:t>
      </w:r>
      <w:r>
        <w:rPr>
          <w:rFonts w:ascii="Times New Roman" w:cs="Times New Roman" w:eastAsia="Times New Roman" w:hAnsi="Times New Roman"/>
          <w:sz w:val="22"/>
          <w:szCs w:val="22"/>
          <w:color w:val="auto"/>
        </w:rPr>
        <w:t>” means a right to receive the appreciation on Common Stock that is granted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pursuant to the terms and conditions of Section 4.</w:t>
      </w:r>
    </w:p>
    <w:p>
      <w:pPr>
        <w:spacing w:after="0" w:line="144" w:lineRule="exact"/>
        <w:rPr>
          <w:sz w:val="20"/>
          <w:szCs w:val="20"/>
          <w:color w:val="auto"/>
        </w:rPr>
      </w:pPr>
    </w:p>
    <w:p>
      <w:pPr>
        <w:jc w:val="both"/>
        <w:ind w:right="20"/>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(ay)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SAR Agreement</w:t>
      </w:r>
      <w:r>
        <w:rPr>
          <w:rFonts w:ascii="Times New Roman" w:cs="Times New Roman" w:eastAsia="Times New Roman" w:hAnsi="Times New Roman"/>
          <w:sz w:val="22"/>
          <w:szCs w:val="22"/>
          <w:color w:val="auto"/>
        </w:rPr>
        <w:t>” means a written agreement between the Company and a holder of a SAR evidencing the terms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conditions of a SAR grant. The SAR Agreement includes the Grant Notice for the SAR and the agreement containing the written summary of the general</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3"/>
          <w:szCs w:val="13"/>
          <w:color w:val="auto"/>
        </w:rPr>
        <w:t>197532205 v11</w:t>
      </w:r>
    </w:p>
    <w:p>
      <w:pPr>
        <w:sectPr>
          <w:pgSz w:w="11900" w:h="16838" w:orient="portrait"/>
          <w:cols w:equalWidth="0" w:num="1">
            <w:col w:w="11240"/>
          </w:cols>
          <w:pgMar w:left="320" w:top="1389" w:right="339" w:bottom="1440" w:gutter="0" w:footer="0" w:header="0"/>
        </w:sectPr>
      </w:pPr>
    </w:p>
    <w:bookmarkStart w:id="101" w:name="page102"/>
    <w:bookmarkEnd w:id="101"/>
    <w:p>
      <w:pPr>
        <w:jc w:val="both"/>
        <w:spacing w:after="0" w:line="236" w:lineRule="auto"/>
        <w:rPr>
          <w:sz w:val="20"/>
          <w:szCs w:val="20"/>
          <w:color w:val="auto"/>
        </w:rPr>
      </w:pPr>
      <w:r>
        <w:rPr>
          <w:rFonts w:ascii="Times New Roman" w:cs="Times New Roman" w:eastAsia="Times New Roman" w:hAnsi="Times New Roman"/>
          <w:sz w:val="22"/>
          <w:szCs w:val="22"/>
          <w:color w:val="auto"/>
        </w:rPr>
        <w:t>terms and conditions applicable to the SAR and which is provided to a Participant along with the Grant Notice. Each SAR Agreement will be subject to the terms and conditions of the Plan.</w:t>
      </w:r>
    </w:p>
    <w:p>
      <w:pPr>
        <w:spacing w:after="0" w:line="144"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22"/>
          <w:szCs w:val="22"/>
          <w:b w:val="1"/>
          <w:bCs w:val="1"/>
          <w:color w:val="auto"/>
        </w:rPr>
        <w:t xml:space="preserve">(az)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Subsidiary</w:t>
      </w:r>
      <w:r>
        <w:rPr>
          <w:rFonts w:ascii="Times New Roman" w:cs="Times New Roman" w:eastAsia="Times New Roman" w:hAnsi="Times New Roman"/>
          <w:sz w:val="22"/>
          <w:szCs w:val="22"/>
          <w:color w:val="auto"/>
        </w:rPr>
        <w:t>” means, with respect to the Company, (i) any corporation of which more than 50% of the outstanding capital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w:t>
      </w:r>
    </w:p>
    <w:p>
      <w:pPr>
        <w:spacing w:after="0" w:line="146"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22"/>
          <w:szCs w:val="22"/>
          <w:b w:val="1"/>
          <w:bCs w:val="1"/>
          <w:color w:val="auto"/>
        </w:rPr>
        <w:t xml:space="preserve">(ba)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Ten Percent Stockholder</w:t>
      </w:r>
      <w:r>
        <w:rPr>
          <w:rFonts w:ascii="Times New Roman" w:cs="Times New Roman" w:eastAsia="Times New Roman" w:hAnsi="Times New Roman"/>
          <w:sz w:val="22"/>
          <w:szCs w:val="22"/>
          <w:color w:val="auto"/>
        </w:rPr>
        <w:t>” means a person who Owns (or is deemed to Own pursuant to Section 424(d) of the Code)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 possessing more than 10% of the total combined voting power of all classes of stock of the Company or any Affiliate.</w:t>
      </w:r>
    </w:p>
    <w:p>
      <w:pPr>
        <w:spacing w:after="0" w:line="144" w:lineRule="exact"/>
        <w:rPr>
          <w:sz w:val="20"/>
          <w:szCs w:val="20"/>
          <w:color w:val="auto"/>
        </w:rPr>
      </w:pPr>
    </w:p>
    <w:p>
      <w:pPr>
        <w:jc w:val="both"/>
        <w:ind w:firstLine="8"/>
        <w:spacing w:after="0" w:line="227" w:lineRule="auto"/>
        <w:tabs>
          <w:tab w:leader="none" w:pos="641" w:val="left"/>
        </w:tabs>
        <w:numPr>
          <w:ilvl w:val="0"/>
          <w:numId w:val="1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Trading Policy</w:t>
      </w:r>
      <w:r>
        <w:rPr>
          <w:rFonts w:ascii="Times New Roman" w:cs="Times New Roman" w:eastAsia="Times New Roman" w:hAnsi="Times New Roman"/>
          <w:sz w:val="22"/>
          <w:szCs w:val="22"/>
          <w:color w:val="auto"/>
        </w:rPr>
        <w:t>” means the Company’s policy permitting certain individuals to sell Company shares only during certain "window" periods and/or otherwise restricts the ability of certain individuals to transfer or encumber Company shares, as in effect from time to time.</w:t>
      </w:r>
    </w:p>
    <w:p>
      <w:pPr>
        <w:spacing w:after="0" w:line="146"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b w:val="1"/>
          <w:bCs w:val="1"/>
          <w:color w:val="auto"/>
        </w:rPr>
        <w:t xml:space="preserve">(bc)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Unvested Non-Exempt Award</w:t>
      </w:r>
      <w:r>
        <w:rPr>
          <w:rFonts w:ascii="Times New Roman" w:cs="Times New Roman" w:eastAsia="Times New Roman" w:hAnsi="Times New Roman"/>
          <w:sz w:val="22"/>
          <w:szCs w:val="22"/>
          <w:color w:val="auto"/>
        </w:rPr>
        <w:t>” means the portion of any Non-Exempt Award that had not vested in accordance with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terms upon or prior to the date of any Corporate Transaction.</w:t>
      </w:r>
    </w:p>
    <w:p>
      <w:pPr>
        <w:spacing w:after="0" w:line="144"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b w:val="1"/>
          <w:bCs w:val="1"/>
          <w:color w:val="auto"/>
        </w:rPr>
        <w:t xml:space="preserve">(bd)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Vested Non-Exempt Award</w:t>
      </w:r>
      <w:r>
        <w:rPr>
          <w:rFonts w:ascii="Times New Roman" w:cs="Times New Roman" w:eastAsia="Times New Roman" w:hAnsi="Times New Roman"/>
          <w:sz w:val="22"/>
          <w:szCs w:val="22"/>
          <w:color w:val="auto"/>
        </w:rPr>
        <w:t>” means the portion of any Non-Exempt Award that had vested in accordance with its terms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upon or prior to the date of a Corporate Transaction.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29.</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3"/>
          <w:szCs w:val="13"/>
          <w:color w:val="auto"/>
        </w:rPr>
        <w:t>197532205 v11</w:t>
      </w:r>
    </w:p>
    <w:p>
      <w:pPr>
        <w:sectPr>
          <w:pgSz w:w="11900" w:h="16838" w:orient="portrait"/>
          <w:cols w:equalWidth="0" w:num="1">
            <w:col w:w="11240"/>
          </w:cols>
          <w:pgMar w:left="320" w:top="1395" w:right="3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9" w:lineRule="exact"/>
        <w:rPr>
          <w:sz w:val="20"/>
          <w:szCs w:val="20"/>
          <w:color w:val="auto"/>
        </w:rPr>
      </w:pPr>
    </w:p>
    <w:p>
      <w:pPr>
        <w:jc w:val="center"/>
        <w:spacing w:after="0" w:line="266" w:lineRule="auto"/>
        <w:rPr>
          <w:sz w:val="20"/>
          <w:szCs w:val="20"/>
          <w:color w:val="auto"/>
        </w:rPr>
      </w:pPr>
      <w:r>
        <w:rPr>
          <w:rFonts w:ascii="Times New Roman" w:cs="Times New Roman" w:eastAsia="Times New Roman" w:hAnsi="Times New Roman"/>
          <w:sz w:val="18"/>
          <w:szCs w:val="18"/>
          <w:color w:val="auto"/>
        </w:rPr>
        <w:t>CERTIFICATION OF CHIEF EXECUTIVE OFFICER PURSUANT TO EXCHANGE ACT RULES 13a-14(a) AND 15d-14(a) AS ADOPTED PURSUANT TO SECTION 302 OF THE SARBANES-OXLEY ACT OF 2002</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Eric S. Yuan, certify that:</w:t>
      </w:r>
    </w:p>
    <w:p>
      <w:pPr>
        <w:spacing w:after="0" w:line="185" w:lineRule="exact"/>
        <w:rPr>
          <w:sz w:val="20"/>
          <w:szCs w:val="20"/>
          <w:color w:val="auto"/>
        </w:rPr>
      </w:pPr>
    </w:p>
    <w:p>
      <w:pPr>
        <w:ind w:left="1300" w:hanging="644"/>
        <w:spacing w:after="0"/>
        <w:tabs>
          <w:tab w:leader="none" w:pos="13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Zoom Video Communications, Inc.;</w:t>
      </w:r>
    </w:p>
    <w:p>
      <w:pPr>
        <w:spacing w:after="0" w:line="184" w:lineRule="exact"/>
        <w:rPr>
          <w:rFonts w:ascii="Times New Roman" w:cs="Times New Roman" w:eastAsia="Times New Roman" w:hAnsi="Times New Roman"/>
          <w:sz w:val="18"/>
          <w:szCs w:val="18"/>
          <w:color w:val="auto"/>
        </w:rPr>
      </w:pPr>
    </w:p>
    <w:p>
      <w:pPr>
        <w:ind w:left="1300" w:right="160" w:hanging="644"/>
        <w:spacing w:after="0" w:line="266" w:lineRule="auto"/>
        <w:tabs>
          <w:tab w:leader="none" w:pos="13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1300" w:right="220" w:hanging="644"/>
        <w:spacing w:after="0" w:line="312" w:lineRule="auto"/>
        <w:tabs>
          <w:tab w:leader="none" w:pos="1300"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9" w:lineRule="exact"/>
        <w:rPr>
          <w:rFonts w:ascii="Times New Roman" w:cs="Times New Roman" w:eastAsia="Times New Roman" w:hAnsi="Times New Roman"/>
          <w:sz w:val="17"/>
          <w:szCs w:val="17"/>
          <w:color w:val="auto"/>
        </w:rPr>
      </w:pPr>
    </w:p>
    <w:p>
      <w:pPr>
        <w:ind w:left="1300" w:right="100" w:hanging="644"/>
        <w:spacing w:after="0" w:line="276" w:lineRule="auto"/>
        <w:tabs>
          <w:tab w:leader="none" w:pos="1300"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166" w:lineRule="exact"/>
        <w:rPr>
          <w:rFonts w:ascii="Times New Roman" w:cs="Times New Roman" w:eastAsia="Times New Roman" w:hAnsi="Times New Roman"/>
          <w:sz w:val="17"/>
          <w:szCs w:val="17"/>
          <w:color w:val="auto"/>
        </w:rPr>
      </w:pPr>
    </w:p>
    <w:p>
      <w:pPr>
        <w:ind w:left="1960" w:right="80" w:hanging="656"/>
        <w:spacing w:after="0" w:line="266" w:lineRule="auto"/>
        <w:tabs>
          <w:tab w:leader="none" w:pos="195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18"/>
          <w:szCs w:val="18"/>
          <w:color w:val="auto"/>
        </w:rPr>
      </w:pPr>
    </w:p>
    <w:p>
      <w:pPr>
        <w:ind w:left="1960" w:right="220" w:hanging="656"/>
        <w:spacing w:after="0" w:line="266" w:lineRule="auto"/>
        <w:tabs>
          <w:tab w:leader="none" w:pos="196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1960" w:hanging="656"/>
        <w:spacing w:after="0" w:line="266" w:lineRule="auto"/>
        <w:tabs>
          <w:tab w:leader="none" w:pos="195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ind w:left="1960" w:right="320" w:hanging="656"/>
        <w:spacing w:after="0" w:line="266" w:lineRule="auto"/>
        <w:tabs>
          <w:tab w:leader="none" w:pos="196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Times New Roman" w:cs="Times New Roman" w:eastAsia="Times New Roman" w:hAnsi="Times New Roman"/>
          <w:sz w:val="18"/>
          <w:szCs w:val="18"/>
          <w:color w:val="auto"/>
        </w:rPr>
      </w:pPr>
    </w:p>
    <w:p>
      <w:pPr>
        <w:ind w:left="1300" w:right="140" w:hanging="644"/>
        <w:spacing w:after="0" w:line="266" w:lineRule="auto"/>
        <w:tabs>
          <w:tab w:leader="none" w:pos="13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8"/>
          <w:szCs w:val="18"/>
          <w:color w:val="auto"/>
        </w:rPr>
      </w:pPr>
    </w:p>
    <w:p>
      <w:pPr>
        <w:ind w:left="1960" w:right="80" w:hanging="656"/>
        <w:spacing w:after="0" w:line="266" w:lineRule="auto"/>
        <w:tabs>
          <w:tab w:leader="none" w:pos="195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8"/>
          <w:szCs w:val="18"/>
          <w:color w:val="auto"/>
        </w:rPr>
      </w:pPr>
    </w:p>
    <w:p>
      <w:pPr>
        <w:ind w:left="1960" w:right="80" w:hanging="656"/>
        <w:spacing w:after="0" w:line="282" w:lineRule="auto"/>
        <w:tabs>
          <w:tab w:leader="none" w:pos="196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/s/ Eric S. Yuan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17145</wp:posOffset>
            </wp:positionV>
            <wp:extent cx="221170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16" w:lineRule="exact"/>
        <w:rPr>
          <w:sz w:val="20"/>
          <w:szCs w:val="20"/>
          <w:color w:val="auto"/>
        </w:rPr>
      </w:pPr>
    </w:p>
    <w:p>
      <w:pPr>
        <w:ind w:left="1000"/>
        <w:spacing w:after="0"/>
        <w:tabs>
          <w:tab w:leader="none" w:pos="6780" w:val="left"/>
        </w:tabs>
        <w:rPr>
          <w:sz w:val="20"/>
          <w:szCs w:val="20"/>
          <w:color w:val="auto"/>
        </w:rPr>
      </w:pPr>
      <w:r>
        <w:rPr>
          <w:rFonts w:ascii="Times New Roman" w:cs="Times New Roman" w:eastAsia="Times New Roman" w:hAnsi="Times New Roman"/>
          <w:sz w:val="18"/>
          <w:szCs w:val="18"/>
          <w:color w:val="auto"/>
        </w:rPr>
        <w:t>Date: November 23, 2022</w:t>
      </w:r>
      <w:r>
        <w:rPr>
          <w:sz w:val="20"/>
          <w:szCs w:val="20"/>
          <w:color w:val="auto"/>
        </w:rPr>
        <w:tab/>
      </w:r>
      <w:r>
        <w:rPr>
          <w:rFonts w:ascii="Times New Roman" w:cs="Times New Roman" w:eastAsia="Times New Roman" w:hAnsi="Times New Roman"/>
          <w:sz w:val="17"/>
          <w:szCs w:val="17"/>
          <w:color w:val="auto"/>
        </w:rPr>
        <w:t>Eric S. Yuan</w:t>
      </w:r>
    </w:p>
    <w:p>
      <w:pPr>
        <w:spacing w:after="0" w:line="27"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887" w:right="3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2" w:lineRule="exact"/>
        <w:rPr>
          <w:sz w:val="20"/>
          <w:szCs w:val="20"/>
          <w:color w:val="auto"/>
        </w:rPr>
      </w:pPr>
    </w:p>
    <w:p>
      <w:pPr>
        <w:jc w:val="center"/>
        <w:spacing w:after="0" w:line="266" w:lineRule="auto"/>
        <w:rPr>
          <w:sz w:val="20"/>
          <w:szCs w:val="20"/>
          <w:color w:val="auto"/>
        </w:rPr>
      </w:pPr>
      <w:r>
        <w:rPr>
          <w:rFonts w:ascii="Times New Roman" w:cs="Times New Roman" w:eastAsia="Times New Roman" w:hAnsi="Times New Roman"/>
          <w:sz w:val="18"/>
          <w:szCs w:val="18"/>
          <w:color w:val="auto"/>
        </w:rPr>
        <w:t>CERTIFICATION OF CHIEF FINANCIAL OFFICER PURSUANT TO EXCHANGE ACT RULES 13a-14(a) AND 15d-14(a) AS ADOPTED PURSUANT TO SECTION 302 OF THE SARBANES-OXLEY ACT OF 2002</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Kelly Steckelberg, certify that:</w:t>
      </w:r>
    </w:p>
    <w:p>
      <w:pPr>
        <w:spacing w:after="0" w:line="185" w:lineRule="exact"/>
        <w:rPr>
          <w:sz w:val="20"/>
          <w:szCs w:val="20"/>
          <w:color w:val="auto"/>
        </w:rPr>
      </w:pPr>
    </w:p>
    <w:p>
      <w:pPr>
        <w:ind w:left="1300" w:hanging="644"/>
        <w:spacing w:after="0"/>
        <w:tabs>
          <w:tab w:leader="none" w:pos="13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Zoom Video Communications, Inc.;</w:t>
      </w:r>
    </w:p>
    <w:p>
      <w:pPr>
        <w:spacing w:after="0" w:line="198" w:lineRule="exact"/>
        <w:rPr>
          <w:rFonts w:ascii="Times New Roman" w:cs="Times New Roman" w:eastAsia="Times New Roman" w:hAnsi="Times New Roman"/>
          <w:sz w:val="18"/>
          <w:szCs w:val="18"/>
          <w:color w:val="auto"/>
        </w:rPr>
      </w:pPr>
    </w:p>
    <w:p>
      <w:pPr>
        <w:ind w:left="1300" w:right="160" w:hanging="644"/>
        <w:spacing w:after="0" w:line="266" w:lineRule="auto"/>
        <w:tabs>
          <w:tab w:leader="none" w:pos="13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1300" w:right="220" w:hanging="644"/>
        <w:spacing w:after="0" w:line="312" w:lineRule="auto"/>
        <w:tabs>
          <w:tab w:leader="none" w:pos="1300"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9" w:lineRule="exact"/>
        <w:rPr>
          <w:rFonts w:ascii="Times New Roman" w:cs="Times New Roman" w:eastAsia="Times New Roman" w:hAnsi="Times New Roman"/>
          <w:sz w:val="17"/>
          <w:szCs w:val="17"/>
          <w:color w:val="auto"/>
        </w:rPr>
      </w:pPr>
    </w:p>
    <w:p>
      <w:pPr>
        <w:ind w:left="1300" w:right="100" w:hanging="644"/>
        <w:spacing w:after="0" w:line="276" w:lineRule="auto"/>
        <w:tabs>
          <w:tab w:leader="none" w:pos="1300"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179" w:lineRule="exact"/>
        <w:rPr>
          <w:rFonts w:ascii="Times New Roman" w:cs="Times New Roman" w:eastAsia="Times New Roman" w:hAnsi="Times New Roman"/>
          <w:sz w:val="17"/>
          <w:szCs w:val="17"/>
          <w:color w:val="auto"/>
        </w:rPr>
      </w:pPr>
    </w:p>
    <w:p>
      <w:pPr>
        <w:ind w:left="1960" w:right="80" w:hanging="656"/>
        <w:spacing w:after="0" w:line="266" w:lineRule="auto"/>
        <w:tabs>
          <w:tab w:leader="none" w:pos="195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1960" w:right="220" w:hanging="656"/>
        <w:spacing w:after="0" w:line="266" w:lineRule="auto"/>
        <w:tabs>
          <w:tab w:leader="none" w:pos="196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1960" w:hanging="656"/>
        <w:spacing w:after="0" w:line="266" w:lineRule="auto"/>
        <w:tabs>
          <w:tab w:leader="none" w:pos="195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8" w:lineRule="exact"/>
        <w:rPr>
          <w:rFonts w:ascii="Times New Roman" w:cs="Times New Roman" w:eastAsia="Times New Roman" w:hAnsi="Times New Roman"/>
          <w:sz w:val="18"/>
          <w:szCs w:val="18"/>
          <w:color w:val="auto"/>
        </w:rPr>
      </w:pPr>
    </w:p>
    <w:p>
      <w:pPr>
        <w:ind w:left="1960" w:right="320" w:hanging="656"/>
        <w:spacing w:after="0" w:line="266" w:lineRule="auto"/>
        <w:tabs>
          <w:tab w:leader="none" w:pos="196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1300" w:right="140" w:hanging="644"/>
        <w:spacing w:after="0" w:line="266" w:lineRule="auto"/>
        <w:tabs>
          <w:tab w:leader="none" w:pos="13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8"/>
          <w:szCs w:val="18"/>
          <w:color w:val="auto"/>
        </w:rPr>
      </w:pPr>
    </w:p>
    <w:p>
      <w:pPr>
        <w:ind w:left="1960" w:right="80" w:hanging="656"/>
        <w:spacing w:after="0" w:line="266" w:lineRule="auto"/>
        <w:tabs>
          <w:tab w:leader="none" w:pos="195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8" w:lineRule="exact"/>
        <w:rPr>
          <w:rFonts w:ascii="Times New Roman" w:cs="Times New Roman" w:eastAsia="Times New Roman" w:hAnsi="Times New Roman"/>
          <w:sz w:val="18"/>
          <w:szCs w:val="18"/>
          <w:color w:val="auto"/>
        </w:rPr>
      </w:pPr>
    </w:p>
    <w:p>
      <w:pPr>
        <w:ind w:left="1960" w:right="80" w:hanging="656"/>
        <w:spacing w:after="0" w:line="282" w:lineRule="auto"/>
        <w:tabs>
          <w:tab w:leader="none" w:pos="196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/s/ Kelly Steckelberg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17145</wp:posOffset>
            </wp:positionV>
            <wp:extent cx="221170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16" w:lineRule="exact"/>
        <w:rPr>
          <w:sz w:val="20"/>
          <w:szCs w:val="20"/>
          <w:color w:val="auto"/>
        </w:rPr>
      </w:pPr>
    </w:p>
    <w:p>
      <w:pPr>
        <w:ind w:left="1000"/>
        <w:spacing w:after="0"/>
        <w:tabs>
          <w:tab w:leader="none" w:pos="6920" w:val="left"/>
        </w:tabs>
        <w:rPr>
          <w:sz w:val="20"/>
          <w:szCs w:val="20"/>
          <w:color w:val="auto"/>
        </w:rPr>
      </w:pPr>
      <w:r>
        <w:rPr>
          <w:rFonts w:ascii="Times New Roman" w:cs="Times New Roman" w:eastAsia="Times New Roman" w:hAnsi="Times New Roman"/>
          <w:sz w:val="18"/>
          <w:szCs w:val="18"/>
          <w:color w:val="auto"/>
        </w:rPr>
        <w:t>Date: November 23, 2022</w:t>
      </w:r>
      <w:r>
        <w:rPr>
          <w:sz w:val="20"/>
          <w:szCs w:val="20"/>
          <w:color w:val="auto"/>
        </w:rPr>
        <w:tab/>
      </w:r>
      <w:r>
        <w:rPr>
          <w:rFonts w:ascii="Times New Roman" w:cs="Times New Roman" w:eastAsia="Times New Roman" w:hAnsi="Times New Roman"/>
          <w:sz w:val="17"/>
          <w:szCs w:val="17"/>
          <w:color w:val="auto"/>
        </w:rPr>
        <w:t>Kelly Steckelberg</w:t>
      </w:r>
    </w:p>
    <w:p>
      <w:pPr>
        <w:spacing w:after="0" w:line="27"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40"/>
          </w:cols>
          <w:pgMar w:left="320" w:top="1062" w:right="33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 SECTION 906 OF THE SARBANES-OXLEY ACT OF 2002</w:t>
      </w:r>
    </w:p>
    <w:p>
      <w:pPr>
        <w:spacing w:after="0" w:line="200" w:lineRule="exact"/>
        <w:rPr>
          <w:sz w:val="20"/>
          <w:szCs w:val="20"/>
          <w:color w:val="auto"/>
        </w:rPr>
      </w:pPr>
    </w:p>
    <w:p>
      <w:pPr>
        <w:spacing w:after="0" w:line="209"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8"/>
          <w:szCs w:val="18"/>
          <w:color w:val="auto"/>
        </w:rPr>
        <w:t>I, Eric S. Yuan, certify, pursuant to the requirement set forth in Rule 13a-14(b) of the Securities Exchange Act of 1934, as amended (the “Exchange Act”) and 18 U.S.C. Section 1350, as adopted pursuant to Section 906 of the Sarbanes-Oxley Act of 2002, that to the best of my knowledge, the Quarterly Report on Form 10-Q of Zoom Video Communications, Inc. for the fiscal quarter ended October 31, 2022 fully complies with the requirements of Section 13(a) or 15(d) of the Exchange Act and that information contained in such Quarterly Report on Form 10-Q fairly presents, in all material respects, the financial condition and results of operations of Zoom Video Communications, Inc.</w:t>
      </w:r>
    </w:p>
    <w:p>
      <w:pPr>
        <w:spacing w:after="0" w:line="252" w:lineRule="exact"/>
        <w:rPr>
          <w:sz w:val="20"/>
          <w:szCs w:val="20"/>
          <w:color w:val="auto"/>
        </w:rPr>
      </w:pPr>
    </w:p>
    <w:p>
      <w:pPr>
        <w:ind w:left="20"/>
        <w:spacing w:after="0"/>
        <w:tabs>
          <w:tab w:leader="none" w:pos="6720" w:val="left"/>
          <w:tab w:leader="none" w:pos="7160" w:val="left"/>
        </w:tabs>
        <w:rPr>
          <w:sz w:val="20"/>
          <w:szCs w:val="20"/>
          <w:color w:val="auto"/>
        </w:rPr>
      </w:pPr>
      <w:r>
        <w:rPr>
          <w:rFonts w:ascii="Times New Roman" w:cs="Times New Roman" w:eastAsia="Times New Roman" w:hAnsi="Times New Roman"/>
          <w:sz w:val="18"/>
          <w:szCs w:val="18"/>
          <w:color w:val="auto"/>
        </w:rPr>
        <w:t>Date: November 23,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Eric S. Yuan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17145</wp:posOffset>
            </wp:positionV>
            <wp:extent cx="250317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Eric S. Yuan</w:t>
      </w:r>
    </w:p>
    <w:p>
      <w:pPr>
        <w:spacing w:after="0" w:line="27"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8"/>
          <w:szCs w:val="18"/>
          <w:color w:val="auto"/>
        </w:rPr>
        <w:t>I, Kelly Steckelberg, certify, pursuant to the requirement set forth in Rule 13a-14(b) of the Exchange Act and 18 U.S.C. Section 1350, as adopted pursuant to Section 906 of the Sarbanes-Oxley Act of 2002, that to the best of my knowledge, the Quarterly Report on Form 10-Q of Zoom Video Communications, Inc. for the fiscal quarter ended October 31, 2022 fully complies with the requirements of Section 13(a) or 15(d) of the Exchange Act and that information contained in such Quarterly Report on Form 10-Q fairly presents, in all material respects, the financial condition and results of operations of Zoom Video Communications, Inc.</w:t>
      </w:r>
    </w:p>
    <w:p>
      <w:pPr>
        <w:spacing w:after="0" w:line="252" w:lineRule="exact"/>
        <w:rPr>
          <w:sz w:val="20"/>
          <w:szCs w:val="20"/>
          <w:color w:val="auto"/>
        </w:rPr>
      </w:pPr>
    </w:p>
    <w:p>
      <w:pPr>
        <w:ind w:left="20"/>
        <w:spacing w:after="0"/>
        <w:tabs>
          <w:tab w:leader="none" w:pos="6720" w:val="left"/>
          <w:tab w:leader="none" w:pos="7160" w:val="left"/>
        </w:tabs>
        <w:rPr>
          <w:sz w:val="20"/>
          <w:szCs w:val="20"/>
          <w:color w:val="auto"/>
        </w:rPr>
      </w:pPr>
      <w:r>
        <w:rPr>
          <w:rFonts w:ascii="Times New Roman" w:cs="Times New Roman" w:eastAsia="Times New Roman" w:hAnsi="Times New Roman"/>
          <w:sz w:val="18"/>
          <w:szCs w:val="18"/>
          <w:color w:val="auto"/>
        </w:rPr>
        <w:t>Date: November 23,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Kelly Steckelberg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17145</wp:posOffset>
            </wp:positionV>
            <wp:extent cx="250317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Kelly Steckelberg</w:t>
      </w:r>
    </w:p>
    <w:p>
      <w:pPr>
        <w:spacing w:after="0" w:line="27"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E0C57B1"/>
    <w:multiLevelType w:val="hybridMultilevel"/>
    <w:lvl w:ilvl="0">
      <w:lvlJc w:val="left"/>
      <w:lvlText w:val="☒"/>
      <w:numFmt w:val="bullet"/>
      <w:start w:val="1"/>
    </w:lvl>
  </w:abstractNum>
  <w:abstractNum w:abstractNumId="1">
    <w:nsid w:val="77AE35EB"/>
    <w:multiLevelType w:val="hybridMultilevel"/>
    <w:lvl w:ilvl="0">
      <w:lvlJc w:val="left"/>
      <w:lvlText w:val="☐"/>
      <w:numFmt w:val="bullet"/>
      <w:start w:val="1"/>
    </w:lvl>
  </w:abstractNum>
  <w:abstractNum w:abstractNumId="2">
    <w:nsid w:val="579BE4F1"/>
    <w:multiLevelType w:val="hybridMultilevel"/>
    <w:lvl w:ilvl="0">
      <w:lvlJc w:val="left"/>
      <w:lvlText w:val="•"/>
      <w:numFmt w:val="bullet"/>
      <w:start w:val="1"/>
    </w:lvl>
  </w:abstractNum>
  <w:abstractNum w:abstractNumId="3">
    <w:nsid w:val="310C50B3"/>
    <w:multiLevelType w:val="hybridMultilevel"/>
    <w:lvl w:ilvl="0">
      <w:lvlJc w:val="left"/>
      <w:lvlText w:val="•"/>
      <w:numFmt w:val="bullet"/>
      <w:start w:val="1"/>
    </w:lvl>
  </w:abstractNum>
  <w:abstractNum w:abstractNumId="4">
    <w:nsid w:val="5FF87E05"/>
    <w:multiLevelType w:val="hybridMultilevel"/>
    <w:lvl w:ilvl="0">
      <w:lvlJc w:val="left"/>
      <w:lvlText w:val="%1."/>
      <w:numFmt w:val="decimal"/>
      <w:start w:val="1"/>
    </w:lvl>
  </w:abstractNum>
  <w:abstractNum w:abstractNumId="5">
    <w:nsid w:val="2F305DEF"/>
    <w:multiLevelType w:val="hybridMultilevel"/>
    <w:lvl w:ilvl="0">
      <w:lvlJc w:val="left"/>
      <w:lvlText w:val="%1."/>
      <w:numFmt w:val="decimal"/>
      <w:start w:val="6"/>
    </w:lvl>
  </w:abstractNum>
  <w:abstractNum w:abstractNumId="6">
    <w:nsid w:val="25A70BF7"/>
    <w:multiLevelType w:val="hybridMultilevel"/>
    <w:lvl w:ilvl="0">
      <w:lvlJc w:val="left"/>
      <w:lvlText w:val="(%1)"/>
      <w:numFmt w:val="decimal"/>
      <w:start w:val="1"/>
    </w:lvl>
  </w:abstractNum>
  <w:abstractNum w:abstractNumId="7">
    <w:nsid w:val="1DBABF00"/>
    <w:multiLevelType w:val="hybridMultilevel"/>
    <w:lvl w:ilvl="0">
      <w:lvlJc w:val="left"/>
      <w:lvlText w:val="•"/>
      <w:numFmt w:val="bullet"/>
      <w:start w:val="1"/>
    </w:lvl>
  </w:abstractNum>
  <w:abstractNum w:abstractNumId="8">
    <w:nsid w:val="4AD084E9"/>
    <w:multiLevelType w:val="hybridMultilevel"/>
    <w:lvl w:ilvl="0">
      <w:lvlJc w:val="left"/>
      <w:lvlText w:val="•"/>
      <w:numFmt w:val="bullet"/>
      <w:start w:val="1"/>
    </w:lvl>
  </w:abstractNum>
  <w:abstractNum w:abstractNumId="9">
    <w:nsid w:val="1F48EAA1"/>
    <w:multiLevelType w:val="hybridMultilevel"/>
    <w:lvl w:ilvl="0">
      <w:lvlJc w:val="left"/>
      <w:lvlText w:val="•"/>
      <w:numFmt w:val="bullet"/>
      <w:start w:val="1"/>
    </w:lvl>
  </w:abstractNum>
  <w:abstractNum w:abstractNumId="10">
    <w:nsid w:val="1381823A"/>
    <w:multiLevelType w:val="hybridMultilevel"/>
    <w:lvl w:ilvl="0">
      <w:lvlJc w:val="left"/>
      <w:lvlText w:val="•"/>
      <w:numFmt w:val="bullet"/>
      <w:start w:val="1"/>
    </w:lvl>
  </w:abstractNum>
  <w:abstractNum w:abstractNumId="11">
    <w:nsid w:val="5DB70AE5"/>
    <w:multiLevelType w:val="hybridMultilevel"/>
    <w:lvl w:ilvl="0">
      <w:lvlJc w:val="left"/>
      <w:lvlText w:val="•"/>
      <w:numFmt w:val="bullet"/>
      <w:start w:val="1"/>
    </w:lvl>
  </w:abstractNum>
  <w:abstractNum w:abstractNumId="12">
    <w:nsid w:val="100F8FCA"/>
    <w:multiLevelType w:val="hybridMultilevel"/>
    <w:lvl w:ilvl="0">
      <w:lvlJc w:val="left"/>
      <w:lvlText w:val="•"/>
      <w:numFmt w:val="bullet"/>
      <w:start w:val="1"/>
    </w:lvl>
  </w:abstractNum>
  <w:abstractNum w:abstractNumId="13">
    <w:nsid w:val="6590700B"/>
    <w:multiLevelType w:val="hybridMultilevel"/>
    <w:lvl w:ilvl="0">
      <w:lvlJc w:val="left"/>
      <w:lvlText w:val="•"/>
      <w:numFmt w:val="bullet"/>
      <w:start w:val="1"/>
    </w:lvl>
  </w:abstractNum>
  <w:abstractNum w:abstractNumId="14">
    <w:nsid w:val="15014ACB"/>
    <w:multiLevelType w:val="hybridMultilevel"/>
    <w:lvl w:ilvl="0">
      <w:lvlJc w:val="left"/>
      <w:lvlText w:val="•"/>
      <w:numFmt w:val="bullet"/>
      <w:start w:val="1"/>
    </w:lvl>
  </w:abstractNum>
  <w:abstractNum w:abstractNumId="15">
    <w:nsid w:val="5F5E7FD0"/>
    <w:multiLevelType w:val="hybridMultilevel"/>
    <w:lvl w:ilvl="0">
      <w:lvlJc w:val="left"/>
      <w:lvlText w:val="•"/>
      <w:numFmt w:val="bullet"/>
      <w:start w:val="1"/>
    </w:lvl>
  </w:abstractNum>
  <w:abstractNum w:abstractNumId="16">
    <w:nsid w:val="98A3148"/>
    <w:multiLevelType w:val="hybridMultilevel"/>
    <w:lvl w:ilvl="0">
      <w:lvlJc w:val="left"/>
      <w:lvlText w:val="•"/>
      <w:numFmt w:val="bullet"/>
      <w:start w:val="1"/>
    </w:lvl>
  </w:abstractNum>
  <w:abstractNum w:abstractNumId="17">
    <w:nsid w:val="799D0247"/>
    <w:multiLevelType w:val="hybridMultilevel"/>
    <w:lvl w:ilvl="0">
      <w:lvlJc w:val="left"/>
      <w:lvlText w:val="•"/>
      <w:numFmt w:val="bullet"/>
      <w:start w:val="1"/>
    </w:lvl>
  </w:abstractNum>
  <w:abstractNum w:abstractNumId="18">
    <w:nsid w:val="6B94764"/>
    <w:multiLevelType w:val="hybridMultilevel"/>
    <w:lvl w:ilvl="0">
      <w:lvlJc w:val="left"/>
      <w:lvlText w:val="•"/>
      <w:numFmt w:val="bullet"/>
      <w:start w:val="1"/>
    </w:lvl>
  </w:abstractNum>
  <w:abstractNum w:abstractNumId="19">
    <w:nsid w:val="42C296BD"/>
    <w:multiLevelType w:val="hybridMultilevel"/>
    <w:lvl w:ilvl="0">
      <w:lvlJc w:val="left"/>
      <w:lvlText w:val="•"/>
      <w:numFmt w:val="bullet"/>
      <w:start w:val="1"/>
    </w:lvl>
  </w:abstractNum>
  <w:abstractNum w:abstractNumId="20">
    <w:nsid w:val="168E121F"/>
    <w:multiLevelType w:val="hybridMultilevel"/>
    <w:lvl w:ilvl="0">
      <w:lvlJc w:val="left"/>
      <w:lvlText w:val="•"/>
      <w:numFmt w:val="bullet"/>
      <w:start w:val="1"/>
    </w:lvl>
  </w:abstractNum>
  <w:abstractNum w:abstractNumId="21">
    <w:nsid w:val="1EBA5D23"/>
    <w:multiLevelType w:val="hybridMultilevel"/>
    <w:lvl w:ilvl="0">
      <w:lvlJc w:val="left"/>
      <w:lvlText w:val="(%1)"/>
      <w:numFmt w:val="decimal"/>
      <w:start w:val="1"/>
    </w:lvl>
  </w:abstractNum>
  <w:abstractNum w:abstractNumId="22">
    <w:nsid w:val="661E3F1E"/>
    <w:multiLevelType w:val="hybridMultilevel"/>
    <w:lvl w:ilvl="0">
      <w:lvlJc w:val="left"/>
      <w:lvlText w:val="%1"/>
      <w:numFmt w:val="decimal"/>
      <w:start w:val="104"/>
    </w:lvl>
  </w:abstractNum>
  <w:abstractNum w:abstractNumId="23">
    <w:nsid w:val="5DC79EA8"/>
    <w:multiLevelType w:val="hybridMultilevel"/>
    <w:lvl w:ilvl="0">
      <w:lvlJc w:val="left"/>
      <w:lvlText w:val="†"/>
      <w:numFmt w:val="bullet"/>
      <w:start w:val="1"/>
    </w:lvl>
  </w:abstractNum>
  <w:abstractNum w:abstractNumId="24">
    <w:nsid w:val="540A471C"/>
    <w:multiLevelType w:val="hybridMultilevel"/>
    <w:lvl w:ilvl="0">
      <w:lvlJc w:val="left"/>
      <w:lvlText w:val="%1."/>
      <w:numFmt w:val="decimal"/>
      <w:start w:val="1"/>
    </w:lvl>
  </w:abstractNum>
  <w:abstractNum w:abstractNumId="25">
    <w:nsid w:val="7BD3EE7B"/>
    <w:multiLevelType w:val="hybridMultilevel"/>
    <w:lvl w:ilvl="0">
      <w:lvlJc w:val="left"/>
      <w:lvlText w:val="(%1)"/>
      <w:numFmt w:val="lowerLetter"/>
      <w:start w:val="1"/>
    </w:lvl>
  </w:abstractNum>
  <w:abstractNum w:abstractNumId="26">
    <w:nsid w:val="51D9C564"/>
    <w:multiLevelType w:val="hybridMultilevel"/>
    <w:lvl w:ilvl="0">
      <w:lvlJc w:val="left"/>
      <w:lvlText w:val="(%1)"/>
      <w:numFmt w:val="lowerLetter"/>
      <w:start w:val="1"/>
    </w:lvl>
  </w:abstractNum>
  <w:abstractNum w:abstractNumId="27">
    <w:nsid w:val="613EFDC5"/>
    <w:multiLevelType w:val="hybridMultilevel"/>
    <w:lvl w:ilvl="0">
      <w:lvlJc w:val="left"/>
      <w:lvlText w:val="%1."/>
      <w:numFmt w:val="decimal"/>
      <w:start w:val="2"/>
    </w:lvl>
  </w:abstractNum>
  <w:abstractNum w:abstractNumId="28">
    <w:nsid w:val="BF72B14"/>
    <w:multiLevelType w:val="hybridMultilevel"/>
    <w:lvl w:ilvl="0">
      <w:lvlJc w:val="left"/>
      <w:lvlText w:val="(%1)"/>
      <w:numFmt w:val="lowerLetter"/>
      <w:start w:val="2"/>
    </w:lvl>
  </w:abstractNum>
  <w:abstractNum w:abstractNumId="29">
    <w:nsid w:val="11447B73"/>
    <w:multiLevelType w:val="hybridMultilevel"/>
    <w:lvl w:ilvl="0">
      <w:lvlJc w:val="left"/>
      <w:lvlText w:val="(%1)"/>
      <w:numFmt w:val="lowerLetter"/>
      <w:start w:val="1"/>
    </w:lvl>
  </w:abstractNum>
  <w:abstractNum w:abstractNumId="30">
    <w:nsid w:val="42963E5A"/>
    <w:multiLevelType w:val="hybridMultilevel"/>
    <w:lvl w:ilvl="0">
      <w:lvlJc w:val="left"/>
      <w:lvlText w:val="(%1)"/>
      <w:numFmt w:val="lowerRoman"/>
      <w:start w:val="1"/>
    </w:lvl>
  </w:abstractNum>
  <w:abstractNum w:abstractNumId="31">
    <w:nsid w:val="A0382C5"/>
    <w:multiLevelType w:val="hybridMultilevel"/>
    <w:lvl w:ilvl="0">
      <w:lvlJc w:val="left"/>
      <w:lvlText w:val="(%1)"/>
      <w:numFmt w:val="lowerRoman"/>
      <w:start w:val="2"/>
    </w:lvl>
  </w:abstractNum>
  <w:abstractNum w:abstractNumId="32">
    <w:nsid w:val="8F2B15E"/>
    <w:multiLevelType w:val="hybridMultilevel"/>
    <w:lvl w:ilvl="0">
      <w:lvlJc w:val="left"/>
      <w:lvlText w:val="%1."/>
      <w:numFmt w:val="decimal"/>
      <w:start w:val="3"/>
    </w:lvl>
  </w:abstractNum>
  <w:abstractNum w:abstractNumId="33">
    <w:nsid w:val="1A32234B"/>
    <w:multiLevelType w:val="hybridMultilevel"/>
    <w:lvl w:ilvl="0">
      <w:lvlJc w:val="left"/>
      <w:lvlText w:val="(%1)"/>
      <w:numFmt w:val="lowerLetter"/>
      <w:start w:val="3"/>
    </w:lvl>
  </w:abstractNum>
  <w:abstractNum w:abstractNumId="34">
    <w:nsid w:val="3B0FD379"/>
    <w:multiLevelType w:val="hybridMultilevel"/>
    <w:lvl w:ilvl="0">
      <w:lvlJc w:val="left"/>
      <w:lvlText w:val="(%1)"/>
      <w:numFmt w:val="lowerRoman"/>
      <w:start w:val="1"/>
    </w:lvl>
  </w:abstractNum>
  <w:abstractNum w:abstractNumId="35">
    <w:nsid w:val="68EB2F63"/>
    <w:multiLevelType w:val="hybridMultilevel"/>
    <w:lvl w:ilvl="0">
      <w:lvlJc w:val="left"/>
      <w:lvlText w:val="(%1)"/>
      <w:numFmt w:val="lowerLetter"/>
      <w:start w:val="1"/>
    </w:lvl>
  </w:abstractNum>
  <w:abstractNum w:abstractNumId="36">
    <w:nsid w:val="4962813B"/>
    <w:multiLevelType w:val="hybridMultilevel"/>
    <w:lvl w:ilvl="0">
      <w:lvlJc w:val="left"/>
      <w:lvlText w:val="%1."/>
      <w:numFmt w:val="decimal"/>
      <w:start w:val="4"/>
    </w:lvl>
  </w:abstractNum>
  <w:abstractNum w:abstractNumId="37">
    <w:nsid w:val="60B6DF70"/>
    <w:multiLevelType w:val="hybridMultilevel"/>
    <w:lvl w:ilvl="0">
      <w:lvlJc w:val="left"/>
      <w:lvlText w:val="(%1)"/>
      <w:numFmt w:val="lowerLetter"/>
      <w:start w:val="5"/>
    </w:lvl>
  </w:abstractNum>
  <w:abstractNum w:abstractNumId="38">
    <w:nsid w:val="6A5EE64"/>
    <w:multiLevelType w:val="hybridMultilevel"/>
    <w:lvl w:ilvl="0">
      <w:lvlJc w:val="left"/>
      <w:lvlText w:val="(%1)"/>
      <w:numFmt w:val="lowerRoman"/>
      <w:start w:val="1"/>
    </w:lvl>
  </w:abstractNum>
  <w:abstractNum w:abstractNumId="39">
    <w:nsid w:val="14330624"/>
    <w:multiLevelType w:val="hybridMultilevel"/>
    <w:lvl w:ilvl="0">
      <w:lvlJc w:val="left"/>
      <w:lvlText w:val="(%1)"/>
      <w:numFmt w:val="lowerRoman"/>
      <w:start w:val="3"/>
    </w:lvl>
  </w:abstractNum>
  <w:abstractNum w:abstractNumId="40">
    <w:nsid w:val="7FFFCA11"/>
    <w:multiLevelType w:val="hybridMultilevel"/>
    <w:lvl w:ilvl="0">
      <w:lvlJc w:val="left"/>
      <w:lvlText w:val="(%1)"/>
      <w:numFmt w:val="lowerLetter"/>
      <w:start w:val="1"/>
    </w:lvl>
  </w:abstractNum>
  <w:abstractNum w:abstractNumId="41">
    <w:nsid w:val="1A27709E"/>
    <w:multiLevelType w:val="hybridMultilevel"/>
    <w:lvl w:ilvl="0">
      <w:lvlJc w:val="left"/>
      <w:lvlText w:val="(%1)"/>
      <w:numFmt w:val="lowerRoman"/>
      <w:start w:val="6"/>
    </w:lvl>
  </w:abstractNum>
  <w:abstractNum w:abstractNumId="42">
    <w:nsid w:val="71EA1109"/>
    <w:multiLevelType w:val="hybridMultilevel"/>
    <w:lvl w:ilvl="0">
      <w:lvlJc w:val="left"/>
      <w:lvlText w:val="(%1)"/>
      <w:numFmt w:val="lowerLetter"/>
      <w:start w:val="8"/>
    </w:lvl>
  </w:abstractNum>
  <w:abstractNum w:abstractNumId="43">
    <w:nsid w:val="100F59DC"/>
    <w:multiLevelType w:val="hybridMultilevel"/>
    <w:lvl w:ilvl="0">
      <w:lvlJc w:val="left"/>
      <w:lvlText w:val="(%1)"/>
      <w:numFmt w:val="lowerRoman"/>
      <w:start w:val="8"/>
    </w:lvl>
  </w:abstractNum>
  <w:abstractNum w:abstractNumId="44">
    <w:nsid w:val="7FB7E0AA"/>
    <w:multiLevelType w:val="hybridMultilevel"/>
    <w:lvl w:ilvl="0">
      <w:lvlJc w:val="left"/>
      <w:lvlText w:val="(%1)"/>
      <w:numFmt w:val="lowerLetter"/>
      <w:start w:val="3"/>
    </w:lvl>
  </w:abstractNum>
  <w:abstractNum w:abstractNumId="45">
    <w:nsid w:val="6EB5BD4"/>
    <w:multiLevelType w:val="hybridMultilevel"/>
    <w:lvl w:ilvl="0">
      <w:lvlJc w:val="left"/>
      <w:lvlText w:val="(%1)"/>
      <w:numFmt w:val="lowerLetter"/>
      <w:start w:val="4"/>
    </w:lvl>
  </w:abstractNum>
  <w:abstractNum w:abstractNumId="46">
    <w:nsid w:val="6F6DD9AC"/>
    <w:multiLevelType w:val="hybridMultilevel"/>
    <w:lvl w:ilvl="0">
      <w:lvlJc w:val="left"/>
      <w:lvlText w:val="%1."/>
      <w:numFmt w:val="decimal"/>
      <w:start w:val="5"/>
    </w:lvl>
  </w:abstractNum>
  <w:abstractNum w:abstractNumId="47">
    <w:nsid w:val="94211F2"/>
    <w:multiLevelType w:val="hybridMultilevel"/>
    <w:lvl w:ilvl="0">
      <w:lvlJc w:val="left"/>
      <w:lvlText w:val="(%1)"/>
      <w:numFmt w:val="lowerLetter"/>
      <w:start w:val="11"/>
    </w:lvl>
  </w:abstractNum>
  <w:abstractNum w:abstractNumId="48">
    <w:nsid w:val="885E1B"/>
    <w:multiLevelType w:val="hybridMultilevel"/>
    <w:lvl w:ilvl="0">
      <w:lvlJc w:val="left"/>
      <w:lvlText w:val="(%1)"/>
      <w:numFmt w:val="lowerRoman"/>
      <w:start w:val="1"/>
    </w:lvl>
  </w:abstractNum>
  <w:abstractNum w:abstractNumId="49">
    <w:nsid w:val="76272110"/>
    <w:multiLevelType w:val="hybridMultilevel"/>
    <w:lvl w:ilvl="0">
      <w:lvlJc w:val="left"/>
      <w:lvlText w:val="(%1)"/>
      <w:numFmt w:val="decimal"/>
      <w:start w:val="1"/>
    </w:lvl>
  </w:abstractNum>
  <w:abstractNum w:abstractNumId="50">
    <w:nsid w:val="4C04A8AF"/>
    <w:multiLevelType w:val="hybridMultilevel"/>
    <w:lvl w:ilvl="0">
      <w:lvlJc w:val="left"/>
      <w:lvlText w:val="(%1)"/>
      <w:numFmt w:val="lowerRoman"/>
      <w:start w:val="2"/>
    </w:lvl>
  </w:abstractNum>
  <w:abstractNum w:abstractNumId="51">
    <w:nsid w:val="1716703B"/>
    <w:multiLevelType w:val="hybridMultilevel"/>
    <w:lvl w:ilvl="0">
      <w:lvlJc w:val="left"/>
      <w:lvlText w:val="(%1)"/>
      <w:numFmt w:val="decimal"/>
      <w:start w:val="1"/>
    </w:lvl>
  </w:abstractNum>
  <w:abstractNum w:abstractNumId="52">
    <w:nsid w:val="14E17E33"/>
    <w:multiLevelType w:val="hybridMultilevel"/>
    <w:lvl w:ilvl="0">
      <w:lvlJc w:val="left"/>
      <w:lvlText w:val="(%1)"/>
      <w:numFmt w:val="lowerRoman"/>
      <w:start w:val="3"/>
    </w:lvl>
  </w:abstractNum>
  <w:abstractNum w:abstractNumId="53">
    <w:nsid w:val="3222E7CD"/>
    <w:multiLevelType w:val="hybridMultilevel"/>
    <w:lvl w:ilvl="0">
      <w:lvlJc w:val="left"/>
      <w:lvlText w:val="(%1)"/>
      <w:numFmt w:val="lowerLetter"/>
      <w:start w:val="6"/>
    </w:lvl>
  </w:abstractNum>
  <w:abstractNum w:abstractNumId="54">
    <w:nsid w:val="74DE0EE3"/>
    <w:multiLevelType w:val="hybridMultilevel"/>
    <w:lvl w:ilvl="0">
      <w:lvlJc w:val="left"/>
      <w:lvlText w:val="(%1)"/>
      <w:numFmt w:val="lowerLetter"/>
      <w:start w:val="7"/>
    </w:lvl>
  </w:abstractNum>
  <w:abstractNum w:abstractNumId="55">
    <w:nsid w:val="68EBC550"/>
    <w:multiLevelType w:val="hybridMultilevel"/>
    <w:lvl w:ilvl="0">
      <w:lvlJc w:val="left"/>
      <w:lvlText w:val="%1."/>
      <w:numFmt w:val="decimal"/>
      <w:start w:val="6"/>
    </w:lvl>
  </w:abstractNum>
  <w:abstractNum w:abstractNumId="56">
    <w:nsid w:val="2DF6D648"/>
    <w:multiLevelType w:val="hybridMultilevel"/>
    <w:lvl w:ilvl="0">
      <w:lvlJc w:val="left"/>
      <w:lvlText w:val="(%1)"/>
      <w:numFmt w:val="lowerLetter"/>
      <w:start w:val="12"/>
    </w:lvl>
  </w:abstractNum>
  <w:abstractNum w:abstractNumId="57">
    <w:nsid w:val="46B7D447"/>
    <w:multiLevelType w:val="hybridMultilevel"/>
    <w:lvl w:ilvl="0">
      <w:lvlJc w:val="left"/>
      <w:lvlText w:val="(%1)"/>
      <w:numFmt w:val="lowerRoman"/>
      <w:start w:val="1"/>
    </w:lvl>
  </w:abstractNum>
  <w:abstractNum w:abstractNumId="58">
    <w:nsid w:val="4A2AC315"/>
    <w:multiLevelType w:val="hybridMultilevel"/>
    <w:lvl w:ilvl="0">
      <w:lvlJc w:val="left"/>
      <w:lvlText w:val="(%1)"/>
      <w:numFmt w:val="lowerRoman"/>
      <w:start w:val="2"/>
    </w:lvl>
  </w:abstractNum>
  <w:abstractNum w:abstractNumId="59">
    <w:nsid w:val="39EE015C"/>
    <w:multiLevelType w:val="hybridMultilevel"/>
    <w:lvl w:ilvl="0">
      <w:lvlJc w:val="left"/>
      <w:lvlText w:val="(%1)"/>
      <w:numFmt w:val="lowerLetter"/>
      <w:start w:val="1"/>
    </w:lvl>
  </w:abstractNum>
  <w:abstractNum w:abstractNumId="60">
    <w:nsid w:val="57FC4FBB"/>
    <w:multiLevelType w:val="hybridMultilevel"/>
    <w:lvl w:ilvl="0">
      <w:lvlJc w:val="left"/>
      <w:lvlText w:val="(%1)"/>
      <w:numFmt w:val="lowerLetter"/>
      <w:start w:val="1"/>
    </w:lvl>
  </w:abstractNum>
  <w:abstractNum w:abstractNumId="61">
    <w:nsid w:val="CC1016F"/>
    <w:multiLevelType w:val="hybridMultilevel"/>
    <w:lvl w:ilvl="0">
      <w:lvlJc w:val="left"/>
      <w:lvlText w:val="%1."/>
      <w:numFmt w:val="decimal"/>
      <w:start w:val="7"/>
    </w:lvl>
  </w:abstractNum>
  <w:abstractNum w:abstractNumId="62">
    <w:nsid w:val="43F18422"/>
    <w:multiLevelType w:val="hybridMultilevel"/>
    <w:lvl w:ilvl="0">
      <w:lvlJc w:val="left"/>
      <w:lvlText w:val="(%1)"/>
      <w:numFmt w:val="lowerLetter"/>
      <w:start w:val="2"/>
    </w:lvl>
  </w:abstractNum>
  <w:abstractNum w:abstractNumId="63">
    <w:nsid w:val="60EF0119"/>
    <w:multiLevelType w:val="hybridMultilevel"/>
    <w:lvl w:ilvl="0">
      <w:lvlJc w:val="left"/>
      <w:lvlText w:val="(%1)"/>
      <w:numFmt w:val="lowerRoman"/>
      <w:start w:val="1"/>
    </w:lvl>
  </w:abstractNum>
  <w:abstractNum w:abstractNumId="64">
    <w:nsid w:val="26F324BA"/>
    <w:multiLevelType w:val="hybridMultilevel"/>
    <w:lvl w:ilvl="0">
      <w:lvlJc w:val="left"/>
      <w:lvlText w:val="(%1)"/>
      <w:numFmt w:val="lowerRoman"/>
      <w:start w:val="1"/>
    </w:lvl>
  </w:abstractNum>
  <w:abstractNum w:abstractNumId="65">
    <w:nsid w:val="7F01579B"/>
    <w:multiLevelType w:val="hybridMultilevel"/>
    <w:lvl w:ilvl="0">
      <w:lvlJc w:val="left"/>
      <w:lvlText w:val="(%1)"/>
      <w:numFmt w:val="lowerRoman"/>
      <w:start w:val="7"/>
    </w:lvl>
  </w:abstractNum>
  <w:abstractNum w:abstractNumId="66">
    <w:nsid w:val="49DA307D"/>
    <w:multiLevelType w:val="hybridMultilevel"/>
    <w:lvl w:ilvl="0">
      <w:lvlJc w:val="left"/>
      <w:lvlText w:val="(%1)"/>
      <w:numFmt w:val="lowerLetter"/>
      <w:start w:val="1"/>
    </w:lvl>
  </w:abstractNum>
  <w:abstractNum w:abstractNumId="67">
    <w:nsid w:val="7055A5F5"/>
    <w:multiLevelType w:val="hybridMultilevel"/>
    <w:lvl w:ilvl="0">
      <w:lvlJc w:val="left"/>
      <w:lvlText w:val="(%1)"/>
      <w:numFmt w:val="lowerRoman"/>
      <w:start w:val="12"/>
    </w:lvl>
  </w:abstractNum>
  <w:abstractNum w:abstractNumId="68">
    <w:nsid w:val="5FB8370B"/>
    <w:multiLevelType w:val="hybridMultilevel"/>
    <w:lvl w:ilvl="0">
      <w:lvlJc w:val="left"/>
      <w:lvlText w:val="(%1)"/>
      <w:numFmt w:val="lowerLetter"/>
      <w:start w:val="3"/>
    </w:lvl>
  </w:abstractNum>
  <w:abstractNum w:abstractNumId="69">
    <w:nsid w:val="50801EE1"/>
    <w:multiLevelType w:val="hybridMultilevel"/>
    <w:lvl w:ilvl="0">
      <w:lvlJc w:val="left"/>
      <w:lvlText w:val="%1."/>
      <w:numFmt w:val="decimal"/>
      <w:start w:val="8"/>
    </w:lvl>
  </w:abstractNum>
  <w:abstractNum w:abstractNumId="70">
    <w:nsid w:val="488AC1A"/>
    <w:multiLevelType w:val="hybridMultilevel"/>
    <w:lvl w:ilvl="0">
      <w:lvlJc w:val="left"/>
      <w:lvlText w:val="(%1)"/>
      <w:numFmt w:val="lowerLetter"/>
      <w:start w:val="2"/>
    </w:lvl>
  </w:abstractNum>
  <w:abstractNum w:abstractNumId="71">
    <w:nsid w:val="5FB8011C"/>
    <w:multiLevelType w:val="hybridMultilevel"/>
    <w:lvl w:ilvl="0">
      <w:lvlJc w:val="left"/>
      <w:lvlText w:val="(%1)"/>
      <w:numFmt w:val="lowerLetter"/>
      <w:start w:val="5"/>
    </w:lvl>
  </w:abstractNum>
  <w:abstractNum w:abstractNumId="72">
    <w:nsid w:val="6AA78F7F"/>
    <w:multiLevelType w:val="hybridMultilevel"/>
    <w:lvl w:ilvl="0">
      <w:lvlJc w:val="left"/>
      <w:lvlText w:val="%1."/>
      <w:numFmt w:val="decimal"/>
      <w:start w:val="9"/>
    </w:lvl>
  </w:abstractNum>
  <w:abstractNum w:abstractNumId="73">
    <w:nsid w:val="7672BD23"/>
    <w:multiLevelType w:val="hybridMultilevel"/>
    <w:lvl w:ilvl="0">
      <w:lvlJc w:val="left"/>
      <w:lvlText w:val="(%1)"/>
      <w:numFmt w:val="lowerLetter"/>
      <w:start w:val="8"/>
    </w:lvl>
  </w:abstractNum>
  <w:abstractNum w:abstractNumId="74">
    <w:nsid w:val="6FC75AF8"/>
    <w:multiLevelType w:val="hybridMultilevel"/>
    <w:lvl w:ilvl="0">
      <w:lvlJc w:val="left"/>
      <w:lvlText w:val="(%1)"/>
      <w:numFmt w:val="lowerLetter"/>
      <w:start w:val="13"/>
    </w:lvl>
  </w:abstractNum>
  <w:abstractNum w:abstractNumId="75">
    <w:nsid w:val="6A5F7029"/>
    <w:multiLevelType w:val="hybridMultilevel"/>
    <w:lvl w:ilvl="0">
      <w:lvlJc w:val="left"/>
      <w:lvlText w:val="(%1)"/>
      <w:numFmt w:val="lowerLetter"/>
      <w:start w:val="1"/>
    </w:lvl>
  </w:abstractNum>
  <w:abstractNum w:abstractNumId="76">
    <w:nsid w:val="7D5E18F8"/>
    <w:multiLevelType w:val="hybridMultilevel"/>
    <w:lvl w:ilvl="0">
      <w:lvlJc w:val="left"/>
      <w:lvlText w:val="(%1)"/>
      <w:numFmt w:val="lowerLetter"/>
      <w:start w:val="6"/>
    </w:lvl>
  </w:abstractNum>
  <w:abstractNum w:abstractNumId="77">
    <w:nsid w:val="5F3534A4"/>
    <w:multiLevelType w:val="hybridMultilevel"/>
    <w:lvl w:ilvl="0">
      <w:lvlJc w:val="left"/>
      <w:lvlText w:val="(%1)"/>
      <w:numFmt w:val="lowerLetter"/>
      <w:start w:val="7"/>
    </w:lvl>
  </w:abstractNum>
  <w:abstractNum w:abstractNumId="78">
    <w:nsid w:val="73A1821B"/>
    <w:multiLevelType w:val="hybridMultilevel"/>
    <w:lvl w:ilvl="0">
      <w:lvlJc w:val="left"/>
      <w:lvlText w:val="%1."/>
      <w:numFmt w:val="decimal"/>
      <w:start w:val="10"/>
    </w:lvl>
  </w:abstractNum>
  <w:abstractNum w:abstractNumId="79">
    <w:nsid w:val="7DE67713"/>
    <w:multiLevelType w:val="hybridMultilevel"/>
    <w:lvl w:ilvl="0">
      <w:lvlJc w:val="left"/>
      <w:lvlText w:val="(%1)"/>
      <w:numFmt w:val="lowerLetter"/>
      <w:start w:val="2"/>
    </w:lvl>
  </w:abstractNum>
  <w:abstractNum w:abstractNumId="80">
    <w:nsid w:val="555C55B5"/>
    <w:multiLevelType w:val="hybridMultilevel"/>
    <w:lvl w:ilvl="0">
      <w:lvlJc w:val="left"/>
      <w:lvlText w:val="%1."/>
      <w:numFmt w:val="decimal"/>
      <w:start w:val="11"/>
    </w:lvl>
  </w:abstractNum>
  <w:abstractNum w:abstractNumId="81">
    <w:nsid w:val="3FA62ACA"/>
    <w:multiLevelType w:val="hybridMultilevel"/>
    <w:lvl w:ilvl="0">
      <w:lvlJc w:val="left"/>
      <w:lvlText w:val="(%1)"/>
      <w:numFmt w:val="lowerLetter"/>
      <w:start w:val="12"/>
    </w:lvl>
  </w:abstractNum>
  <w:abstractNum w:abstractNumId="82">
    <w:nsid w:val="14FCE74E"/>
    <w:multiLevelType w:val="hybridMultilevel"/>
    <w:lvl w:ilvl="0">
      <w:lvlJc w:val="left"/>
      <w:lvlText w:val="(%1)"/>
      <w:numFmt w:val="lowerRoman"/>
      <w:start w:val="1"/>
    </w:lvl>
  </w:abstractNum>
  <w:abstractNum w:abstractNumId="83">
    <w:nsid w:val="6A3DD3E8"/>
    <w:multiLevelType w:val="hybridMultilevel"/>
    <w:lvl w:ilvl="0">
      <w:lvlJc w:val="left"/>
      <w:lvlText w:val="(%1)"/>
      <w:numFmt w:val="lowerRoman"/>
      <w:start w:val="1"/>
    </w:lvl>
  </w:abstractNum>
  <w:abstractNum w:abstractNumId="84">
    <w:nsid w:val="71C91298"/>
    <w:multiLevelType w:val="hybridMultilevel"/>
    <w:lvl w:ilvl="0">
      <w:lvlJc w:val="left"/>
      <w:lvlText w:val="(%1)"/>
      <w:numFmt w:val="lowerRoman"/>
      <w:start w:val="3"/>
    </w:lvl>
  </w:abstractNum>
  <w:abstractNum w:abstractNumId="85">
    <w:nsid w:val="9DAF632"/>
    <w:multiLevelType w:val="hybridMultilevel"/>
    <w:lvl w:ilvl="0">
      <w:lvlJc w:val="left"/>
      <w:lvlText w:val="(%1)"/>
      <w:numFmt w:val="lowerLetter"/>
      <w:start w:val="16"/>
    </w:lvl>
  </w:abstractNum>
  <w:abstractNum w:abstractNumId="86">
    <w:nsid w:val="53299938"/>
    <w:multiLevelType w:val="hybridMultilevel"/>
    <w:lvl w:ilvl="0">
      <w:lvlJc w:val="left"/>
      <w:lvlText w:val="(%1)"/>
      <w:numFmt w:val="lowerRoman"/>
      <w:start w:val="4"/>
    </w:lvl>
  </w:abstractNum>
  <w:abstractNum w:abstractNumId="87">
    <w:nsid w:val="1FBFE8E0"/>
    <w:multiLevelType w:val="hybridMultilevel"/>
    <w:lvl w:ilvl="0">
      <w:lvlJc w:val="left"/>
      <w:lvlText w:val="(%1)"/>
      <w:numFmt w:val="decimal"/>
      <w:start w:val="1"/>
    </w:lvl>
  </w:abstractNum>
  <w:abstractNum w:abstractNumId="88">
    <w:nsid w:val="5092CA79"/>
    <w:multiLevelType w:val="hybridMultilevel"/>
    <w:lvl w:ilvl="0">
      <w:lvlJc w:val="left"/>
      <w:lvlText w:val="(%1)"/>
      <w:numFmt w:val="lowerRoman"/>
      <w:start w:val="5"/>
    </w:lvl>
  </w:abstractNum>
  <w:abstractNum w:abstractNumId="89">
    <w:nsid w:val="1D545C4D"/>
    <w:multiLevelType w:val="hybridMultilevel"/>
    <w:lvl w:ilvl="0">
      <w:lvlJc w:val="left"/>
      <w:lvlText w:val="(%1)"/>
      <w:numFmt w:val="decimal"/>
      <w:start w:val="1"/>
    </w:lvl>
  </w:abstractNum>
  <w:abstractNum w:abstractNumId="90">
    <w:nsid w:val="59ADEA3D"/>
    <w:multiLevelType w:val="hybridMultilevel"/>
    <w:lvl w:ilvl="0">
      <w:lvlJc w:val="left"/>
      <w:lvlText w:val="(%1)"/>
      <w:numFmt w:val="decimal"/>
      <w:start w:val="3"/>
    </w:lvl>
  </w:abstractNum>
  <w:abstractNum w:abstractNumId="91">
    <w:nsid w:val="288F1A34"/>
    <w:multiLevelType w:val="hybridMultilevel"/>
    <w:lvl w:ilvl="0">
      <w:lvlJc w:val="left"/>
      <w:lvlText w:val="(%1)"/>
      <w:numFmt w:val="lowerLetter"/>
      <w:start w:val="1"/>
    </w:lvl>
  </w:abstractNum>
  <w:abstractNum w:abstractNumId="92">
    <w:nsid w:val="2A155DBC"/>
    <w:multiLevelType w:val="hybridMultilevel"/>
    <w:lvl w:ilvl="0">
      <w:lvlJc w:val="left"/>
      <w:lvlText w:val="(%1)"/>
      <w:numFmt w:val="lowerRoman"/>
      <w:start w:val="1"/>
    </w:lvl>
  </w:abstractNum>
  <w:abstractNum w:abstractNumId="93">
    <w:nsid w:val="1D9F6E5F"/>
    <w:multiLevelType w:val="hybridMultilevel"/>
    <w:lvl w:ilvl="0">
      <w:lvlJc w:val="left"/>
      <w:lvlText w:val="(%1)"/>
      <w:numFmt w:val="lowerLetter"/>
      <w:start w:val="2"/>
    </w:lvl>
  </w:abstractNum>
  <w:abstractNum w:abstractNumId="94">
    <w:nsid w:val="97E1B4E"/>
    <w:multiLevelType w:val="hybridMultilevel"/>
    <w:lvl w:ilvl="0">
      <w:lvlJc w:val="left"/>
      <w:lvlText w:val="(%1)"/>
      <w:numFmt w:val="lowerRoman"/>
      <w:start w:val="1"/>
    </w:lvl>
  </w:abstractNum>
  <w:abstractNum w:abstractNumId="95">
    <w:nsid w:val="51088277"/>
    <w:multiLevelType w:val="hybridMultilevel"/>
    <w:lvl w:ilvl="0">
      <w:lvlJc w:val="left"/>
      <w:lvlText w:val="(%1)"/>
      <w:numFmt w:val="lowerRoman"/>
      <w:start w:val="4"/>
    </w:lvl>
  </w:abstractNum>
  <w:abstractNum w:abstractNumId="96">
    <w:nsid w:val="1CA0C5FA"/>
    <w:multiLevelType w:val="hybridMultilevel"/>
    <w:lvl w:ilvl="0">
      <w:lvlJc w:val="left"/>
      <w:lvlText w:val="%1."/>
      <w:numFmt w:val="decimal"/>
      <w:start w:val="12"/>
    </w:lvl>
  </w:abstractNum>
  <w:abstractNum w:abstractNumId="97">
    <w:nsid w:val="53584BCB"/>
    <w:multiLevelType w:val="hybridMultilevel"/>
    <w:lvl w:ilvl="0">
      <w:lvlJc w:val="left"/>
      <w:lvlText w:val="%1."/>
      <w:numFmt w:val="decimal"/>
      <w:start w:val="13"/>
    </w:lvl>
  </w:abstractNum>
  <w:abstractNum w:abstractNumId="98">
    <w:nsid w:val="415E286C"/>
    <w:multiLevelType w:val="hybridMultilevel"/>
    <w:lvl w:ilvl="0">
      <w:lvlJc w:val="left"/>
      <w:lvlText w:val="(%1)"/>
      <w:numFmt w:val="lowerLetter"/>
      <w:start w:val="1"/>
    </w:lvl>
  </w:abstractNum>
  <w:abstractNum w:abstractNumId="99">
    <w:nsid w:val="7C58FD05"/>
    <w:multiLevelType w:val="hybridMultilevel"/>
    <w:lvl w:ilvl="0">
      <w:lvlJc w:val="left"/>
      <w:lvlText w:val="(%1)"/>
      <w:numFmt w:val="lowerLetter"/>
      <w:start w:val="1"/>
    </w:lvl>
  </w:abstractNum>
  <w:abstractNum w:abstractNumId="100">
    <w:nsid w:val="23D86AAC"/>
    <w:multiLevelType w:val="hybridMultilevel"/>
    <w:lvl w:ilvl="0">
      <w:lvlJc w:val="left"/>
      <w:lvlText w:val="(%1)"/>
      <w:numFmt w:val="lowerRoman"/>
      <w:start w:val="1"/>
    </w:lvl>
  </w:abstractNum>
  <w:abstractNum w:abstractNumId="101">
    <w:nsid w:val="45E6D486"/>
    <w:multiLevelType w:val="hybridMultilevel"/>
    <w:lvl w:ilvl="0">
      <w:lvlJc w:val="left"/>
      <w:lvlText w:val="(%1)"/>
      <w:numFmt w:val="lowerLetter"/>
      <w:start w:val="10"/>
    </w:lvl>
  </w:abstractNum>
  <w:abstractNum w:abstractNumId="102">
    <w:nsid w:val="5C10FE21"/>
    <w:multiLevelType w:val="hybridMultilevel"/>
    <w:lvl w:ilvl="0">
      <w:lvlJc w:val="left"/>
      <w:lvlText w:val="(%1)"/>
      <w:numFmt w:val="lowerRoman"/>
      <w:start w:val="1"/>
    </w:lvl>
  </w:abstractNum>
  <w:abstractNum w:abstractNumId="103">
    <w:nsid w:val="E7FFA2B"/>
    <w:multiLevelType w:val="hybridMultilevel"/>
    <w:lvl w:ilvl="0">
      <w:lvlJc w:val="left"/>
      <w:lvlText w:val="(%1)"/>
      <w:numFmt w:val="lowerRoman"/>
      <w:start w:val="3"/>
    </w:lvl>
  </w:abstractNum>
  <w:abstractNum w:abstractNumId="104">
    <w:nsid w:val="3C5991AA"/>
    <w:multiLevelType w:val="hybridMultilevel"/>
    <w:lvl w:ilvl="0">
      <w:lvlJc w:val="left"/>
      <w:lvlText w:val="(%1)"/>
      <w:numFmt w:val="lowerLetter"/>
      <w:start w:val="11"/>
    </w:lvl>
  </w:abstractNum>
  <w:abstractNum w:abstractNumId="105">
    <w:nsid w:val="4BD8591A"/>
    <w:multiLevelType w:val="hybridMultilevel"/>
    <w:lvl w:ilvl="0">
      <w:lvlJc w:val="left"/>
      <w:lvlText w:val="(%1)"/>
      <w:numFmt w:val="lowerLetter"/>
      <w:start w:val="17"/>
    </w:lvl>
  </w:abstractNum>
  <w:abstractNum w:abstractNumId="106">
    <w:nsid w:val="78DF6A55"/>
    <w:multiLevelType w:val="hybridMultilevel"/>
    <w:lvl w:ilvl="0">
      <w:lvlJc w:val="left"/>
      <w:lvlText w:val="(%1)"/>
      <w:numFmt w:val="lowerRoman"/>
      <w:start w:val="5"/>
    </w:lvl>
  </w:abstractNum>
  <w:abstractNum w:abstractNumId="107">
    <w:nsid w:val="39B7AAA2"/>
    <w:multiLevelType w:val="hybridMultilevel"/>
    <w:lvl w:ilvl="0">
      <w:lvlJc w:val="left"/>
      <w:lvlText w:val="(%1)"/>
      <w:numFmt w:val="lowerRoman"/>
      <w:start w:val="1"/>
    </w:lvl>
  </w:abstractNum>
  <w:abstractNum w:abstractNumId="108">
    <w:nsid w:val="2B0D8DBE"/>
    <w:multiLevelType w:val="hybridMultilevel"/>
    <w:lvl w:ilvl="0">
      <w:lvlJc w:val="left"/>
      <w:lvlText w:val="(%1)"/>
      <w:numFmt w:val="lowerLetter"/>
      <w:start w:val="1"/>
    </w:lvl>
  </w:abstractNum>
  <w:abstractNum w:abstractNumId="109">
    <w:nsid w:val="6C80EC70"/>
    <w:multiLevelType w:val="hybridMultilevel"/>
    <w:lvl w:ilvl="0">
      <w:lvlJc w:val="left"/>
      <w:lvlText w:val="(%1)"/>
      <w:numFmt w:val="lowerLetter"/>
      <w:start w:val="5"/>
    </w:lvl>
  </w:abstractNum>
  <w:abstractNum w:abstractNumId="110">
    <w:nsid w:val="379E21B5"/>
    <w:multiLevelType w:val="hybridMultilevel"/>
    <w:lvl w:ilvl="0">
      <w:lvlJc w:val="left"/>
      <w:lvlText w:val="(%1)"/>
      <w:numFmt w:val="lowerRoman"/>
      <w:start w:val="5"/>
    </w:lvl>
  </w:abstractNum>
  <w:abstractNum w:abstractNumId="111">
    <w:nsid w:val="69E373"/>
    <w:multiLevelType w:val="hybridMultilevel"/>
    <w:lvl w:ilvl="0">
      <w:lvlJc w:val="left"/>
      <w:lvlText w:val="(%1)"/>
      <w:numFmt w:val="lowerLetter"/>
      <w:start w:val="5"/>
    </w:lvl>
  </w:abstractNum>
  <w:abstractNum w:abstractNumId="112">
    <w:nsid w:val="2C27173B"/>
    <w:multiLevelType w:val="hybridMultilevel"/>
    <w:lvl w:ilvl="0">
      <w:lvlJc w:val="left"/>
      <w:lvlText w:val="(%1)"/>
      <w:numFmt w:val="lowerLetter"/>
      <w:start w:val="13"/>
    </w:lvl>
  </w:abstractNum>
  <w:abstractNum w:abstractNumId="113">
    <w:nsid w:val="4C9B0904"/>
    <w:multiLevelType w:val="hybridMultilevel"/>
    <w:lvl w:ilvl="0">
      <w:lvlJc w:val="left"/>
      <w:lvlText w:val="(%1)"/>
      <w:numFmt w:val="lowerLetter"/>
      <w:start w:val="14"/>
    </w:lvl>
  </w:abstractNum>
  <w:abstractNum w:abstractNumId="114">
    <w:nsid w:val="6AA7B75C"/>
    <w:multiLevelType w:val="hybridMultilevel"/>
    <w:lvl w:ilvl="0">
      <w:lvlJc w:val="left"/>
      <w:lvlText w:val="(%1)"/>
      <w:numFmt w:val="lowerLetter"/>
      <w:start w:val="11"/>
    </w:lvl>
  </w:abstractNum>
  <w:abstractNum w:abstractNumId="115">
    <w:nsid w:val="1DF029D3"/>
    <w:multiLevelType w:val="hybridMultilevel"/>
    <w:lvl w:ilvl="0">
      <w:lvlJc w:val="left"/>
      <w:lvlText w:val="(%1)"/>
      <w:numFmt w:val="lowerLetter"/>
      <w:start w:val="16"/>
    </w:lvl>
  </w:abstractNum>
  <w:abstractNum w:abstractNumId="116">
    <w:nsid w:val="5675FF36"/>
    <w:multiLevelType w:val="hybridMultilevel"/>
    <w:lvl w:ilvl="0">
      <w:lvlJc w:val="left"/>
      <w:lvlText w:val="(%1)"/>
      <w:numFmt w:val="lowerLetter"/>
      <w:start w:val="9"/>
    </w:lvl>
  </w:abstractNum>
  <w:abstractNum w:abstractNumId="117">
    <w:nsid w:val="3DD15094"/>
    <w:multiLevelType w:val="hybridMultilevel"/>
    <w:lvl w:ilvl="0">
      <w:lvlJc w:val="left"/>
      <w:lvlText w:val="(%1)"/>
      <w:numFmt w:val="lowerLetter"/>
      <w:start w:val="35"/>
    </w:lvl>
  </w:abstractNum>
  <w:abstractNum w:abstractNumId="118">
    <w:nsid w:val="3DB012B3"/>
    <w:multiLevelType w:val="hybridMultilevel"/>
    <w:lvl w:ilvl="0">
      <w:lvlJc w:val="left"/>
      <w:lvlText w:val="(%1)"/>
      <w:numFmt w:val="lowerLetter"/>
      <w:start w:val="18"/>
    </w:lvl>
  </w:abstractNum>
  <w:abstractNum w:abstractNumId="119">
    <w:nsid w:val="2708C9AF"/>
    <w:multiLevelType w:val="hybridMultilevel"/>
    <w:lvl w:ilvl="0">
      <w:lvlJc w:val="left"/>
      <w:lvlText w:val="(%1)"/>
      <w:numFmt w:val="lowerLetter"/>
      <w:start w:val="20"/>
    </w:lvl>
  </w:abstractNum>
  <w:abstractNum w:abstractNumId="120">
    <w:nsid w:val="5B25ACE2"/>
    <w:multiLevelType w:val="hybridMultilevel"/>
    <w:lvl w:ilvl="0">
      <w:lvlJc w:val="left"/>
      <w:lvlText w:val="(%1)"/>
      <w:numFmt w:val="lowerLetter"/>
      <w:start w:val="27"/>
    </w:lvl>
  </w:abstractNum>
  <w:abstractNum w:abstractNumId="121">
    <w:nsid w:val="175DFCF0"/>
    <w:multiLevelType w:val="hybridMultilevel"/>
    <w:lvl w:ilvl="0">
      <w:lvlJc w:val="left"/>
      <w:lvlText w:val="(%1)"/>
      <w:numFmt w:val="lowerLetter"/>
      <w:start w:val="28"/>
    </w:lvl>
  </w:abstractNum>
  <w:abstractNum w:abstractNumId="122">
    <w:nsid w:val="4F97E3E4"/>
    <w:multiLevelType w:val="hybridMultilevel"/>
    <w:lvl w:ilvl="0">
      <w:lvlJc w:val="left"/>
      <w:lvlText w:val="%1."/>
      <w:numFmt w:val="decimal"/>
      <w:start w:val="1"/>
    </w:lvl>
    <w:lvl w:ilvl="1">
      <w:lvlJc w:val="left"/>
      <w:lvlText w:val="%2."/>
      <w:numFmt w:val="lowerLetter"/>
      <w:start w:val="1"/>
    </w:lvl>
  </w:abstractNum>
  <w:abstractNum w:abstractNumId="123">
    <w:nsid w:val="53B0A9E"/>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87" Type="http://schemas.openxmlformats.org/officeDocument/2006/relationships/hyperlink" Target="http://www.sec.gov/Archives/edgar/data/1585521/000119312519115111/d736915dex31.htm" TargetMode="External"/><Relationship Id="rId88" Type="http://schemas.openxmlformats.org/officeDocument/2006/relationships/hyperlink" Target="http://www.sec.gov/Archives/edgar/data/1585521/000119312519099813/d642624dex34.htm" TargetMode="External"/><Relationship Id="rId89" Type="http://schemas.openxmlformats.org/officeDocument/2006/relationships/hyperlink" Target="https://www.sec.gov/Archives/edgar/data/1585521/000158552122000180/exhibit102_zoom-severance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2022-11-23T15:40:49Z</dcterms:created>
  <dcterms:modified xsi:type="dcterms:W3CDTF">2022-11-23T15:40:49Z</dcterms:modified>
</cp:coreProperties>
</file>