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88" w:before="100" w:after="283"/>
        <w:jc w:val="center"/>
        <w:rPr>
          <w:rFonts w:ascii="Times New Roman;serif" w:hAnsi="Times New Roman;serif"/>
          <w:b/>
          <w:color w:val="000000"/>
          <w:sz w:val="30"/>
        </w:rPr>
      </w:pPr>
      <w:r>
        <w:rPr>
          <w:rFonts w:ascii="Times New Roman;serif" w:hAnsi="Times New Roman;serif"/>
          <w:b/>
          <w:color w:val="000000"/>
          <w:sz w:val="30"/>
        </w:rPr>
        <w:t>FORM 10-Q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88" w:before="5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5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October 31, 2025 </w:t>
      </w:r>
    </w:p>
    <w:p>
      <w:pPr>
        <w:pStyle w:val="TextBody"/>
        <w:bidi w:val="0"/>
        <w:spacing w:lineRule="auto" w:line="288" w:before="5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50" w:after="283"/>
        <w:jc w:val="center"/>
        <w:rPr>
          <w:rFonts w:ascii="Times New Roman;serif" w:hAnsi="Times New Roman;serif"/>
          <w:b/>
          <w:color w:val="000000"/>
          <w:sz w:val="20"/>
        </w:rPr>
      </w:pPr>
      <w:r>
        <w:rPr>
          <w:rFonts w:ascii="Times New Roman;serif" w:hAnsi="Times New Roman;serif"/>
          <w:b/>
          <w:color w:val="000000"/>
          <w:sz w:val="20"/>
        </w:rPr>
        <w:t>Commission File Number 001-38865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88" w:before="50" w:after="283"/>
        <w:jc w:val="center"/>
        <w:rPr>
          <w:rFonts w:ascii="Times New Roman;serif" w:hAnsi="Times New Roman;serif"/>
          <w:b/>
          <w:color w:val="000000"/>
          <w:sz w:val="42"/>
        </w:rPr>
      </w:pPr>
      <w:r>
        <w:rPr>
          <w:rFonts w:ascii="Times New Roman;serif" w:hAnsi="Times New Roman;serif"/>
          <w:b/>
          <w:color w:val="000000"/>
          <w:sz w:val="42"/>
        </w:rPr>
        <w:t>Zoom Communications,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tbl>
      <w:tblPr>
        <w:tblW w:w="4048" w:type="dxa"/>
        <w:jc w:val="center"/>
        <w:tblInd w:w="0" w:type="dxa"/>
        <w:tblLayout w:type="fixed"/>
        <w:tblCellMar>
          <w:top w:w="28" w:type="dxa"/>
          <w:left w:w="28" w:type="dxa"/>
          <w:bottom w:w="28" w:type="dxa"/>
          <w:right w:w="28" w:type="dxa"/>
        </w:tblCellMar>
      </w:tblPr>
      <w:tblGrid>
        <w:gridCol w:w="927"/>
        <w:gridCol w:w="813"/>
        <w:gridCol w:w="824"/>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61-1648780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50" w:after="283"/>
        <w:jc w:val="center"/>
        <w:rPr/>
      </w:pPr>
      <w:r>
        <w:rPr>
          <w:rFonts w:ascii="Times New Roman;serif" w:hAnsi="Times New Roman;serif"/>
          <w:b/>
          <w:color w:val="000000"/>
          <w:sz w:val="20"/>
        </w:rPr>
        <w:t>55 Almaden Boulevard, 6</w:t>
      </w:r>
      <w:r>
        <w:rPr>
          <w:rFonts w:ascii="Times New Roman;serif" w:hAnsi="Times New Roman;serif"/>
          <w:b/>
          <w:color w:val="000000"/>
          <w:sz w:val="18"/>
        </w:rPr>
        <w:t>th</w:t>
      </w:r>
      <w:r>
        <w:rPr>
          <w:color w:val="000000"/>
        </w:rPr>
        <w:t xml:space="preserve"> </w:t>
      </w:r>
      <w:r>
        <w:rPr>
          <w:rFonts w:ascii="Times New Roman;serif" w:hAnsi="Times New Roman;serif"/>
          <w:b/>
          <w:color w:val="000000"/>
          <w:sz w:val="20"/>
        </w:rPr>
        <w:t>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California 95113</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and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(888) 799-9666</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501" w:type="dxa"/>
        <w:jc w:val="center"/>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5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5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November 14, 2025, the number of shares of the registrant’s Class A common stock outstanding was 265,569,716 and the number of shares of the registrant’s Class B common stock outstanding was 30,531,253.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October 31, 2025</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6"/>
        <w:gridCol w:w="244"/>
        <w:gridCol w:w="246"/>
        <w:gridCol w:w="2964"/>
        <w:gridCol w:w="2964"/>
        <w:gridCol w:w="2969"/>
        <w:gridCol w:w="158"/>
        <w:gridCol w:w="158"/>
        <w:gridCol w:w="226"/>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0">
              <w:r>
                <w:rPr>
                  <w:rStyle w:val="InternetLink"/>
                  <w:rFonts w:ascii="Times New Roman;serif" w:hAnsi="Times New Roman;serif"/>
                  <w:b w:val="false"/>
                  <w:color w:val="0000FF"/>
                  <w:sz w:val="20"/>
                  <w:u w:val="single"/>
                </w:rPr>
                <w:t>Special Note Regarding Forward-Looking Statements</w:t>
              </w:r>
            </w:hyperlink>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4023f1f243444d76a1195d8cf2bb25b2_10">
              <w:r>
                <w:rPr>
                  <w:rStyle w:val="InternetLink"/>
                  <w:rFonts w:ascii="Times New Roman;serif" w:hAnsi="Times New Roman;serif"/>
                  <w:b w:val="false"/>
                  <w:strike w:val="false"/>
                  <w:dstrike w:val="false"/>
                  <w:color w:val="000000"/>
                  <w:sz w:val="20"/>
                  <w:u w:val="none"/>
                  <w:effect w:val="none"/>
                </w:rPr>
                <w:t>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3">
              <w:r>
                <w:rPr>
                  <w:rStyle w:val="InternetLink"/>
                  <w:rFonts w:ascii="Times New Roman;serif" w:hAnsi="Times New Roman;serif"/>
                  <w:b w:val="false"/>
                  <w:color w:val="0000FF"/>
                  <w:sz w:val="20"/>
                  <w:u w:val="single"/>
                </w:rPr>
                <w:t>Summary 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3">
              <w:r>
                <w:rPr>
                  <w:rStyle w:val="InternetLink"/>
                  <w:rFonts w:ascii="Times New Roman;serif" w:hAnsi="Times New Roman;serif"/>
                  <w:b w:val="false"/>
                  <w:strike w:val="false"/>
                  <w:dstrike w:val="false"/>
                  <w:color w:val="000000"/>
                  <w:sz w:val="20"/>
                  <w:u w:val="none"/>
                  <w:effect w:val="none"/>
                </w:rPr>
                <w:t>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6">
              <w:r>
                <w:rPr>
                  <w:rStyle w:val="InternetLink"/>
                  <w:rFonts w:ascii="Times New Roman;serif" w:hAnsi="Times New Roman;serif"/>
                  <w:b w:val="false"/>
                  <w:color w:val="0000FF"/>
                  <w:sz w:val="20"/>
                  <w:u w:val="single"/>
                </w:rPr>
                <w:t>PART I – Financial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6">
              <w:r>
                <w:rPr>
                  <w:rStyle w:val="InternetLink"/>
                  <w:rFonts w:ascii="Times New Roman;serif" w:hAnsi="Times New Roman;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9">
              <w:r>
                <w:rPr>
                  <w:rStyle w:val="InternetLink"/>
                  <w:rFonts w:ascii="Times New Roman;serif" w:hAnsi="Times New Roman;serif"/>
                  <w:b w:val="false"/>
                  <w:strike w:val="false"/>
                  <w:dstrike w:val="false"/>
                  <w:color w:val="000000"/>
                  <w:sz w:val="20"/>
                  <w:u w:val="none"/>
                  <w:effect w:val="non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9">
              <w:r>
                <w:rPr>
                  <w:rStyle w:val="InternetLink"/>
                  <w:rFonts w:ascii="Times New Roman;serif" w:hAnsi="Times New Roman;serif"/>
                  <w:b w:val="false"/>
                  <w:color w:val="0000FF"/>
                  <w:sz w:val="20"/>
                  <w:u w:val="single"/>
                </w:rPr>
                <w:t>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9">
              <w:r>
                <w:rPr>
                  <w:rStyle w:val="InternetLink"/>
                  <w:rFonts w:ascii="Times New Roman;serif" w:hAnsi="Times New Roman;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22">
              <w:r>
                <w:rPr>
                  <w:rStyle w:val="InternetLink"/>
                  <w:rFonts w:ascii="Times New Roman;serif" w:hAnsi="Times New Roman;serif"/>
                  <w:b w:val="false"/>
                  <w:color w:val="000080"/>
                  <w:sz w:val="20"/>
                  <w:u w:val="single"/>
                </w:rPr>
                <w:t xml:space="preserve">Condensed Consolidated Balance Sheets as of </w:t>
              </w:r>
            </w:hyperlink>
            <w:hyperlink w:anchor="i4023f1f243444d76a1195d8cf2bb25b2_22">
              <w:r>
                <w:rPr>
                  <w:rStyle w:val="InternetLink"/>
                  <w:rFonts w:ascii="Times New Roman;serif" w:hAnsi="Times New Roman;serif"/>
                  <w:b w:val="false"/>
                  <w:color w:val="000080"/>
                  <w:sz w:val="20"/>
                  <w:u w:val="single"/>
                </w:rPr>
                <w:t>October 31, 2025</w:t>
              </w:r>
            </w:hyperlink>
            <w:hyperlink w:anchor="i4023f1f243444d76a1195d8cf2bb25b2_22">
              <w:r>
                <w:rPr>
                  <w:rStyle w:val="InternetLink"/>
                  <w:rFonts w:ascii="Times New Roman;serif" w:hAnsi="Times New Roman;serif"/>
                  <w:b w:val="false"/>
                  <w:color w:val="000080"/>
                  <w:sz w:val="20"/>
                  <w:u w:val="single"/>
                </w:rPr>
                <w:t xml:space="preserve"> and </w:t>
              </w:r>
            </w:hyperlink>
            <w:hyperlink w:anchor="i4023f1f243444d76a1195d8cf2bb25b2_22">
              <w:r>
                <w:rPr>
                  <w:rStyle w:val="InternetLink"/>
                  <w:rFonts w:ascii="Times New Roman;serif" w:hAnsi="Times New Roman;serif"/>
                  <w:b w:val="false"/>
                  <w:color w:val="000080"/>
                  <w:sz w:val="20"/>
                  <w:u w:val="single"/>
                </w:rPr>
                <w:t>January 31,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22">
              <w:r>
                <w:rPr>
                  <w:rStyle w:val="InternetLink"/>
                  <w:rFonts w:ascii="Times New Roman;serif" w:hAnsi="Times New Roman;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4023f1f243444d76a1195d8cf2bb25b2_25">
              <w:r>
                <w:rPr>
                  <w:rStyle w:val="InternetLink"/>
                  <w:rFonts w:ascii="Times New Roman;serif" w:hAnsi="Times New Roman;serif"/>
                  <w:b w:val="false"/>
                  <w:color w:val="000080"/>
                  <w:sz w:val="20"/>
                  <w:u w:val="single"/>
                </w:rPr>
                <w:t xml:space="preserve">Condensed Consolidated Statements of Operations for the </w:t>
              </w:r>
            </w:hyperlink>
            <w:hyperlink w:anchor="i4023f1f243444d76a1195d8cf2bb25b2_25">
              <w:r>
                <w:rPr>
                  <w:rStyle w:val="InternetLink"/>
                  <w:rFonts w:ascii="Times New Roman;serif" w:hAnsi="Times New Roman;serif"/>
                  <w:b w:val="false"/>
                  <w:color w:val="000080"/>
                  <w:sz w:val="20"/>
                  <w:u w:val="single"/>
                </w:rPr>
                <w:t xml:space="preserve">Three and Nine </w:t>
              </w:r>
            </w:hyperlink>
            <w:hyperlink w:anchor="i4023f1f243444d76a1195d8cf2bb25b2_25">
              <w:r>
                <w:rPr>
                  <w:rStyle w:val="InternetLink"/>
                  <w:rFonts w:ascii="Times New Roman;serif" w:hAnsi="Times New Roman;serif"/>
                  <w:b w:val="false"/>
                  <w:color w:val="000080"/>
                  <w:sz w:val="20"/>
                  <w:u w:val="single"/>
                </w:rPr>
                <w:t xml:space="preserve">Months Ended </w:t>
              </w:r>
            </w:hyperlink>
            <w:hyperlink w:anchor="i4023f1f243444d76a1195d8cf2bb25b2_25">
              <w:r>
                <w:rPr>
                  <w:rStyle w:val="InternetLink"/>
                  <w:rFonts w:ascii="Times New Roman;serif" w:hAnsi="Times New Roman;serif"/>
                  <w:b w:val="false"/>
                  <w:color w:val="000080"/>
                  <w:sz w:val="20"/>
                  <w:u w:val="single"/>
                </w:rPr>
                <w:t>October 31, 2025</w:t>
              </w:r>
            </w:hyperlink>
            <w:hyperlink w:anchor="i4023f1f243444d76a1195d8cf2bb25b2_25">
              <w:r>
                <w:rPr>
                  <w:rStyle w:val="InternetLink"/>
                  <w:rFonts w:ascii="Times New Roman;serif" w:hAnsi="Times New Roman;serif"/>
                  <w:b w:val="false"/>
                  <w:color w:val="000080"/>
                  <w:sz w:val="20"/>
                  <w:u w:val="single"/>
                </w:rPr>
                <w:t xml:space="preserve"> and </w:t>
              </w:r>
            </w:hyperlink>
            <w:hyperlink w:anchor="i4023f1f243444d76a1195d8cf2bb25b2_25">
              <w:r>
                <w:rPr>
                  <w:rStyle w:val="InternetLink"/>
                  <w:rFonts w:ascii="Times New Roman;serif" w:hAnsi="Times New Roman;serif"/>
                  <w:b w:val="false"/>
                  <w:color w:val="000080"/>
                  <w:sz w:val="20"/>
                  <w:u w:val="single"/>
                </w:rPr>
                <w:t>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25">
              <w:r>
                <w:rPr>
                  <w:rStyle w:val="InternetLink"/>
                  <w:rFonts w:ascii="Times New Roman;serif" w:hAnsi="Times New Roman;serif"/>
                  <w:b w:val="false"/>
                  <w:strike w:val="false"/>
                  <w:dstrike w:val="false"/>
                  <w:color w:val="000000"/>
                  <w:sz w:val="20"/>
                  <w:u w:val="none"/>
                  <w:effect w:val="none"/>
                </w:rPr>
                <w:t>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4023f1f243444d76a1195d8cf2bb25b2_28">
              <w:r>
                <w:rPr>
                  <w:rStyle w:val="InternetLink"/>
                  <w:rFonts w:ascii="Times New Roman;serif" w:hAnsi="Times New Roman;serif"/>
                  <w:b w:val="false"/>
                  <w:color w:val="000080"/>
                  <w:sz w:val="20"/>
                  <w:u w:val="single"/>
                </w:rPr>
                <w:t xml:space="preserve">Condensed Consolidated Statements of Comprehensive Income for the </w:t>
              </w:r>
            </w:hyperlink>
            <w:hyperlink w:anchor="i4023f1f243444d76a1195d8cf2bb25b2_28">
              <w:r>
                <w:rPr>
                  <w:rStyle w:val="InternetLink"/>
                  <w:rFonts w:ascii="Times New Roman;serif" w:hAnsi="Times New Roman;serif"/>
                  <w:b w:val="false"/>
                  <w:color w:val="000080"/>
                  <w:sz w:val="20"/>
                  <w:u w:val="single"/>
                </w:rPr>
                <w:t xml:space="preserve">Three and Nine </w:t>
              </w:r>
            </w:hyperlink>
            <w:hyperlink w:anchor="i4023f1f243444d76a1195d8cf2bb25b2_28">
              <w:r>
                <w:rPr>
                  <w:rStyle w:val="InternetLink"/>
                  <w:rFonts w:ascii="Times New Roman;serif" w:hAnsi="Times New Roman;serif"/>
                  <w:b w:val="false"/>
                  <w:color w:val="000080"/>
                  <w:sz w:val="20"/>
                  <w:u w:val="single"/>
                </w:rPr>
                <w:t xml:space="preserve">Months Ended </w:t>
              </w:r>
            </w:hyperlink>
            <w:hyperlink w:anchor="i4023f1f243444d76a1195d8cf2bb25b2_28">
              <w:r>
                <w:rPr>
                  <w:rStyle w:val="InternetLink"/>
                  <w:rFonts w:ascii="Times New Roman;serif" w:hAnsi="Times New Roman;serif"/>
                  <w:b w:val="false"/>
                  <w:color w:val="000080"/>
                  <w:sz w:val="20"/>
                  <w:u w:val="single"/>
                </w:rPr>
                <w:t>October 31, 2025</w:t>
              </w:r>
            </w:hyperlink>
            <w:hyperlink w:anchor="i4023f1f243444d76a1195d8cf2bb25b2_28">
              <w:r>
                <w:rPr>
                  <w:rStyle w:val="InternetLink"/>
                  <w:rFonts w:ascii="Times New Roman;serif" w:hAnsi="Times New Roman;serif"/>
                  <w:b w:val="false"/>
                  <w:color w:val="000080"/>
                  <w:sz w:val="20"/>
                  <w:u w:val="single"/>
                </w:rPr>
                <w:t xml:space="preserve"> and </w:t>
              </w:r>
            </w:hyperlink>
            <w:hyperlink w:anchor="i4023f1f243444d76a1195d8cf2bb25b2_28">
              <w:r>
                <w:rPr>
                  <w:rStyle w:val="InternetLink"/>
                  <w:rFonts w:ascii="Times New Roman;serif" w:hAnsi="Times New Roman;serif"/>
                  <w:b w:val="false"/>
                  <w:color w:val="000080"/>
                  <w:sz w:val="20"/>
                  <w:u w:val="single"/>
                </w:rPr>
                <w:t>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28">
              <w:r>
                <w:rPr>
                  <w:rStyle w:val="InternetLink"/>
                  <w:rFonts w:ascii="Times New Roman;serif" w:hAnsi="Times New Roman;serif"/>
                  <w:b w:val="false"/>
                  <w:strike w:val="false"/>
                  <w:dstrike w:val="false"/>
                  <w:color w:val="000000"/>
                  <w:sz w:val="20"/>
                  <w:u w:val="none"/>
                  <w:effect w:val="none"/>
                </w:rPr>
                <w:t>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4023f1f243444d76a1195d8cf2bb25b2_31">
              <w:r>
                <w:rPr>
                  <w:rStyle w:val="InternetLink"/>
                  <w:rFonts w:ascii="Times New Roman;serif" w:hAnsi="Times New Roman;serif"/>
                  <w:b w:val="false"/>
                  <w:color w:val="000080"/>
                  <w:sz w:val="20"/>
                  <w:u w:val="single"/>
                </w:rPr>
                <w:t>Condensed Consolidated Statements of Stockholders’ Equity</w:t>
              </w:r>
            </w:hyperlink>
            <w:hyperlink w:anchor="i4023f1f243444d76a1195d8cf2bb25b2_31">
              <w:r>
                <w:rPr>
                  <w:rStyle w:val="InternetLink"/>
                  <w:rFonts w:ascii="Times New Roman;serif" w:hAnsi="Times New Roman;serif"/>
                  <w:b w:val="false"/>
                  <w:color w:val="000080"/>
                  <w:sz w:val="20"/>
                  <w:u w:val="single"/>
                </w:rPr>
                <w:t xml:space="preserve"> </w:t>
              </w:r>
            </w:hyperlink>
            <w:hyperlink w:anchor="i4023f1f243444d76a1195d8cf2bb25b2_31">
              <w:r>
                <w:rPr>
                  <w:rStyle w:val="InternetLink"/>
                  <w:rFonts w:ascii="Times New Roman;serif" w:hAnsi="Times New Roman;serif"/>
                  <w:b w:val="false"/>
                  <w:color w:val="000080"/>
                  <w:sz w:val="20"/>
                  <w:u w:val="single"/>
                </w:rPr>
                <w:t xml:space="preserve">for the </w:t>
              </w:r>
            </w:hyperlink>
            <w:hyperlink w:anchor="i4023f1f243444d76a1195d8cf2bb25b2_31">
              <w:r>
                <w:rPr>
                  <w:rStyle w:val="InternetLink"/>
                  <w:rFonts w:ascii="Times New Roman;serif" w:hAnsi="Times New Roman;serif"/>
                  <w:b w:val="false"/>
                  <w:color w:val="000080"/>
                  <w:sz w:val="20"/>
                  <w:u w:val="single"/>
                </w:rPr>
                <w:t xml:space="preserve">Three and Nine </w:t>
              </w:r>
            </w:hyperlink>
            <w:hyperlink w:anchor="i4023f1f243444d76a1195d8cf2bb25b2_31">
              <w:r>
                <w:rPr>
                  <w:rStyle w:val="InternetLink"/>
                  <w:rFonts w:ascii="Times New Roman;serif" w:hAnsi="Times New Roman;serif"/>
                  <w:b w:val="false"/>
                  <w:color w:val="000080"/>
                  <w:sz w:val="20"/>
                  <w:u w:val="single"/>
                </w:rPr>
                <w:t xml:space="preserve">Months Ended </w:t>
              </w:r>
            </w:hyperlink>
            <w:hyperlink w:anchor="i4023f1f243444d76a1195d8cf2bb25b2_31">
              <w:r>
                <w:rPr>
                  <w:rStyle w:val="InternetLink"/>
                  <w:rFonts w:ascii="Times New Roman;serif" w:hAnsi="Times New Roman;serif"/>
                  <w:b w:val="false"/>
                  <w:color w:val="000080"/>
                  <w:sz w:val="20"/>
                  <w:u w:val="single"/>
                </w:rPr>
                <w:t>October 31, 2025</w:t>
              </w:r>
            </w:hyperlink>
            <w:hyperlink w:anchor="i4023f1f243444d76a1195d8cf2bb25b2_31">
              <w:r>
                <w:rPr>
                  <w:rStyle w:val="InternetLink"/>
                  <w:rFonts w:ascii="Times New Roman;serif" w:hAnsi="Times New Roman;serif"/>
                  <w:b w:val="false"/>
                  <w:color w:val="000080"/>
                  <w:sz w:val="20"/>
                  <w:u w:val="single"/>
                </w:rPr>
                <w:t xml:space="preserve"> and </w:t>
              </w:r>
            </w:hyperlink>
            <w:hyperlink w:anchor="i4023f1f243444d76a1195d8cf2bb25b2_31">
              <w:r>
                <w:rPr>
                  <w:rStyle w:val="InternetLink"/>
                  <w:rFonts w:ascii="Times New Roman;serif" w:hAnsi="Times New Roman;serif"/>
                  <w:b w:val="false"/>
                  <w:color w:val="000080"/>
                  <w:sz w:val="20"/>
                  <w:u w:val="single"/>
                </w:rPr>
                <w:t>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31">
              <w:r>
                <w:rPr>
                  <w:rStyle w:val="InternetLink"/>
                  <w:rFonts w:ascii="Times New Roman;serif" w:hAnsi="Times New Roman;serif"/>
                  <w:b w:val="false"/>
                  <w:strike w:val="false"/>
                  <w:dstrike w:val="false"/>
                  <w:color w:val="000000"/>
                  <w:sz w:val="20"/>
                  <w:u w:val="none"/>
                  <w:effect w:val="none"/>
                </w:rPr>
                <w:t>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37">
              <w:r>
                <w:rPr>
                  <w:rStyle w:val="InternetLink"/>
                  <w:rFonts w:ascii="Times New Roman;serif" w:hAnsi="Times New Roman;serif"/>
                  <w:b w:val="false"/>
                  <w:color w:val="000080"/>
                  <w:sz w:val="20"/>
                  <w:u w:val="single"/>
                </w:rPr>
                <w:t xml:space="preserve">Condensed Consolidated Statements of Cash Flows for the </w:t>
              </w:r>
            </w:hyperlink>
            <w:hyperlink w:anchor="i4023f1f243444d76a1195d8cf2bb25b2_37">
              <w:r>
                <w:rPr>
                  <w:rStyle w:val="InternetLink"/>
                  <w:rFonts w:ascii="Times New Roman;serif" w:hAnsi="Times New Roman;serif"/>
                  <w:b w:val="false"/>
                  <w:color w:val="000080"/>
                  <w:sz w:val="20"/>
                  <w:u w:val="single"/>
                </w:rPr>
                <w:t>Nine Months Ended</w:t>
              </w:r>
            </w:hyperlink>
            <w:hyperlink w:anchor="i4023f1f243444d76a1195d8cf2bb25b2_37">
              <w:r>
                <w:rPr>
                  <w:rStyle w:val="InternetLink"/>
                  <w:rFonts w:ascii="Times New Roman;serif" w:hAnsi="Times New Roman;serif"/>
                  <w:b w:val="false"/>
                  <w:color w:val="000080"/>
                  <w:sz w:val="20"/>
                  <w:u w:val="single"/>
                </w:rPr>
                <w:t xml:space="preserve"> </w:t>
              </w:r>
            </w:hyperlink>
            <w:hyperlink w:anchor="i4023f1f243444d76a1195d8cf2bb25b2_37">
              <w:r>
                <w:rPr>
                  <w:rStyle w:val="InternetLink"/>
                  <w:rFonts w:ascii="Times New Roman;serif" w:hAnsi="Times New Roman;serif"/>
                  <w:b w:val="false"/>
                  <w:color w:val="000080"/>
                  <w:sz w:val="20"/>
                  <w:u w:val="single"/>
                </w:rPr>
                <w:t>October 31, 2025</w:t>
              </w:r>
            </w:hyperlink>
            <w:hyperlink w:anchor="i4023f1f243444d76a1195d8cf2bb25b2_37">
              <w:r>
                <w:rPr>
                  <w:rStyle w:val="InternetLink"/>
                  <w:rFonts w:ascii="Times New Roman;serif" w:hAnsi="Times New Roman;serif"/>
                  <w:b w:val="false"/>
                  <w:color w:val="000080"/>
                  <w:sz w:val="20"/>
                  <w:u w:val="single"/>
                </w:rPr>
                <w:t xml:space="preserve"> and </w:t>
              </w:r>
            </w:hyperlink>
            <w:hyperlink w:anchor="i4023f1f243444d76a1195d8cf2bb25b2_37">
              <w:r>
                <w:rPr>
                  <w:rStyle w:val="InternetLink"/>
                  <w:rFonts w:ascii="Times New Roman;serif" w:hAnsi="Times New Roman;serif"/>
                  <w:b w:val="false"/>
                  <w:color w:val="000080"/>
                  <w:sz w:val="20"/>
                  <w:u w:val="single"/>
                </w:rPr>
                <w:t>2024</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37">
              <w:r>
                <w:rPr>
                  <w:rStyle w:val="InternetLink"/>
                  <w:rFonts w:ascii="Times New Roman;serif" w:hAnsi="Times New Roman;serif"/>
                  <w:b w:val="false"/>
                  <w:strike w:val="false"/>
                  <w:dstrike w:val="false"/>
                  <w:color w:val="000000"/>
                  <w:sz w:val="20"/>
                  <w:u w:val="none"/>
                  <w:effect w:val="none"/>
                </w:rPr>
                <w:t>11</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40">
              <w:r>
                <w:rPr>
                  <w:rStyle w:val="InternetLink"/>
                  <w:rFonts w:ascii="Times New Roman;serif" w:hAnsi="Times New Roman;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40">
              <w:r>
                <w:rPr>
                  <w:rStyle w:val="InternetLink"/>
                  <w:rFonts w:ascii="Times New Roman;serif" w:hAnsi="Times New Roman;serif"/>
                  <w:b w:val="false"/>
                  <w:strike w:val="false"/>
                  <w:dstrike w:val="false"/>
                  <w:color w:val="000000"/>
                  <w:sz w:val="20"/>
                  <w:u w:val="none"/>
                  <w:effect w:val="none"/>
                </w:rPr>
                <w:t>12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97">
              <w:r>
                <w:rPr>
                  <w:rStyle w:val="InternetLink"/>
                  <w:rFonts w:ascii="Times New Roman;serif" w:hAnsi="Times New Roman;serif"/>
                  <w:b w:val="false"/>
                  <w:strike w:val="false"/>
                  <w:dstrike w:val="false"/>
                  <w:color w:val="000000"/>
                  <w:sz w:val="20"/>
                  <w:u w:val="none"/>
                  <w:effect w:val="non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97">
              <w:r>
                <w:rPr>
                  <w:rStyle w:val="InternetLink"/>
                  <w:rFonts w:ascii="Times New Roman;serif" w:hAnsi="Times New Roman;serif"/>
                  <w:b w:val="false"/>
                  <w:strike w:val="false"/>
                  <w:dstrike w:val="false"/>
                  <w:color w:val="000000"/>
                  <w:sz w:val="20"/>
                  <w:u w:val="none"/>
                  <w:effect w:val="none"/>
                </w:rPr>
                <w:t>25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39">
              <w:r>
                <w:rPr>
                  <w:rStyle w:val="InternetLink"/>
                  <w:rFonts w:ascii="Times New Roman;serif" w:hAnsi="Times New Roman;serif"/>
                  <w:b w:val="false"/>
                  <w:strike w:val="false"/>
                  <w:dstrike w:val="false"/>
                  <w:color w:val="000000"/>
                  <w:sz w:val="20"/>
                  <w:u w:val="none"/>
                  <w:effect w:val="non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39">
              <w:r>
                <w:rPr>
                  <w:rStyle w:val="InternetLink"/>
                  <w:rFonts w:ascii="Times New Roman;serif" w:hAnsi="Times New Roman;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39">
              <w:r>
                <w:rPr>
                  <w:rStyle w:val="InternetLink"/>
                  <w:rFonts w:ascii="Times New Roman;serif" w:hAnsi="Times New Roman;serif"/>
                  <w:b w:val="false"/>
                  <w:strike w:val="false"/>
                  <w:dstrike w:val="false"/>
                  <w:color w:val="000000"/>
                  <w:sz w:val="20"/>
                  <w:u w:val="none"/>
                  <w:effect w:val="none"/>
                </w:rPr>
                <w:t>37</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42">
              <w:r>
                <w:rPr>
                  <w:rStyle w:val="InternetLink"/>
                  <w:rFonts w:ascii="Times New Roman;serif" w:hAnsi="Times New Roman;serif"/>
                  <w:b w:val="false"/>
                  <w:strike w:val="false"/>
                  <w:dstrike w:val="false"/>
                  <w:color w:val="000000"/>
                  <w:sz w:val="20"/>
                  <w:u w:val="none"/>
                  <w:effect w:val="non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42">
              <w:r>
                <w:rPr>
                  <w:rStyle w:val="InternetLink"/>
                  <w:rFonts w:ascii="Times New Roman;serif" w:hAnsi="Times New Roman;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42">
              <w:r>
                <w:rPr>
                  <w:rStyle w:val="InternetLink"/>
                  <w:rFonts w:ascii="Times New Roman;serif" w:hAnsi="Times New Roman;serif"/>
                  <w:b w:val="false"/>
                  <w:strike w:val="false"/>
                  <w:dstrike w:val="false"/>
                  <w:color w:val="000000"/>
                  <w:sz w:val="20"/>
                  <w:u w:val="none"/>
                  <w:effect w:val="none"/>
                </w:rPr>
                <w:t>38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45">
              <w:r>
                <w:rPr>
                  <w:rStyle w:val="InternetLink"/>
                  <w:rFonts w:ascii="Times New Roman;serif" w:hAnsi="Times New Roman;serif"/>
                  <w:b w:val="false"/>
                  <w:color w:val="0000FF"/>
                  <w:sz w:val="20"/>
                  <w:u w:val="single"/>
                </w:rPr>
                <w:t>PART II –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45">
              <w:r>
                <w:rPr>
                  <w:rStyle w:val="InternetLink"/>
                  <w:rFonts w:ascii="Times New Roman;serif" w:hAnsi="Times New Roman;serif"/>
                  <w:b w:val="false"/>
                  <w:strike w:val="false"/>
                  <w:dstrike w:val="false"/>
                  <w:color w:val="000000"/>
                  <w:sz w:val="20"/>
                  <w:u w:val="none"/>
                  <w:effect w:val="none"/>
                </w:rPr>
                <w:t>39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48">
              <w:r>
                <w:rPr>
                  <w:rStyle w:val="InternetLink"/>
                  <w:rFonts w:ascii="Times New Roman;serif" w:hAnsi="Times New Roman;serif"/>
                  <w:b w:val="false"/>
                  <w:strike w:val="false"/>
                  <w:dstrike w:val="false"/>
                  <w:color w:val="000000"/>
                  <w:sz w:val="20"/>
                  <w:u w:val="none"/>
                  <w:effect w:val="non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48">
              <w:r>
                <w:rPr>
                  <w:rStyle w:val="InternetLink"/>
                  <w:rFonts w:ascii="Times New Roman;serif" w:hAnsi="Times New Roman;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48">
              <w:r>
                <w:rPr>
                  <w:rStyle w:val="InternetLink"/>
                  <w:rFonts w:ascii="Times New Roman;serif" w:hAnsi="Times New Roman;serif"/>
                  <w:b w:val="false"/>
                  <w:strike w:val="false"/>
                  <w:dstrike w:val="false"/>
                  <w:color w:val="000000"/>
                  <w:sz w:val="20"/>
                  <w:u w:val="none"/>
                  <w:effect w:val="none"/>
                </w:rPr>
                <w:t>39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51">
              <w:r>
                <w:rPr>
                  <w:rStyle w:val="InternetLink"/>
                  <w:rFonts w:ascii="Times New Roman;serif" w:hAnsi="Times New Roman;serif"/>
                  <w:b w:val="false"/>
                  <w:strike w:val="false"/>
                  <w:dstrike w:val="false"/>
                  <w:color w:val="000000"/>
                  <w:sz w:val="20"/>
                  <w:u w:val="none"/>
                  <w:effect w:val="none"/>
                </w:rPr>
                <w:t>Item 1A</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51">
              <w:r>
                <w:rPr>
                  <w:rStyle w:val="InternetLink"/>
                  <w:rFonts w:ascii="Times New Roman;serif" w:hAnsi="Times New Roman;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51">
              <w:r>
                <w:rPr>
                  <w:rStyle w:val="InternetLink"/>
                  <w:rFonts w:ascii="Times New Roman;serif" w:hAnsi="Times New Roman;serif"/>
                  <w:b w:val="false"/>
                  <w:strike w:val="false"/>
                  <w:dstrike w:val="false"/>
                  <w:color w:val="000000"/>
                  <w:sz w:val="20"/>
                  <w:u w:val="none"/>
                  <w:effect w:val="none"/>
                </w:rPr>
                <w:t>39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54">
              <w:r>
                <w:rPr>
                  <w:rStyle w:val="InternetLink"/>
                  <w:rFonts w:ascii="Times New Roman;serif" w:hAnsi="Times New Roman;serif"/>
                  <w:b w:val="false"/>
                  <w:strike w:val="false"/>
                  <w:dstrike w:val="false"/>
                  <w:color w:val="000000"/>
                  <w:sz w:val="20"/>
                  <w:u w:val="none"/>
                  <w:effect w:val="non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54">
              <w:r>
                <w:rPr>
                  <w:rStyle w:val="InternetLink"/>
                  <w:rFonts w:ascii="Times New Roman;serif" w:hAnsi="Times New Roman;serif"/>
                  <w:b w:val="false"/>
                  <w:color w:val="0000FF"/>
                  <w:sz w:val="20"/>
                  <w:u w:val="singl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54">
              <w:r>
                <w:rPr>
                  <w:rStyle w:val="InternetLink"/>
                  <w:rFonts w:ascii="Times New Roman;serif" w:hAnsi="Times New Roman;serif"/>
                  <w:b w:val="false"/>
                  <w:strike w:val="false"/>
                  <w:dstrike w:val="false"/>
                  <w:color w:val="000000"/>
                  <w:sz w:val="20"/>
                  <w:u w:val="none"/>
                  <w:effect w:val="none"/>
                </w:rPr>
                <w:t>74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57">
              <w:r>
                <w:rPr>
                  <w:rStyle w:val="InternetLink"/>
                  <w:rFonts w:ascii="Times New Roman;serif" w:hAnsi="Times New Roman;serif"/>
                  <w:b w:val="false"/>
                  <w:strike w:val="false"/>
                  <w:dstrike w:val="false"/>
                  <w:color w:val="000000"/>
                  <w:sz w:val="20"/>
                  <w:u w:val="none"/>
                  <w:effect w:val="non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57">
              <w:r>
                <w:rPr>
                  <w:rStyle w:val="InternetLink"/>
                  <w:rFonts w:ascii="Times New Roman;serif" w:hAnsi="Times New Roman;serif"/>
                  <w:b w:val="false"/>
                  <w:color w:val="0000FF"/>
                  <w:sz w:val="20"/>
                  <w:u w:val="singl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57">
              <w:r>
                <w:rPr>
                  <w:rStyle w:val="InternetLink"/>
                  <w:rFonts w:ascii="Times New Roman;serif" w:hAnsi="Times New Roman;serif"/>
                  <w:b w:val="false"/>
                  <w:strike w:val="false"/>
                  <w:dstrike w:val="false"/>
                  <w:color w:val="000000"/>
                  <w:sz w:val="20"/>
                  <w:u w:val="none"/>
                  <w:effect w:val="none"/>
                </w:rPr>
                <w:t>75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60">
              <w:r>
                <w:rPr>
                  <w:rStyle w:val="InternetLink"/>
                  <w:rFonts w:ascii="Times New Roman;serif" w:hAnsi="Times New Roman;serif"/>
                  <w:b w:val="false"/>
                  <w:strike w:val="false"/>
                  <w:dstrike w:val="false"/>
                  <w:color w:val="000000"/>
                  <w:sz w:val="20"/>
                  <w:u w:val="none"/>
                  <w:effect w:val="non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60">
              <w:r>
                <w:rPr>
                  <w:rStyle w:val="InternetLink"/>
                  <w:rFonts w:ascii="Times New Roman;serif" w:hAnsi="Times New Roman;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60">
              <w:r>
                <w:rPr>
                  <w:rStyle w:val="InternetLink"/>
                  <w:rFonts w:ascii="Times New Roman;serif" w:hAnsi="Times New Roman;serif"/>
                  <w:b w:val="false"/>
                  <w:strike w:val="false"/>
                  <w:dstrike w:val="false"/>
                  <w:color w:val="000000"/>
                  <w:sz w:val="20"/>
                  <w:u w:val="none"/>
                  <w:effect w:val="none"/>
                </w:rPr>
                <w:t>75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63">
              <w:r>
                <w:rPr>
                  <w:rStyle w:val="InternetLink"/>
                  <w:rFonts w:ascii="Times New Roman;serif" w:hAnsi="Times New Roman;serif"/>
                  <w:b w:val="false"/>
                  <w:strike w:val="false"/>
                  <w:dstrike w:val="false"/>
                  <w:color w:val="000000"/>
                  <w:sz w:val="20"/>
                  <w:u w:val="none"/>
                  <w:effect w:val="none"/>
                </w:rPr>
                <w:t>Item 5.</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63">
              <w:r>
                <w:rPr>
                  <w:rStyle w:val="InternetLink"/>
                  <w:rFonts w:ascii="Times New Roman;serif" w:hAnsi="Times New Roman;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63">
              <w:r>
                <w:rPr>
                  <w:rStyle w:val="InternetLink"/>
                  <w:rFonts w:ascii="Times New Roman;serif" w:hAnsi="Times New Roman;serif"/>
                  <w:b w:val="false"/>
                  <w:strike w:val="false"/>
                  <w:dstrike w:val="false"/>
                  <w:color w:val="000000"/>
                  <w:sz w:val="20"/>
                  <w:u w:val="none"/>
                  <w:effect w:val="none"/>
                </w:rPr>
                <w:t>75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72">
              <w:r>
                <w:rPr>
                  <w:rStyle w:val="InternetLink"/>
                  <w:rFonts w:ascii="Times New Roman;serif" w:hAnsi="Times New Roman;serif"/>
                  <w:b w:val="false"/>
                  <w:strike w:val="false"/>
                  <w:dstrike w:val="false"/>
                  <w:color w:val="000000"/>
                  <w:sz w:val="20"/>
                  <w:u w:val="none"/>
                  <w:effect w:val="none"/>
                </w:rPr>
                <w:t>Item 6.</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72">
              <w:r>
                <w:rPr>
                  <w:rStyle w:val="InternetLink"/>
                  <w:rFonts w:ascii="Times New Roman;serif" w:hAnsi="Times New Roman;serif"/>
                  <w:b w:val="false"/>
                  <w:color w:val="0000FF"/>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72">
              <w:r>
                <w:rPr>
                  <w:rStyle w:val="InternetLink"/>
                  <w:rFonts w:ascii="Times New Roman;serif" w:hAnsi="Times New Roman;serif"/>
                  <w:b w:val="false"/>
                  <w:strike w:val="false"/>
                  <w:dstrike w:val="false"/>
                  <w:color w:val="000000"/>
                  <w:sz w:val="20"/>
                  <w:u w:val="none"/>
                  <w:effect w:val="none"/>
                </w:rPr>
                <w:t>76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23f1f243444d76a1195d8cf2bb25b2_178">
              <w:r>
                <w:rPr>
                  <w:rStyle w:val="InternetLink"/>
                  <w:rFonts w:ascii="Times New Roman;serif" w:hAnsi="Times New Roman;serif"/>
                  <w:b w:val="false"/>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023f1f243444d76a1195d8cf2bb25b2_178">
              <w:r>
                <w:rPr>
                  <w:rStyle w:val="InternetLink"/>
                  <w:rFonts w:ascii="Times New Roman;serif" w:hAnsi="Times New Roman;serif"/>
                  <w:b w:val="false"/>
                  <w:strike w:val="false"/>
                  <w:dstrike w:val="false"/>
                  <w:color w:val="000000"/>
                  <w:sz w:val="20"/>
                  <w:u w:val="none"/>
                  <w:effect w:val="none"/>
                </w:rPr>
                <w:t>77</w:t>
              </w:r>
            </w:hyperlink>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suggests otherwise, references in this Quarterly Report on Form 10-Q to “Zoom,” the “Company,” “we,” “us” and “our” refer to Zoom Communications, Inc. and, where appropriate,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and evolving AI capabilities; our product strategy; our efforts to enhance the security and privacy of our platform; our ability to operate our business and effectively manage our scale under evolving macroeconomic conditions, such as geopolitical conflicts, tariffs and trade tensions, inflationary pressures, interest rate fluctuations, and foreign currency exchange rate volatility; our ability to become the ubiquitous platform for communications and collaboration; our ability to attract new customers and retain existing customers; our ability to successfully expand in our existing markets and into new markets; our ability to effectively manage our growth and future expenses; and the impact of recent accounting pronouncements on our unaudited condensed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depends on our ability to attract new customers, retain and upsell additional products and new product categories to existing customers, and upgrade free users to one of our paid offerings. Any decline in new customers, renewals, or upgrades would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revenue growth rate has fluctuated in prior periods, and may continue to decline in future periods.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customer and partner relationships; more third-party integrations; greater accessibility across devices and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we increase sales to large organizations, our sales cycles have and could continue to lengthen, and we could experience greater deployment challenges.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not be able to respond to rapid technological changes, extend our platform or develop new features.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us incurring significant liabilities, and our business being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a limited operating history at the current scale of our business, which makes it difficult to evaluate our prospects and future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and has in the past harmed, our reputation and business or subject us to significant fines and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number of our products, including Zoom Phone, are subject to U.S. federal and international regulation, and other products we may introduce in the future may also be subject to U.S. federal, state, or international laws, rules, and regulations. Failure to comply with such laws, rules, and regulations could harm our business and expose us to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use generative artificial intelligence (“AI”) in our products and services, which may result in operational challenges, legal liability, reputational concerns, competitive risks and regulatory concerns that could adversely affect our business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unable to adequately address these and other risks we face, our business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54"/>
        <w:gridCol w:w="2242"/>
        <w:gridCol w:w="2203"/>
        <w:gridCol w:w="196"/>
        <w:gridCol w:w="961"/>
        <w:gridCol w:w="109"/>
        <w:gridCol w:w="109"/>
        <w:gridCol w:w="109"/>
        <w:gridCol w:w="109"/>
        <w:gridCol w:w="196"/>
        <w:gridCol w:w="961"/>
        <w:gridCol w:w="156"/>
      </w:tblGrid>
      <w:tr>
        <w:trPr/>
        <w:tc>
          <w:tcPr>
            <w:tcW w:w="2854"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2025</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$18,128 and $22,078 as of October 31, 2025 and January 31, 2025,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8,714,967 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8,675,974 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11,390,811 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10,988,421 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1,903,294 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2,053,337 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6)</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per share, 2,000,000,000 Class A shares authorized as of October 31, 2025 and January 31, 2025; 266,345,564 and 263,113,866 shares issued and outstanding as of October 31, 2025 and January 31, 2025, respectively; 300,000,000 Class B shares authorized as of October 31, 2025 and January 31, 2025; 30,678,509 and 42,626,998 shares issued and outstanding as of October 31, 2025 and January 31, 2025,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5,130,271 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9,286,840 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8,935,084 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11,390,811 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10,988,421 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28"/>
        <w:gridCol w:w="1183"/>
        <w:gridCol w:w="118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62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3,481,295 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2,639,023 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2,050,791 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298,660,092 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307,529,696 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301,807,298 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308,443,893 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305,024,411 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314,191,269 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308,702,227 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314,514,244 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07"/>
        <w:gridCol w:w="1362"/>
        <w:gridCol w:w="137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170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available-for-sale marketable securities, net of income tax expense of $3,333 and $1,410 for the three months ended October 31, 2025 and 2024, respectively, and $1,652 and $1,756 for the nine months ended October 31, 2025 and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605" w:type="dxa"/>
        <w:jc w:val="center"/>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109"/>
        <w:gridCol w:w="109"/>
        <w:gridCol w:w="109"/>
        <w:gridCol w:w="202"/>
        <w:gridCol w:w="900"/>
        <w:gridCol w:w="114"/>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09"/>
        <w:gridCol w:w="109"/>
        <w:gridCol w:w="109"/>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300,120,084 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4,537,542 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4,412,713 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8,950,077 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297,024,073 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4,250,595 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5,025,586 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9,286,840 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898" w:type="dxa"/>
        <w:jc w:val="left"/>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230"/>
        <w:gridCol w:w="230"/>
        <w:gridCol w:w="231"/>
        <w:gridCol w:w="202"/>
        <w:gridCol w:w="900"/>
        <w:gridCol w:w="114"/>
        <w:gridCol w:w="109"/>
        <w:gridCol w:w="109"/>
        <w:gridCol w:w="109"/>
        <w:gridCol w:w="196"/>
        <w:gridCol w:w="556"/>
        <w:gridCol w:w="109"/>
        <w:gridCol w:w="109"/>
        <w:gridCol w:w="109"/>
        <w:gridCol w:w="109"/>
        <w:gridCol w:w="196"/>
        <w:gridCol w:w="871"/>
        <w:gridCol w:w="109"/>
        <w:gridCol w:w="109"/>
        <w:gridCol w:w="109"/>
        <w:gridCol w:w="109"/>
        <w:gridCol w:w="196"/>
        <w:gridCol w:w="871"/>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307,995,624 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5,298,145 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(4,377,296)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October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306,624,279 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5,241,088 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8,679,834 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73"/>
        <w:gridCol w:w="243"/>
        <w:gridCol w:w="246"/>
        <w:gridCol w:w="109"/>
        <w:gridCol w:w="109"/>
        <w:gridCol w:w="109"/>
        <w:gridCol w:w="155"/>
        <w:gridCol w:w="155"/>
        <w:gridCol w:w="588"/>
        <w:gridCol w:w="463"/>
        <w:gridCol w:w="156"/>
        <w:gridCol w:w="109"/>
        <w:gridCol w:w="109"/>
        <w:gridCol w:w="109"/>
        <w:gridCol w:w="235"/>
        <w:gridCol w:w="505"/>
        <w:gridCol w:w="131"/>
        <w:gridCol w:w="109"/>
        <w:gridCol w:w="109"/>
        <w:gridCol w:w="109"/>
        <w:gridCol w:w="202"/>
        <w:gridCol w:w="900"/>
        <w:gridCol w:w="114"/>
        <w:gridCol w:w="109"/>
        <w:gridCol w:w="109"/>
        <w:gridCol w:w="109"/>
        <w:gridCol w:w="198"/>
        <w:gridCol w:w="655"/>
        <w:gridCol w:w="110"/>
        <w:gridCol w:w="109"/>
        <w:gridCol w:w="109"/>
        <w:gridCol w:w="109"/>
        <w:gridCol w:w="198"/>
        <w:gridCol w:w="880"/>
        <w:gridCol w:w="110"/>
        <w:gridCol w:w="109"/>
        <w:gridCol w:w="109"/>
        <w:gridCol w:w="109"/>
        <w:gridCol w:w="196"/>
        <w:gridCol w:w="871"/>
        <w:gridCol w:w="159"/>
      </w:tblGrid>
      <w:tr>
        <w:trPr/>
        <w:tc>
          <w:tcPr>
            <w:tcW w:w="77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2025</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c>
          <w:tcPr>
            <w:tcW w:w="1553" w:type="dxa"/>
            <w:gridSpan w:val="6"/>
            <w:tcBorders/>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305,740,864 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5,130,271 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3,799,518 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8,935,084 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9,028,227 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(2,541,532)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714,513 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(16,624,306)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(1,302,617)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(1,302,634)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577,305 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577,305 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1,226,068 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1,226,068 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297,024,073 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4,250,595 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5,025,586 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9,286,840 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53" w:type="dxa"/>
        <w:jc w:val="left"/>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230"/>
        <w:gridCol w:w="230"/>
        <w:gridCol w:w="231"/>
        <w:gridCol w:w="202"/>
        <w:gridCol w:w="900"/>
        <w:gridCol w:w="114"/>
        <w:gridCol w:w="109"/>
        <w:gridCol w:w="109"/>
        <w:gridCol w:w="109"/>
        <w:gridCol w:w="196"/>
        <w:gridCol w:w="556"/>
        <w:gridCol w:w="109"/>
        <w:gridCol w:w="109"/>
        <w:gridCol w:w="109"/>
        <w:gridCol w:w="109"/>
        <w:gridCol w:w="196"/>
        <w:gridCol w:w="871"/>
        <w:gridCol w:w="109"/>
        <w:gridCol w:w="109"/>
        <w:gridCol w:w="109"/>
        <w:gridCol w:w="109"/>
        <w:gridCol w:w="196"/>
        <w:gridCol w:w="87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307,558,353 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5,228,756 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8,019,406 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9,521,433 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(11,606,691)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(739,299)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713,627 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October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306,624,279 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5,241,088 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8,679,834 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6"/>
        <w:gridCol w:w="2328"/>
        <w:gridCol w:w="2336"/>
        <w:gridCol w:w="196"/>
        <w:gridCol w:w="871"/>
        <w:gridCol w:w="109"/>
        <w:gridCol w:w="109"/>
        <w:gridCol w:w="109"/>
        <w:gridCol w:w="109"/>
        <w:gridCol w:w="196"/>
        <w:gridCol w:w="871"/>
        <w:gridCol w:w="155"/>
      </w:tblGrid>
      <w:tr>
        <w:trPr/>
        <w:tc>
          <w:tcPr>
            <w:tcW w:w="2816"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642,373 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on strategic investments,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accounts receivable allowances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(gains)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discount/premium on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1,520,742 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(3,702,166)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strategic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strategic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(1,101,138)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for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equity transactions (remitted) to be remitted to employees and tax authorities,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repurchases of common stock, including excise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(739,311)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(699,106)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(282,522)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1,282,858 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within the condensed consolidated balance sheets to the amounts shown in the condensed consolidated statements of cash flows above: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1,273,823 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current included in 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1,282,858 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1.</w:t>
      </w:r>
      <w:r>
        <w:rPr>
          <w:rFonts w:ascii="Times New Roman;serif" w:hAnsi="Times New Roman;serif"/>
          <w:b/>
          <w:color w:val="000000"/>
          <w:sz w:val="20"/>
        </w:rPr>
        <w:t>Summary of Business and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Zoom provides an AI-first open work platform for human connection. Our platform is designed to enable seamless communication and collaboration through a suite of products that includes Zoom Workplace (including Zoom Meetings and Zoom Phone), Zoom Business Services (including Zoom Contact Center), Employee Experience (including Workvivo), and more, all with AI at its core to improve productivity, collaboration, and business outcomes. We were incorporated in the state of Delaware in April 2011, and are headquartered in San Jose, California.</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fiscal year ends on January 31. References to fiscal year 2026, for example, refer to the fiscal year ending January 31,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Communications, Inc., its subsidiaries, and variable interest entities for which we are the primary beneficiary. All intercompany balances and transactions have been eliminated in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January 31, 2025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fairly present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should be read in conjunction with the audited consolidated financial statements and notes included in our Annual Report on Form 10-K for the year ended January 31, 2025, filed with the SEC on February 28,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discussed in Note 1. “Summary of Business and Significant Accounting Policies” in the notes to consolidated financial statements included in our Annual Report on Form 10-K for the year ended January 31, 2025, filed with the SEC on February 28, 2025. There have been no significant changes to these policies during the nine months ended October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 xml:space="preserve">(“ASU 2023-09”),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We will adopt ASU 2023-09 for the fiscal year ending January 31, 2026, and are currently evaluating its impact on our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financials. We do not expect the adoption of this ASU to have a material effect on our consolidated financial statements other than expanded income tax disclosures.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which aims to improve financial reporting by requiring additional disclosure about specific expense categories in the notes to financial statements at interim and annual reporting periods. ASU 2024-03 is effective for fiscal years beginning after December 15, 2026 and interim periods within fiscal years beginning after December 15, 2027. Early adoption is permitted. We are currently evaluating the impact of the adoption of this ASU on our consolidated financial statements.</w:t>
      </w:r>
    </w:p>
    <w:p>
      <w:pPr>
        <w:pStyle w:val="TextBody"/>
        <w:bidi w:val="0"/>
        <w:spacing w:lineRule="auto" w:line="276" w:before="120" w:after="283"/>
        <w:ind w:left="0" w:right="0" w:firstLine="540"/>
        <w:jc w:val="both"/>
        <w:rPr/>
      </w:pPr>
      <w:r>
        <w:rPr>
          <w:rFonts w:ascii="Times New Roman;serif" w:hAnsi="Times New Roman;serif"/>
          <w:b w:val="false"/>
          <w:color w:val="000000"/>
          <w:sz w:val="20"/>
        </w:rPr>
        <w:t xml:space="preserve">In September 2025, the Financial Accounting Standards Board issued ASU No.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(“ASU 2025-06”), which aims to modernize financial reporting by updating how entities recognize and disclose costs incurred for software developed for internal use. ASU 2025-06 is effective for fiscal years beginning after December 15, 2026, and interim periods within those fiscal years. Early adoption is permitted. We are currently evaluating the impact of the adoption of this ASU on our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 xml:space="preserve">Financial Instruments—Credit Losses (Topic 326): Measurement of Credit Losses for Accounts Receivable and Contract Assets </w:t>
      </w:r>
      <w:r>
        <w:rPr>
          <w:rFonts w:ascii="Times New Roman;serif" w:hAnsi="Times New Roman;serif"/>
          <w:b w:val="false"/>
          <w:color w:val="000000"/>
          <w:sz w:val="20"/>
        </w:rPr>
        <w:t>(“ASU 2025-05”), which introduces a practical expedient when estimating expected credit losses for current accounts receivable and current contract assets arising from transactions accounted for under Topic 606. ASU 2025-05 is effective for fiscal years beginning after December 15, 2025 and interim periods within those annual reporting periods. Early adoption is permitted. We early adopted ASU 2025-05 as of the third quarter of fiscal year 2026. Adoption of the ASU did not have an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by region based on the billing address of customers:</w:t>
      </w:r>
    </w:p>
    <w:tbl>
      <w:tblPr>
        <w:tblW w:w="12901" w:type="dxa"/>
        <w:jc w:val="left"/>
        <w:tblInd w:w="0" w:type="dxa"/>
        <w:tblLayout w:type="fixed"/>
        <w:tblCellMar>
          <w:top w:w="28" w:type="dxa"/>
          <w:left w:w="28" w:type="dxa"/>
          <w:bottom w:w="28" w:type="dxa"/>
          <w:right w:w="28" w:type="dxa"/>
        </w:tblCellMar>
      </w:tblPr>
      <w:tblGrid>
        <w:gridCol w:w="315"/>
        <w:gridCol w:w="277"/>
        <w:gridCol w:w="279"/>
        <w:gridCol w:w="211"/>
        <w:gridCol w:w="976"/>
        <w:gridCol w:w="109"/>
        <w:gridCol w:w="109"/>
        <w:gridCol w:w="109"/>
        <w:gridCol w:w="109"/>
        <w:gridCol w:w="307"/>
        <w:gridCol w:w="309"/>
        <w:gridCol w:w="508"/>
        <w:gridCol w:w="109"/>
        <w:gridCol w:w="109"/>
        <w:gridCol w:w="109"/>
        <w:gridCol w:w="211"/>
        <w:gridCol w:w="976"/>
        <w:gridCol w:w="109"/>
        <w:gridCol w:w="109"/>
        <w:gridCol w:w="109"/>
        <w:gridCol w:w="109"/>
        <w:gridCol w:w="307"/>
        <w:gridCol w:w="309"/>
        <w:gridCol w:w="508"/>
        <w:gridCol w:w="109"/>
        <w:gridCol w:w="109"/>
        <w:gridCol w:w="109"/>
        <w:gridCol w:w="211"/>
        <w:gridCol w:w="976"/>
        <w:gridCol w:w="109"/>
        <w:gridCol w:w="109"/>
        <w:gridCol w:w="109"/>
        <w:gridCol w:w="109"/>
        <w:gridCol w:w="307"/>
        <w:gridCol w:w="309"/>
        <w:gridCol w:w="508"/>
        <w:gridCol w:w="109"/>
        <w:gridCol w:w="109"/>
        <w:gridCol w:w="109"/>
        <w:gridCol w:w="211"/>
        <w:gridCol w:w="976"/>
        <w:gridCol w:w="109"/>
        <w:gridCol w:w="109"/>
        <w:gridCol w:w="109"/>
        <w:gridCol w:w="109"/>
        <w:gridCol w:w="307"/>
        <w:gridCol w:w="309"/>
        <w:gridCol w:w="5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Asia Pacific (“APAC”)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 (“EMEA”)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$90.8 million and $118.5 million as of October 31, 2025 and January 31, 2025, respectively, and the amount of unbilled accounts receivable included within other assets, noncurrent was de minimis as of both October 31, 2025 and January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Contract liabilities consist of deferred revenue. Revenue is deferred when we have the right to invoice in advance of performance under a customer contract. The current portion of deferred revenue balances is recognized over the next 12 months. Revenue recognized from amounts included in deferred revenue at the beginning of each period totaled $660.2 million and $626.5 million for the three months ended October 31, 2025 and 2024, respectively, and $1,244.8 million and $1,165.9 million for the nine months ended October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terms of our subscription agreements are monthly, annual, and multiyear, and we may bill for the full term in advance or on an annual, quarterly, or monthly basis, depending on the billing terms with customers. As of October 31, 2025, the aggregate amount of the transaction price allocated to our remaining performance obligations was $4,022.3 million, which consists of both billed consideration in the amount of $1,444.5 million and unbilled consideration in the amount of $2,577.8 million that we expect to recognize as revenue. We expect to recognize 60% of our remaining performance obligations as revenue over the next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Investments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October 31, 2025 and January 31, 2025, our marketable securities consisted of the following:</w:t>
      </w:r>
    </w:p>
    <w:tbl>
      <w:tblPr>
        <w:tblW w:w="8625" w:type="dxa"/>
        <w:jc w:val="left"/>
        <w:tblInd w:w="0" w:type="dxa"/>
        <w:tblLayout w:type="fixed"/>
        <w:tblCellMar>
          <w:top w:w="28" w:type="dxa"/>
          <w:left w:w="28" w:type="dxa"/>
          <w:bottom w:w="28" w:type="dxa"/>
          <w:right w:w="28" w:type="dxa"/>
        </w:tblCellMar>
      </w:tblPr>
      <w:tblGrid>
        <w:gridCol w:w="1071"/>
        <w:gridCol w:w="940"/>
        <w:gridCol w:w="944"/>
        <w:gridCol w:w="211"/>
        <w:gridCol w:w="976"/>
        <w:gridCol w:w="109"/>
        <w:gridCol w:w="109"/>
        <w:gridCol w:w="109"/>
        <w:gridCol w:w="109"/>
        <w:gridCol w:w="211"/>
        <w:gridCol w:w="721"/>
        <w:gridCol w:w="109"/>
        <w:gridCol w:w="109"/>
        <w:gridCol w:w="109"/>
        <w:gridCol w:w="109"/>
        <w:gridCol w:w="211"/>
        <w:gridCol w:w="691"/>
        <w:gridCol w:w="109"/>
        <w:gridCol w:w="109"/>
        <w:gridCol w:w="109"/>
        <w:gridCol w:w="109"/>
        <w:gridCol w:w="211"/>
        <w:gridCol w:w="97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October 31, 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w:t>
              <w:br/>
              <w:t>Value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6,727,428 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25" w:type="dxa"/>
        <w:jc w:val="left"/>
        <w:tblInd w:w="0" w:type="dxa"/>
        <w:tblLayout w:type="fixed"/>
        <w:tblCellMar>
          <w:top w:w="28" w:type="dxa"/>
          <w:left w:w="28" w:type="dxa"/>
          <w:bottom w:w="28" w:type="dxa"/>
          <w:right w:w="28" w:type="dxa"/>
        </w:tblCellMar>
      </w:tblPr>
      <w:tblGrid>
        <w:gridCol w:w="1071"/>
        <w:gridCol w:w="940"/>
        <w:gridCol w:w="944"/>
        <w:gridCol w:w="211"/>
        <w:gridCol w:w="976"/>
        <w:gridCol w:w="109"/>
        <w:gridCol w:w="109"/>
        <w:gridCol w:w="109"/>
        <w:gridCol w:w="109"/>
        <w:gridCol w:w="211"/>
        <w:gridCol w:w="721"/>
        <w:gridCol w:w="109"/>
        <w:gridCol w:w="109"/>
        <w:gridCol w:w="109"/>
        <w:gridCol w:w="109"/>
        <w:gridCol w:w="211"/>
        <w:gridCol w:w="691"/>
        <w:gridCol w:w="109"/>
        <w:gridCol w:w="109"/>
        <w:gridCol w:w="109"/>
        <w:gridCol w:w="109"/>
        <w:gridCol w:w="211"/>
        <w:gridCol w:w="97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w:t>
              <w:br/>
              <w:t>Value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6,442,329 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Unrealized losses for securities that have been in an unrealized loss position for less than 12 months were $1.2 million and $6.2 million as of October 31, 2025 and January 31, 2025, respectively. Unrealized losses for securities that have been in an unrealized loss position for 12 months or longer were de minimis as of both October 31, 2025 and January 31, 2025. We review the individual securities that have unrealized losses on a regular basis to evaluate whether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for the three and nine months ended October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our marketable securities as of October 31, 2025 and January 31, 2025:</w:t>
      </w:r>
    </w:p>
    <w:tbl>
      <w:tblPr>
        <w:tblW w:w="5186" w:type="dxa"/>
        <w:jc w:val="left"/>
        <w:tblInd w:w="0" w:type="dxa"/>
        <w:tblLayout w:type="fixed"/>
        <w:tblCellMar>
          <w:top w:w="28" w:type="dxa"/>
          <w:left w:w="28" w:type="dxa"/>
          <w:bottom w:w="28" w:type="dxa"/>
          <w:right w:w="28" w:type="dxa"/>
        </w:tblCellMar>
      </w:tblPr>
      <w:tblGrid>
        <w:gridCol w:w="738"/>
        <w:gridCol w:w="649"/>
        <w:gridCol w:w="653"/>
        <w:gridCol w:w="224"/>
        <w:gridCol w:w="1040"/>
        <w:gridCol w:w="116"/>
        <w:gridCol w:w="109"/>
        <w:gridCol w:w="109"/>
        <w:gridCol w:w="109"/>
        <w:gridCol w:w="226"/>
        <w:gridCol w:w="1048"/>
        <w:gridCol w:w="165"/>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224"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3,543,176 </w:t>
            </w:r>
          </w:p>
        </w:tc>
        <w:tc>
          <w:tcPr>
            <w:tcW w:w="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3,534,014 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3,184,252 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2,908,315 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6,727,428 </w:t>
            </w:r>
          </w:p>
        </w:tc>
        <w:tc>
          <w:tcPr>
            <w:tcW w:w="1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6,442,329 </w:t>
            </w:r>
          </w:p>
        </w:tc>
        <w:tc>
          <w:tcPr>
            <w:tcW w:w="1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Strategic investments by type and measurement category as of October 31, 2025 were as follows:</w:t>
      </w:r>
    </w:p>
    <w:tbl>
      <w:tblPr>
        <w:tblW w:w="8461" w:type="dxa"/>
        <w:jc w:val="left"/>
        <w:tblInd w:w="0" w:type="dxa"/>
        <w:tblLayout w:type="fixed"/>
        <w:tblCellMar>
          <w:top w:w="28" w:type="dxa"/>
          <w:left w:w="28" w:type="dxa"/>
          <w:bottom w:w="28" w:type="dxa"/>
          <w:right w:w="28" w:type="dxa"/>
        </w:tblCellMar>
      </w:tblPr>
      <w:tblGrid>
        <w:gridCol w:w="674"/>
        <w:gridCol w:w="591"/>
        <w:gridCol w:w="594"/>
        <w:gridCol w:w="211"/>
        <w:gridCol w:w="826"/>
        <w:gridCol w:w="109"/>
        <w:gridCol w:w="109"/>
        <w:gridCol w:w="109"/>
        <w:gridCol w:w="109"/>
        <w:gridCol w:w="359"/>
        <w:gridCol w:w="1406"/>
        <w:gridCol w:w="185"/>
        <w:gridCol w:w="109"/>
        <w:gridCol w:w="109"/>
        <w:gridCol w:w="109"/>
        <w:gridCol w:w="218"/>
        <w:gridCol w:w="854"/>
        <w:gridCol w:w="112"/>
        <w:gridCol w:w="109"/>
        <w:gridCol w:w="109"/>
        <w:gridCol w:w="109"/>
        <w:gridCol w:w="211"/>
        <w:gridCol w:w="97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822,753 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127,634 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Strategic investments by type and measurement category as of January 31, 2025 were as follows:</w:t>
      </w:r>
    </w:p>
    <w:tbl>
      <w:tblPr>
        <w:tblW w:w="8207" w:type="dxa"/>
        <w:jc w:val="left"/>
        <w:tblInd w:w="0" w:type="dxa"/>
        <w:tblLayout w:type="fixed"/>
        <w:tblCellMar>
          <w:top w:w="28" w:type="dxa"/>
          <w:left w:w="28" w:type="dxa"/>
          <w:bottom w:w="28" w:type="dxa"/>
          <w:right w:w="28" w:type="dxa"/>
        </w:tblCellMar>
      </w:tblPr>
      <w:tblGrid>
        <w:gridCol w:w="674"/>
        <w:gridCol w:w="591"/>
        <w:gridCol w:w="594"/>
        <w:gridCol w:w="211"/>
        <w:gridCol w:w="721"/>
        <w:gridCol w:w="109"/>
        <w:gridCol w:w="109"/>
        <w:gridCol w:w="109"/>
        <w:gridCol w:w="109"/>
        <w:gridCol w:w="359"/>
        <w:gridCol w:w="1406"/>
        <w:gridCol w:w="185"/>
        <w:gridCol w:w="109"/>
        <w:gridCol w:w="109"/>
        <w:gridCol w:w="109"/>
        <w:gridCol w:w="240"/>
        <w:gridCol w:w="821"/>
        <w:gridCol w:w="124"/>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452,160 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October 31, 2025, we recorded net unrealized gains of $388.0 million and $395.0 million, respectively, on our investments accounted for under the measurement alternative method, primarily reflecting changes in estimated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our financial instruments that are measured at fair value on a recurring basis and indicate the level within the fair value hierarchy of the key valuation inputs utilized to determine such fair value:</w:t>
      </w:r>
    </w:p>
    <w:tbl>
      <w:tblPr>
        <w:tblW w:w="10205" w:type="dxa"/>
        <w:jc w:val="left"/>
        <w:tblInd w:w="0" w:type="dxa"/>
        <w:tblLayout w:type="fixed"/>
        <w:tblCellMar>
          <w:top w:w="28" w:type="dxa"/>
          <w:left w:w="28" w:type="dxa"/>
          <w:bottom w:w="28" w:type="dxa"/>
          <w:right w:w="28" w:type="dxa"/>
        </w:tblCellMar>
      </w:tblPr>
      <w:tblGrid>
        <w:gridCol w:w="1654"/>
        <w:gridCol w:w="1420"/>
        <w:gridCol w:w="142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616"/>
        <w:gridCol w:w="156"/>
      </w:tblGrid>
      <w:tr>
        <w:trPr/>
        <w:tc>
          <w:tcPr>
            <w:tcW w:w="165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October 31, 2025</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Publicly held equity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debt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54"/>
        <w:gridCol w:w="1420"/>
        <w:gridCol w:w="142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616"/>
        <w:gridCol w:w="156"/>
      </w:tblGrid>
      <w:tr>
        <w:trPr/>
        <w:tc>
          <w:tcPr>
            <w:tcW w:w="165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2025</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Publicly held equity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debt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classify our highly liquid money market funds and publicly held equity securities as Level 1 of the fair value hierarchy because they are valued based on quoted market prices in active markets. We classify our commercial paper, agency bonds, corporate and other debt securities, U.S. government agency securities, treasury bills, and certificates of deposit as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are recorded for invoiced amounts and amounts for which revenue has been recognized, but not invoiced, net of allowances. Our short-term accounts receivable consist of the following:</w:t>
      </w:r>
    </w:p>
    <w:tbl>
      <w:tblPr>
        <w:tblW w:w="5861" w:type="dxa"/>
        <w:jc w:val="left"/>
        <w:tblInd w:w="0" w:type="dxa"/>
        <w:tblLayout w:type="fixed"/>
        <w:tblCellMar>
          <w:top w:w="28" w:type="dxa"/>
          <w:left w:w="28" w:type="dxa"/>
          <w:bottom w:w="28" w:type="dxa"/>
          <w:right w:w="28" w:type="dxa"/>
        </w:tblCellMar>
      </w:tblPr>
      <w:tblGrid>
        <w:gridCol w:w="982"/>
        <w:gridCol w:w="863"/>
        <w:gridCol w:w="869"/>
        <w:gridCol w:w="254"/>
        <w:gridCol w:w="995"/>
        <w:gridCol w:w="131"/>
        <w:gridCol w:w="109"/>
        <w:gridCol w:w="109"/>
        <w:gridCol w:w="109"/>
        <w:gridCol w:w="255"/>
        <w:gridCol w:w="999"/>
        <w:gridCol w:w="186"/>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returns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417,693 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495,228 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Below is a rollforward of our allowance for credit losses for the nine months ended October 31, 2025 and 2024:</w:t>
      </w:r>
    </w:p>
    <w:tbl>
      <w:tblPr>
        <w:tblW w:w="4659" w:type="dxa"/>
        <w:jc w:val="left"/>
        <w:tblInd w:w="0" w:type="dxa"/>
        <w:tblLayout w:type="fixed"/>
        <w:tblCellMar>
          <w:top w:w="28" w:type="dxa"/>
          <w:left w:w="28" w:type="dxa"/>
          <w:bottom w:w="28" w:type="dxa"/>
          <w:right w:w="28" w:type="dxa"/>
        </w:tblCellMar>
      </w:tblPr>
      <w:tblGrid>
        <w:gridCol w:w="799"/>
        <w:gridCol w:w="700"/>
        <w:gridCol w:w="706"/>
        <w:gridCol w:w="211"/>
        <w:gridCol w:w="721"/>
        <w:gridCol w:w="109"/>
        <w:gridCol w:w="109"/>
        <w:gridCol w:w="109"/>
        <w:gridCol w:w="109"/>
        <w:gridCol w:w="211"/>
        <w:gridCol w:w="72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October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6596" w:type="dxa"/>
        <w:jc w:val="left"/>
        <w:tblInd w:w="0" w:type="dxa"/>
        <w:tblLayout w:type="fixed"/>
        <w:tblCellMar>
          <w:top w:w="28" w:type="dxa"/>
          <w:left w:w="28" w:type="dxa"/>
          <w:bottom w:w="28" w:type="dxa"/>
          <w:right w:w="28" w:type="dxa"/>
        </w:tblCellMar>
      </w:tblPr>
      <w:tblGrid>
        <w:gridCol w:w="1250"/>
        <w:gridCol w:w="1095"/>
        <w:gridCol w:w="1104"/>
        <w:gridCol w:w="254"/>
        <w:gridCol w:w="995"/>
        <w:gridCol w:w="131"/>
        <w:gridCol w:w="109"/>
        <w:gridCol w:w="109"/>
        <w:gridCol w:w="109"/>
        <w:gridCol w:w="255"/>
        <w:gridCol w:w="999"/>
        <w:gridCol w:w="186"/>
      </w:tblGrid>
      <w:tr>
        <w:trPr/>
        <w:tc>
          <w:tcPr>
            <w:tcW w:w="12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200,679 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7257" w:type="dxa"/>
        <w:jc w:val="left"/>
        <w:tblInd w:w="0" w:type="dxa"/>
        <w:tblLayout w:type="fixed"/>
        <w:tblCellMar>
          <w:top w:w="28" w:type="dxa"/>
          <w:left w:w="28" w:type="dxa"/>
          <w:bottom w:w="28" w:type="dxa"/>
          <w:right w:w="28" w:type="dxa"/>
        </w:tblCellMar>
      </w:tblPr>
      <w:tblGrid>
        <w:gridCol w:w="1481"/>
        <w:gridCol w:w="1306"/>
        <w:gridCol w:w="1323"/>
        <w:gridCol w:w="254"/>
        <w:gridCol w:w="995"/>
        <w:gridCol w:w="131"/>
        <w:gridCol w:w="109"/>
        <w:gridCol w:w="109"/>
        <w:gridCol w:w="109"/>
        <w:gridCol w:w="255"/>
        <w:gridCol w:w="999"/>
        <w:gridCol w:w="186"/>
      </w:tblGrid>
      <w:tr>
        <w:trPr/>
        <w:tc>
          <w:tcPr>
            <w:tcW w:w="148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Servers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664,119 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658,596 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(379,268)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330,475 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$29.1 million and $28.9 million for the three months ended October 31, 2025 and 2024, respectively, and $90.1 million and $77.9 million for the nine months ended October 31, 2025 and 2024, respectively.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Assets, Noncurrent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assets, noncurrent consisted of the following:</w:t>
      </w:r>
    </w:p>
    <w:tbl>
      <w:tblPr>
        <w:tblW w:w="6881" w:type="dxa"/>
        <w:jc w:val="left"/>
        <w:tblInd w:w="0" w:type="dxa"/>
        <w:tblLayout w:type="fixed"/>
        <w:tblCellMar>
          <w:top w:w="28" w:type="dxa"/>
          <w:left w:w="28" w:type="dxa"/>
          <w:bottom w:w="28" w:type="dxa"/>
          <w:right w:w="28" w:type="dxa"/>
        </w:tblCellMar>
      </w:tblPr>
      <w:tblGrid>
        <w:gridCol w:w="1351"/>
        <w:gridCol w:w="1188"/>
        <w:gridCol w:w="1195"/>
        <w:gridCol w:w="254"/>
        <w:gridCol w:w="995"/>
        <w:gridCol w:w="131"/>
        <w:gridCol w:w="109"/>
        <w:gridCol w:w="109"/>
        <w:gridCol w:w="109"/>
        <w:gridCol w:w="255"/>
        <w:gridCol w:w="999"/>
        <w:gridCol w:w="186"/>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noncurrent</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noncurrent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receivable, noncurrent</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972" w:type="dxa"/>
        <w:jc w:val="left"/>
        <w:tblInd w:w="0" w:type="dxa"/>
        <w:tblLayout w:type="fixed"/>
        <w:tblCellMar>
          <w:top w:w="28" w:type="dxa"/>
          <w:left w:w="28" w:type="dxa"/>
          <w:bottom w:w="28" w:type="dxa"/>
          <w:right w:w="28" w:type="dxa"/>
        </w:tblCellMar>
      </w:tblPr>
      <w:tblGrid>
        <w:gridCol w:w="1386"/>
        <w:gridCol w:w="1215"/>
        <w:gridCol w:w="1224"/>
        <w:gridCol w:w="254"/>
        <w:gridCol w:w="995"/>
        <w:gridCol w:w="131"/>
        <w:gridCol w:w="109"/>
        <w:gridCol w:w="109"/>
        <w:gridCol w:w="109"/>
        <w:gridCol w:w="255"/>
        <w:gridCol w:w="999"/>
        <w:gridCol w:w="186"/>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liabilities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non-income tax liabilities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 liabilities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514,778 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558,562 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Liabilities, Noncurrent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liabilities, noncurrent consisted of the following:</w:t>
      </w:r>
    </w:p>
    <w:tbl>
      <w:tblPr>
        <w:tblW w:w="6641" w:type="dxa"/>
        <w:jc w:val="left"/>
        <w:tblInd w:w="0" w:type="dxa"/>
        <w:tblLayout w:type="fixed"/>
        <w:tblCellMar>
          <w:top w:w="28" w:type="dxa"/>
          <w:left w:w="28" w:type="dxa"/>
          <w:bottom w:w="28" w:type="dxa"/>
          <w:right w:w="28" w:type="dxa"/>
        </w:tblCellMar>
      </w:tblPr>
      <w:tblGrid>
        <w:gridCol w:w="1266"/>
        <w:gridCol w:w="1113"/>
        <w:gridCol w:w="1116"/>
        <w:gridCol w:w="254"/>
        <w:gridCol w:w="995"/>
        <w:gridCol w:w="131"/>
        <w:gridCol w:w="109"/>
        <w:gridCol w:w="109"/>
        <w:gridCol w:w="109"/>
        <w:gridCol w:w="279"/>
        <w:gridCol w:w="956"/>
        <w:gridCol w:w="20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non-income tax liabilities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income tax liabilities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Non-cancelable Purchase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October 31, 2025, we had outstanding non-cancelable purchase obligations with a term of 12 months or longer of approximately $270.0 million in addition to the amount disclosed in Note 9. “Commitments and Contingencies” in the notes to consolidated financial statements included in our Annual Report on Form 10-K for the year ended January 31, 2025 filed with the SEC on February 28, 2025, mainly related to third-party software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During the fiscal year ended January 31, 2025, we recorded an $18.0 million accrual with respect to a tentative settlement offer for the SEC matter. On July 30, 2025, the SEC informed us that their investigation has concluded and they do not intend to recommend an enforcement action. As a result, during the three months ended July 31, 2025, we reversed the $18.0 million previously accrued. The EDNY and NDCA investigations are ongoing, and a negative outcome in any or all of these matters could cause us to incur substantial fines, penalties, or other financial exposure, as well as reputational harm. We do not know when the EDNY and NDCA matters will be completed, which facts we will ultimately discover as a result of the investigations, or what actions the government may or may not take. We are unable to predict the ultimate outcome of these matters and are unable to reasonably estimate any range of possible loss for these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11, 2020 and July 30, 2020, purported shareholder derivative complaints were filed in the United States District Court for the District of Delaware against certain of our officers and directors. The lawsuits asserted state and federal claims and were based on the same alleged misstatements as the shareholder class action complaint. The lawsuits accused our board of directors of failing to exercise reasonable and prudent supervision over our management, policies, practices, and internal controls. The plaintiffs sought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required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 On December 22, 2023, plaintiff filed her opposition to the motion to dismiss, and on January 26, 2024, defendants filed their reply in support of the motion to dismiss. On April 1, 2024, the parties notified the court that the parties were engaged in good-faith, material settlement discussions, and requested that the court stay any proceedings and rulings in connection with the pending motion to dismiss while the parties attempted to reach a proposed resolution of this action. On April 2, 2024, the Court stayed the case. On January 14, 2025, the parties executed a Stipulation of Settlement (“Stipulation”) to resolve this matter. Under the terms of the Stipulation, in exchange for the release and dismissal with prejudice of all claims against all defendants in the matter, Zoom agreed to enact certain corporate governance reforms and to pay plaintiff’s counsel a fee of up to $1.35 million. On January 16, 2025, the plaintiff filed a motion for preliminary approval of the settlement. On February 6, 2025, the court held a hearing on the motion for preliminary approval of the settlement. On April 16, 2025, the court preliminarily approved the settlement. On June 24, 2025, the plaintiff filed a motion for final approval of the settlement. On July 31, 2025, the court approved the settlement and awarded plaintiff’s counsel $1.35 million in fees. We accrued the $1.35 million fee and recorded it as a general and administrative expense in our consolidated statement of operations for the year ended January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0"/>
        </w:rPr>
        <w:t>Stipulation”) to resolve this matter. Under the terms of the stipulation, in exchange for the release and dismissal with prejudice of all claims against all defendants in the matter, we have agreed to pay and/or cause our insurance carriers to pay a total of $150.0 million. On July 25, 2023, the court entered an order staying further proceedings in the matter pending the filing of a motion for preliminary approval of the settlement. On October 17, 2023, lead plaintiff filed a motion for preliminary approval of the settlement. On May 28, 2025, the court preliminarily approved the settlement. On July 18, 2025, lead plaintiff filed a motion for final approval of the settlement. On October 9, 2025, the court conducted a fairness hearing and indicated that lead plaintiff’s motion for final approval of the settlement would be granted by a separate order. On November 10, 2025, the court entered its final approval order and an order finally dismissing the matter with prejudice. As a result of the settlement, we made net payments of $60.0 million ($150.0 million for the settlement net of $90.0 million covered by insurance) during the year ended January 31, 2024, of which $7.5 million had been accrued during the year ended January 31, 2023 and $52.5 million was recorded as a general and administrative expense in our consolidated statement of operations for the year ended January 31,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Stockholders’ Equity and Equity Incentive Plans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Stock Repurchase Program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2024, our Board of Directors authorized a stock repurchase program of up to $1.5 billion of our Class A common stock. In November 2024, our Board of Directors authorized the repurchase of an additional $1.2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October 31, 2025, we repurchased and subsequently retired 5,111,488 and 16,624,306 shares of our Class A common stock, respectively, for an aggregate amount of $414.4 million and $1,295.8 million, respectively. As of October 31, 2025, $310.4 million of the repurchase authorization remained available.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2025, our Board of Directors authorized the repurchase of an additional $1.0 billion of our outstanding Class A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two equity incentive plans: the 2011 Global Share Plan (“2011 Plan”) and the 2019 Equity Incentive Plan (“2019 Plan”). All shares that remain available for future grants are under the 2019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under our equity incentive plan and related information is as follows:</w:t>
      </w:r>
    </w:p>
    <w:tbl>
      <w:tblPr>
        <w:tblW w:w="9744" w:type="dxa"/>
        <w:jc w:val="left"/>
        <w:tblInd w:w="0" w:type="dxa"/>
        <w:tblLayout w:type="fixed"/>
        <w:tblCellMar>
          <w:top w:w="28" w:type="dxa"/>
          <w:left w:w="28" w:type="dxa"/>
          <w:bottom w:w="28" w:type="dxa"/>
          <w:right w:w="28" w:type="dxa"/>
        </w:tblCellMar>
      </w:tblPr>
      <w:tblGrid>
        <w:gridCol w:w="1559"/>
        <w:gridCol w:w="1367"/>
        <w:gridCol w:w="1378"/>
        <w:gridCol w:w="488"/>
        <w:gridCol w:w="488"/>
        <w:gridCol w:w="336"/>
        <w:gridCol w:w="109"/>
        <w:gridCol w:w="109"/>
        <w:gridCol w:w="109"/>
        <w:gridCol w:w="285"/>
        <w:gridCol w:w="285"/>
        <w:gridCol w:w="286"/>
        <w:gridCol w:w="109"/>
        <w:gridCol w:w="109"/>
        <w:gridCol w:w="109"/>
        <w:gridCol w:w="330"/>
        <w:gridCol w:w="330"/>
        <w:gridCol w:w="331"/>
        <w:gridCol w:w="109"/>
        <w:gridCol w:w="109"/>
        <w:gridCol w:w="109"/>
        <w:gridCol w:w="211"/>
        <w:gridCol w:w="826"/>
        <w:gridCol w:w="109"/>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w:t>
              <w:br/>
              <w:t>Stock</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life, and per share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2,394,918 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$9.02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(706,307)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$2.62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$94.87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as of October 31, 2025</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1,683,513 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$11.45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October 31, 2025, all options have vested and there is no unrecognized stock-based compensation expense remaining.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RSU activity under our equity incentive plan and related information is as follows:</w:t>
      </w:r>
    </w:p>
    <w:tbl>
      <w:tblPr>
        <w:tblW w:w="6914" w:type="dxa"/>
        <w:jc w:val="left"/>
        <w:tblInd w:w="0" w:type="dxa"/>
        <w:tblLayout w:type="fixed"/>
        <w:tblCellMar>
          <w:top w:w="28" w:type="dxa"/>
          <w:left w:w="28" w:type="dxa"/>
          <w:bottom w:w="28" w:type="dxa"/>
          <w:right w:w="28" w:type="dxa"/>
        </w:tblCellMar>
      </w:tblPr>
      <w:tblGrid>
        <w:gridCol w:w="999"/>
        <w:gridCol w:w="879"/>
        <w:gridCol w:w="882"/>
        <w:gridCol w:w="540"/>
        <w:gridCol w:w="541"/>
        <w:gridCol w:w="166"/>
        <w:gridCol w:w="109"/>
        <w:gridCol w:w="109"/>
        <w:gridCol w:w="109"/>
        <w:gridCol w:w="555"/>
        <w:gridCol w:w="1620"/>
        <w:gridCol w:w="405"/>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January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23,870,513 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8,157,824 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(9,028,227)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October 31,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20,525,123 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October 31, 2025, unrecognized stock-based compensation expense related to RSUs was $1,403.8 million, which is expected to be recognized over a weighted-average period of 2.8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nine months ended October 31, 2025, we granted 665.9 thousand RSUs that contain both service and performance vesting criteria. The ultimate number of shares eligible to vest pursuant to these RSUs ranges from 0% to 100% of the target number of shares depending on achievement of the performance metrics. The number of RSUs with service and performance vesting conditions included in the granted amount in the table above reflects the shares that would be eligible to vest at 100% of the target amount.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2019 Employee Stock Purchase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April 2019, we adopted the 2019 ESPP. As of October 31, 2025, unrecognized stock-based compensation expense related to the ESPP was $17.4 million, which is expected to be recognized over a weighted-average period of 1.0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stock-based compensation expense by line item in the accompanying condensed consolidated statements of operations is summarized as follows:</w:t>
      </w:r>
    </w:p>
    <w:tbl>
      <w:tblPr>
        <w:tblW w:w="10205" w:type="dxa"/>
        <w:jc w:val="left"/>
        <w:tblInd w:w="0" w:type="dxa"/>
        <w:tblLayout w:type="fixed"/>
        <w:tblCellMar>
          <w:top w:w="28" w:type="dxa"/>
          <w:left w:w="28" w:type="dxa"/>
          <w:bottom w:w="28" w:type="dxa"/>
          <w:right w:w="28" w:type="dxa"/>
        </w:tblCellMar>
      </w:tblPr>
      <w:tblGrid>
        <w:gridCol w:w="1687"/>
        <w:gridCol w:w="1468"/>
        <w:gridCol w:w="143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8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recorded to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576,875 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We compute our provision for income taxes by applying the estimated annual effective tax rate to year-to-date ordinary income and adjust the provision for discrete tax items recorded in the period. </w:t>
      </w:r>
      <w:r>
        <w:rPr>
          <w:rFonts w:ascii="Times New Roman;serif" w:hAnsi="Times New Roman;serif"/>
          <w:b w:val="false"/>
          <w:color w:val="000000"/>
          <w:sz w:val="20"/>
        </w:rPr>
        <w:t>In each quarter, we update the estimated annual effective tax rate and make a year-to-date adjustment to the provision.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following table provides details of the provision for income taxes:</w:t>
      </w:r>
    </w:p>
    <w:tbl>
      <w:tblPr>
        <w:tblW w:w="9887" w:type="dxa"/>
        <w:jc w:val="left"/>
        <w:tblInd w:w="0" w:type="dxa"/>
        <w:tblLayout w:type="fixed"/>
        <w:tblCellMar>
          <w:top w:w="28" w:type="dxa"/>
          <w:left w:w="28" w:type="dxa"/>
          <w:bottom w:w="28" w:type="dxa"/>
          <w:right w:w="28" w:type="dxa"/>
        </w:tblCellMar>
      </w:tblPr>
      <w:tblGrid>
        <w:gridCol w:w="1259"/>
        <w:gridCol w:w="1108"/>
        <w:gridCol w:w="1112"/>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316"/>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year-over-year change in effective tax rate for the three and nine months ended October 31, 2025 was primarily driven by changes in income before taxes and changes in tax shortfalls and tax benefits related to stock-based compensation. For both the three and nine months ended October 31, 2025 and October 31, 2024, the effective tax rate differed from the U.S. federal statutory rate due primarily to the foreign-derived intangible income deduction, tax benefits related to stock-based compensation, and research credits offset by tax shortfalls on stock-based compensation, state income taxes, and other compensation-related permanent differences.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Net Income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share for the periods presented:</w:t>
      </w:r>
    </w:p>
    <w:tbl>
      <w:tblPr>
        <w:tblW w:w="12666" w:type="dxa"/>
        <w:jc w:val="left"/>
        <w:tblInd w:w="0" w:type="dxa"/>
        <w:tblLayout w:type="fixed"/>
        <w:tblCellMar>
          <w:top w:w="28" w:type="dxa"/>
          <w:left w:w="28" w:type="dxa"/>
          <w:bottom w:w="28" w:type="dxa"/>
          <w:right w:w="28" w:type="dxa"/>
        </w:tblCellMar>
      </w:tblPr>
      <w:tblGrid>
        <w:gridCol w:w="721"/>
        <w:gridCol w:w="363"/>
        <w:gridCol w:w="312"/>
        <w:gridCol w:w="221"/>
        <w:gridCol w:w="830"/>
        <w:gridCol w:w="109"/>
        <w:gridCol w:w="109"/>
        <w:gridCol w:w="109"/>
        <w:gridCol w:w="109"/>
        <w:gridCol w:w="223"/>
        <w:gridCol w:w="738"/>
        <w:gridCol w:w="109"/>
        <w:gridCol w:w="109"/>
        <w:gridCol w:w="109"/>
        <w:gridCol w:w="109"/>
        <w:gridCol w:w="221"/>
        <w:gridCol w:w="830"/>
        <w:gridCol w:w="109"/>
        <w:gridCol w:w="109"/>
        <w:gridCol w:w="109"/>
        <w:gridCol w:w="109"/>
        <w:gridCol w:w="223"/>
        <w:gridCol w:w="738"/>
        <w:gridCol w:w="109"/>
        <w:gridCol w:w="109"/>
        <w:gridCol w:w="109"/>
        <w:gridCol w:w="109"/>
        <w:gridCol w:w="196"/>
        <w:gridCol w:w="871"/>
        <w:gridCol w:w="109"/>
        <w:gridCol w:w="109"/>
        <w:gridCol w:w="109"/>
        <w:gridCol w:w="109"/>
        <w:gridCol w:w="202"/>
        <w:gridCol w:w="759"/>
        <w:gridCol w:w="109"/>
        <w:gridCol w:w="109"/>
        <w:gridCol w:w="109"/>
        <w:gridCol w:w="109"/>
        <w:gridCol w:w="221"/>
        <w:gridCol w:w="830"/>
        <w:gridCol w:w="109"/>
        <w:gridCol w:w="109"/>
        <w:gridCol w:w="109"/>
        <w:gridCol w:w="109"/>
        <w:gridCol w:w="202"/>
        <w:gridCol w:w="75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0" w:type="dxa"/>
            <w:gridSpan w:val="45"/>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270" w:type="dxa"/>
            <w:gridSpan w:val="45"/>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basic</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diluted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266,698,435 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261,741,448 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265,345,610 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261,599,394 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46,844,499 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271,473,538 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265,777,344 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270,513,743 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264,913,871 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49,600,373 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basic</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diluted</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income per share for the periods presented, because including them would have been anti-dilutive, are as follows:</w:t>
      </w:r>
    </w:p>
    <w:tbl>
      <w:tblPr>
        <w:tblW w:w="10205" w:type="dxa"/>
        <w:jc w:val="left"/>
        <w:tblInd w:w="0" w:type="dxa"/>
        <w:tblLayout w:type="fixed"/>
        <w:tblCellMar>
          <w:top w:w="28" w:type="dxa"/>
          <w:left w:w="28" w:type="dxa"/>
          <w:bottom w:w="28" w:type="dxa"/>
          <w:right w:w="28" w:type="dxa"/>
        </w:tblCellMar>
      </w:tblPr>
      <w:tblGrid>
        <w:gridCol w:w="573"/>
        <w:gridCol w:w="355"/>
        <w:gridCol w:w="358"/>
        <w:gridCol w:w="435"/>
        <w:gridCol w:w="436"/>
        <w:gridCol w:w="168"/>
        <w:gridCol w:w="110"/>
        <w:gridCol w:w="110"/>
        <w:gridCol w:w="110"/>
        <w:gridCol w:w="209"/>
        <w:gridCol w:w="198"/>
        <w:gridCol w:w="167"/>
        <w:gridCol w:w="110"/>
        <w:gridCol w:w="110"/>
        <w:gridCol w:w="110"/>
        <w:gridCol w:w="435"/>
        <w:gridCol w:w="436"/>
        <w:gridCol w:w="168"/>
        <w:gridCol w:w="110"/>
        <w:gridCol w:w="110"/>
        <w:gridCol w:w="110"/>
        <w:gridCol w:w="209"/>
        <w:gridCol w:w="198"/>
        <w:gridCol w:w="167"/>
        <w:gridCol w:w="109"/>
        <w:gridCol w:w="109"/>
        <w:gridCol w:w="109"/>
        <w:gridCol w:w="435"/>
        <w:gridCol w:w="436"/>
        <w:gridCol w:w="168"/>
        <w:gridCol w:w="109"/>
        <w:gridCol w:w="109"/>
        <w:gridCol w:w="109"/>
        <w:gridCol w:w="209"/>
        <w:gridCol w:w="198"/>
        <w:gridCol w:w="167"/>
        <w:gridCol w:w="109"/>
        <w:gridCol w:w="109"/>
        <w:gridCol w:w="109"/>
        <w:gridCol w:w="480"/>
        <w:gridCol w:w="481"/>
        <w:gridCol w:w="168"/>
        <w:gridCol w:w="109"/>
        <w:gridCol w:w="109"/>
        <w:gridCol w:w="109"/>
        <w:gridCol w:w="203"/>
        <w:gridCol w:w="203"/>
        <w:gridCol w:w="247"/>
      </w:tblGrid>
      <w:tr>
        <w:trPr/>
        <w:tc>
          <w:tcPr>
            <w:tcW w:w="57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RSUs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1,876,970 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4,807,914 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1,843,436 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10,000,405 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rights committed under the ESPP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1,267,606 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1,581,479 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stock options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2,259,844 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6,171,686 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2,228,788 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11,680,354 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above does not include 405,156 shares of issued Class A common stock held by us as of October 31, 2025 and 2024 that are reserved for the sole purpose of being transferred to nonprofit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CEO is the Chief Operating Decision Maker (“CODM”) of the Company. The Company manages the business activities on a consolidated basis and all information provided to and reviewed by our CODM is compiled at the consolidated entity level. Therefore, we have only one operating and reportable segment. The description of the types of products and services from which the reportable segment derives its revenue is the same as those described in the Summary of Business and 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measure of segment profit or loss that our CODM uses to allocate resources and assess performance is our consolidated net income. The CODM uses net income to monitor results and to decide whether to reinvest profits. Our CODM does not assess segment performance or make decisions using asset or liability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segment expenses regularly provided to the CODM as well as other segment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tbl>
      <w:tblPr>
        <w:tblW w:w="9479" w:type="dxa"/>
        <w:jc w:val="left"/>
        <w:tblInd w:w="0" w:type="dxa"/>
        <w:tblLayout w:type="fixed"/>
        <w:tblCellMar>
          <w:top w:w="28" w:type="dxa"/>
          <w:left w:w="28" w:type="dxa"/>
          <w:bottom w:w="28" w:type="dxa"/>
          <w:right w:w="28" w:type="dxa"/>
        </w:tblCellMar>
      </w:tblPr>
      <w:tblGrid>
        <w:gridCol w:w="1180"/>
        <w:gridCol w:w="1038"/>
        <w:gridCol w:w="105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revenue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research and development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sales and marketing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general and administrative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Excludes stock-based compensation expense and related payroll taxes, acquisition-related expenses, and litigation settlements, net</w:t>
      </w:r>
    </w:p>
    <w:p>
      <w:pPr>
        <w:pStyle w:val="TextBody"/>
        <w:bidi w:val="0"/>
        <w:spacing w:lineRule="auto" w:line="254"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stock-based compensation related payroll taxes, acquisition-related expenses, litigation settlements, net, gains on strategic investments, net, and other income, net excluding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Subsequent Events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2025, we entered into an agreement to acquire BrightHire, Inc., a private company providing AI-powered interview intelligence and hiring automation. The acquisition expands our platform’s capabilities in recruiting and candidate engagement. The acquisition is expected to close in our fourth fiscal quarter and the total purchase consideration will be paid in cash from our existing balances of cash and cash equivalents.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2025, our Board of Directors authorized the repurchase of an additional $1.0 billion of our outstanding Class A common stock, incremental to the $310.4 million remaining authorization as of October 31, 2025. Repurchases of our Class A common stock may be effected, from time to time, either on the open market (including pre-set trading plans), in privately negotiated transactions, and other transactions in accordance with applicable securities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mission is to be an AI-first open work platform for human connection. Our platform is designed to enable seamless communication and collaboration through a suite of products that includes our AI capabilities driven by Zoom AI Companion, Zoom Workplace (including Zoom Meetings and Zoom Phone), Zoom Business Services (including Zoom Contact Center), Employee Experience (including Workvivo), and more, all with AI at its core to improve productivity, collaboration, and business outcomes.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strive to simplify the workday with AI-powered tools that drive meaningful team collaboration and customer engagement. Zoom Workplace supports businesses by providing a secure, scalable solution for communication and collaboration. In addition, Zoom is further helping businesses foster stronger customer and employee relationships through Zoom Business Services, which includes Zoom Contact Center, Zoom Revenue Accelerator, as well as Zoom Events, which empowers sales, marketing, and customer experience teams.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AI is core to Zoom’s product innovation. Over the past year, Zoom continues to invest in AI, expanding its agentic AI skills, agents, and models, focusing on three key areas: supporting individual productivity, powering better collaboration, and helping customer-facing teams get more done, do better work, and strengthen relationships with AI Companion. Our federated approach to AI dynamically leverages multiple Large Language Models (“LLMs”) (including those from OpenAI, Anthropic, and Meta), as well as Small Language Models (“SLMs”), making AI more accessible and affordable so that more people can incorporate it in their day-to-day workflows. In line with our commitment to responsible AI, Zoom does not use customer audio, video, chat, screen sharing, attachments, or other communications-like customer content (such as poll results, whiteboard, and reactions) to train Zoom’s or its third-party AI models.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Zoom’s platform prioritizes security and privacy, with 30 co-located data centers globally and robust encryption options. We are committed to delivering high-quality, real-time video, even in low-bandwidth conditions, while safeguarding our customers' data.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is driven by subscriptions to Zoom Workplace and Zoom Business Services. Our core offerings include Zoom Workplace Pro, Business, and Enterprise bundles, with vertical-specific plans for Education, Healthcare, and Government. We also offer Zoom Phone, with regional and global calling plans, and Zoom Contact Center, providing advanced customer experience solutions designed to meet diverse customer needs.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revenue was $1,229.8 million and $1,177.5 million for the three months ended October 31, 2025 and 2024, respectively, representing period-over-period growth of 4.4%. We had net income of $612.9 million and $207.1 million for the three months ended October 31, 2025 and 2024, respectively. Our revenue was $3,621.8 million and $3,481.3 million for the nine months ended October 31, 2025 and 2024, respectively, representing period-over-period growth of 4.0%. We had net income of $1,226.1 million and $642.4 million for the nine months ended October 31, 2025 and 2024, respectively. Net cash provided by operating activities was $1,634.5 million and $1,520.7 million for the nine months ended October 31, 2025 and 2024, respectively.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Macroeconomic Conditions and Other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macroeconomic environment, including geopolitical conflicts, inflationary pressures, government shutdowns, tariffs escalating trade tensions, and the global market and foreign currency exchange rate volatility, continues to create uncertainty in demand for subscriptions to our open work platform. These factors, along with shifts in customers’ internal priorities, such as budget reductions or workforce restructuring, have led to elongated sales cycles, increased caution in enterprise spending, and may further impact customer upsell or downsell activity.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recent months, intensifying trade tensions and global market volatility as well as ongoing foreign currency fluctuations have impacted the macroeconomic environment. We continue to monitor the potential effects of these circumstances as well as the overall global economy and geopolitical landscape on our business and financial results. The implications of macroeconomic conditions on our business, results of operations, and overall financial position, particularly in the long term, remain uncertain.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introducing several significant corporate income tax provisions, including the option to immediately deduct domestic research and development expenses or continue to capitalize and amortize such expenses for tax years beginning after December 31, 2024, the permanent extension of 100% bonus depreciation for qualified property placed in service after January 19, 2025, and modifications to international tax rules such as future changes to the calculation of Global Low-Taxed Income (GILTI) and the Foreign-Derived Intangible Income (FDII) deduction. The impacts of OBBBA on our financial statements for the three months and nine months ended October 31, 2025 were not material; however, as our business operations or financial results change, or as additional regulations and administrative guidance are issued, we will evaluate any further impacts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II—Other Information, Item 1A. Risk Factors” of this Quarterly Report on Form 10-Q for further discussions of the potential impacts of the current macroeconomic conditions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Acquiring New Customers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focused on continuing to grow the number of customers who use Zoom Workplace and Zoom Business Services.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Expansion of Zoom Across Existing Enterprise Customers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there is a large opportunity for growth with many of our existing customers. Historically, customers have increased the size of their subscriptions as they have expanded their use of our platform across their operations. Over the past few years, macroeconomic headwinds have resulted in slower hiring and higher seat count downsells from our existing Enterprise customers in key markets, which have impacted the rate of expansion and have caused our net dollar expansion rate for Enterprise customers to drop below one hundred percent. Despite the decline, we believe there are still opportunities for future growth with our existing customers as we innovate our platform with additional product offerings and the use of AI. This expansion in the use of our platform also provides us with opportunities to market and sell additional products to our customers, such as Zoom Phone, Zoom Contact Center, and Workvivo.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60.3% and 59.4% of total revenue for the three months ended October 31, 2025 and 2024, respectively, and 60.1% and 58.8% of total revenue for the nine months ended October 31, 2025 and 2024, respectively. Our net dollar expansion rate includes the increase in user adoption within our Enterprise customers, as our subscription revenue is primarily driven by the number of paid licenses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contractions, and attrition. We divide the Current Period ARR by the Prior Period ARR to arrive at the net dollar expansion rate. For the trailing 12 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was 98% as of both October 31, 2025 and 2024.</w:t>
      </w:r>
    </w:p>
    <w:p>
      <w:pPr>
        <w:pStyle w:val="TextBody"/>
        <w:bidi w:val="0"/>
        <w:spacing w:before="120" w:after="283"/>
        <w:jc w:val="both"/>
        <w:rPr/>
      </w:pPr>
      <w:r>
        <w:rPr/>
      </w:r>
    </w:p>
    <w:p>
      <w:pPr>
        <w:pStyle w:val="TextBody"/>
        <w:bidi w:val="0"/>
        <w:spacing w:lineRule="auto" w:line="288" w:before="0" w:after="0"/>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Retention of Online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Enterprise customers, we also have a significant number of customers who subscribe to our services directly through our website (“Online customers” or “Online business”). Online customers represent a diverse customer base, ranging from individual consumers to small and medium-sized businesses. We continue to focus on acquisition and retention of our Online customer base through various strategies to improve the features and functionalities of our products and services. Revenue from Online customers represented 39.7% and 40.6% of total revenue for the three months ended October 31, 2025 and 2024, respectively, and 39.9% and 41.2% of total revenue for the nine months ended October 31, 2025 and 2024, respectively. Our ability to retain these Online customers will have an impact on our future revenue. The online monthly average churn for our Online customers was 2.7% per month for both the three months ended October 31, 2025 and 2024, and 2.8% and 3.0% per month for the nine months ended October 31, 2025 and 2024, respectively. One of the dynamics in the Online portion of the business is the MRR contribution from customers who have retained Zoom services for a certain portion of time as these customers tend to maintain their subscriptions and contribute meaningfully to the Online business.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October 31, 2025 and 2024, the percentage of total Online MRR from Online customers with a continuous term of service of at least 16 months was 74.4% and 74.1%, respectively.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calculate the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We then divide that amount by three to calculate the Online average monthly churn for the applicable quarter.</w:t>
      </w:r>
      <w:r>
        <w:rPr>
          <w:color w:val="000000"/>
        </w:rPr>
        <w:t xml:space="preserve">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Innovation and Expansion of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invest and enhance the capabilities of Zoom Workplace and Zoom Business Services. This includes ongoing investments in AI, with a focus on expanding agentic AI skills, agents, and models. Recent product innovations and enhancements include Zoom AI Companion, Zoom Docs, Zoom Tasks and continued enhancements for Phone, Meetings, Zoom Rooms, Sessions, Webinars, Events, Workvivo, Contact Center, and more. As of October 31, 2025, we also delivered Zoom Phone calling plans in more than 45 countries and territories.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Earlier this year, we launched several products and enhancements, including new agentic AI offerings that drive productivity and collaboration, new app integrations for the Custom AI Companion add-on, a next-generation Zoom Virtual Agent that enhances customer support experiences, innovations in Zoom Spaces to improve collaboration, and updates to real-time media streams for better communication. The next-generation Zoom Virtual Agent is an AI-driven solution that uses agentic AI to autonomously resolve customer support issues across chat and voice channels. It features advanced reasoning, integrates with Zoom Contact Center and other leading platforms, and helps reduce escalations while improving efficiency and satisfaction.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Zoomtopia 2025, our annual user conference held in September, we announced several strategic platform innovations, including AI Companion 3.0, which we expect to be generally available in December 2025 for all paid Zoom Workplace users at no additional cost. AI Companion 3.0 will introduce more proactive assistance with tasks such as meeting prioritization, agenda creation, and “catch me up” summaries, along with unified, context-aware search across internal and external data sources, enhanced report generation and research tools, and an expanded workspace designed to improve productivity.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enhanced the Custom AI Companion add-on, enabling users to create and deploy custom AI assistants with broader context and integration across applications. The add-on provides low-code tools, templates, and libraries to help organizations build tailored AI workflows. In addition, Zoom Business Services announced updates to Zoom Virtual Agent, featuring new use cases and branded voice customization to support more consistent customer interactions.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Zoom is an open platform, and third-party developers are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offer end-to-end encryption (“E2EE”) for meetings with up to 1,000 participants, as well as for one-on-one Zoom Phone calls within the same account. With E2EE, encryption keys are generated and managed on users’ devices rather than on Zoom’s servers, providing an added layer of privacy. In addition, we introduced post-quantum E2EE in May 2024 for Zoom Workplace. We believe this makes Zoom the first unified communications as a service (“UCaaS”) provider to offer a post-quantum E2EE solution for video conferencing.</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International Opportunities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platform addresses the communications and collaboration needs of users worldwide, and while our international revenue has stabilized in recent quarters, we continue to view international expansion as a meaningful long-term opportunity. Our revenue outside of the Americas (APAC and EMEA) represented 27.9% and 28.1% of our total revenue for the three months ended October 31, 2025 and 2024, respectively, and 28.0% and 28.2% of our total revenue for the nine months ended October 31, 2025 and 2024, respectively.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review the following key business metric to measure our performance, identify trends, formulate financial projections, and make strategic decisions.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Customers Contributing More Than $100,000 of Trailing 12 Months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focus on growing the number of customers that contribute more than $100,000 of trailing 12 months revenue as it is a measure of our ability to scale with our customers and attract larger organizations to Zoom. Revenue from these customers represented 32.4% and 30.8% of total revenue for the three months ended October 31, 2025 and 2024, respectively, and 32.5% and 30.7% of total revenue for the nine months ended October 31, 2025 and 2024, respectively. As of October 31, 2025 and 2024, we had 4,363 and 3,995 customers, respectively, that contributed more than $100,000 of trailing 12 months revenue, demonstrating our increasing penetration of larger organizations, including enterprises. These customers are a subset of Enterprise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free cash flow (“FCF”) is a non-GAAP financial measure that we believe is useful in evaluating our liquidity.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or other corporate purposes.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cash flows for the periods presented and a reconciliation of FCF to net cash provided by operating activities, the most directly comparable financial measure calculated in accordance with GAAP:</w:t>
      </w:r>
    </w:p>
    <w:tbl>
      <w:tblPr>
        <w:tblW w:w="6698" w:type="dxa"/>
        <w:jc w:val="left"/>
        <w:tblInd w:w="0" w:type="dxa"/>
        <w:tblLayout w:type="fixed"/>
        <w:tblCellMar>
          <w:top w:w="28" w:type="dxa"/>
          <w:left w:w="28" w:type="dxa"/>
          <w:bottom w:w="28" w:type="dxa"/>
          <w:right w:w="28" w:type="dxa"/>
        </w:tblCellMar>
      </w:tblPr>
      <w:tblGrid>
        <w:gridCol w:w="1297"/>
        <w:gridCol w:w="1142"/>
        <w:gridCol w:w="1145"/>
        <w:gridCol w:w="211"/>
        <w:gridCol w:w="1051"/>
        <w:gridCol w:w="109"/>
        <w:gridCol w:w="109"/>
        <w:gridCol w:w="109"/>
        <w:gridCol w:w="109"/>
        <w:gridCol w:w="211"/>
        <w:gridCol w:w="1051"/>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and equipment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(330,171)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(1,101,138)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(1,451,447)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(699,106)</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personnel-related expenses associated with our finance, legal, and other organizations; professional fees for external legal, accounting, and other consulting services; expected credit losses; insurance; certain indirect taxes; litigation settlements; corporate security and regulatory expenses; and allocated overhead.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Gains on Strategic Investments,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Gains on strategic investments, net consist primarily of remeasurement gains or losses on our equity investments.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net consists primarily of interest income and net accretion on our marketable securities and effect of changes in foreign currency exchange rates.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consists primarily of income taxes related to federal, state, and foreign jurisdictions where we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selected condensed consolidated statements of operations data and such data as a percentage of revenue for each of the periods indicated:</w:t>
      </w:r>
    </w:p>
    <w:tbl>
      <w:tblPr>
        <w:tblW w:w="10205" w:type="dxa"/>
        <w:jc w:val="left"/>
        <w:tblInd w:w="0" w:type="dxa"/>
        <w:tblLayout w:type="fixed"/>
        <w:tblCellMar>
          <w:top w:w="28" w:type="dxa"/>
          <w:left w:w="28" w:type="dxa"/>
          <w:bottom w:w="28" w:type="dxa"/>
          <w:right w:w="28" w:type="dxa"/>
        </w:tblCellMar>
      </w:tblPr>
      <w:tblGrid>
        <w:gridCol w:w="1509"/>
        <w:gridCol w:w="1241"/>
        <w:gridCol w:w="124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5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2,639,023 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color w:val="000000"/>
              </w:rPr>
              <w:t xml:space="preserv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color w:val="000000"/>
              </w:rPr>
              <w:t xml:space="preserve">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2,050,791 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stock-based compensation expense as follows: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93,313 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242,197 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240,995 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575,550 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708,370 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9620" w:type="dxa"/>
        <w:jc w:val="left"/>
        <w:tblInd w:w="0" w:type="dxa"/>
        <w:tblLayout w:type="fixed"/>
        <w:tblCellMar>
          <w:top w:w="28" w:type="dxa"/>
          <w:left w:w="28" w:type="dxa"/>
          <w:bottom w:w="28" w:type="dxa"/>
          <w:right w:w="28" w:type="dxa"/>
        </w:tblCellMar>
      </w:tblPr>
      <w:tblGrid>
        <w:gridCol w:w="1259"/>
        <w:gridCol w:w="1109"/>
        <w:gridCol w:w="1112"/>
        <w:gridCol w:w="308"/>
        <w:gridCol w:w="308"/>
        <w:gridCol w:w="523"/>
        <w:gridCol w:w="210"/>
        <w:gridCol w:w="210"/>
        <w:gridCol w:w="210"/>
        <w:gridCol w:w="308"/>
        <w:gridCol w:w="308"/>
        <w:gridCol w:w="523"/>
        <w:gridCol w:w="109"/>
        <w:gridCol w:w="109"/>
        <w:gridCol w:w="109"/>
        <w:gridCol w:w="308"/>
        <w:gridCol w:w="308"/>
        <w:gridCol w:w="497"/>
        <w:gridCol w:w="199"/>
        <w:gridCol w:w="199"/>
        <w:gridCol w:w="199"/>
        <w:gridCol w:w="308"/>
        <w:gridCol w:w="308"/>
        <w:gridCol w:w="579"/>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percentage of revenue)</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Comparison of the Three Months Ended October 31, 2025 and 2024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Revenue</w:t>
      </w:r>
    </w:p>
    <w:tbl>
      <w:tblPr>
        <w:tblW w:w="5037"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03"/>
        <w:gridCol w:w="203"/>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Revenue for the three months ended October 31, 2025 increased by $52.3 million, or 4.4%, compared to the three months ended October 31, 2024. The</w:t>
      </w:r>
      <w:r>
        <w:rPr>
          <w:color w:val="000000"/>
        </w:rPr>
        <w:t xml:space="preserve"> </w:t>
      </w:r>
      <w:r>
        <w:rPr>
          <w:rFonts w:ascii="Times New Roman;serif" w:hAnsi="Times New Roman;serif"/>
          <w:b w:val="false"/>
          <w:color w:val="000000"/>
          <w:sz w:val="20"/>
        </w:rPr>
        <w:t xml:space="preserve">increase was driven by 6.1% growth in revenue from Enterprise customers, of which 67% and 33% was from new and existing customers, respectively, and by a </w:t>
      </w:r>
      <w:r>
        <w:rPr>
          <w:rFonts w:ascii="Times New Roman;serif" w:hAnsi="Times New Roman;serif"/>
          <w:b w:val="false"/>
          <w:color w:val="231F20"/>
          <w:sz w:val="20"/>
        </w:rPr>
        <w:t>2.0%</w:t>
      </w:r>
      <w:r>
        <w:rPr>
          <w:color w:val="000000"/>
        </w:rPr>
        <w:t xml:space="preserve"> </w:t>
      </w:r>
      <w:r>
        <w:rPr>
          <w:rFonts w:ascii="Times New Roman;serif" w:hAnsi="Times New Roman;serif"/>
          <w:b w:val="false"/>
          <w:color w:val="000000"/>
          <w:sz w:val="20"/>
        </w:rPr>
        <w:t>increase in revenue from Online customers.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5688" w:type="dxa"/>
        <w:jc w:val="left"/>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39"/>
        <w:gridCol w:w="241"/>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271,770 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283,881 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958,065 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Cost of revenue for the three months ended October 31, 2025 decreased by $12.1 million, or 4.3%, compared to the three months ended October 31, 2024. The decline was mainly due to a $7.3 million reduction</w:t>
      </w:r>
      <w:r>
        <w:rPr>
          <w:color w:val="000000"/>
        </w:rPr>
        <w:t xml:space="preserve"> </w:t>
      </w:r>
      <w:r>
        <w:rPr>
          <w:rFonts w:ascii="Times New Roman;serif" w:hAnsi="Times New Roman;serif"/>
          <w:b w:val="false"/>
          <w:color w:val="231F20"/>
          <w:sz w:val="20"/>
        </w:rPr>
        <w:t>in stock-based compensation as well as lower hosting costs. The reduction in stock-based compensation is due to changes in our equity program, while the decrease in hosting costs was due to cloud optimizations and operational efficiencies.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Gross margin grew to 77.9% for the three months ended </w:t>
      </w:r>
      <w:r>
        <w:rPr>
          <w:rFonts w:ascii="Times New Roman;serif" w:hAnsi="Times New Roman;serif"/>
          <w:b w:val="false"/>
          <w:color w:val="231F20"/>
          <w:sz w:val="20"/>
        </w:rPr>
        <w:t xml:space="preserve">October 31, 2025, from </w:t>
      </w:r>
      <w:r>
        <w:rPr>
          <w:rFonts w:ascii="Times New Roman;serif" w:hAnsi="Times New Roman;serif"/>
          <w:b w:val="false"/>
          <w:color w:val="000000"/>
          <w:sz w:val="20"/>
        </w:rPr>
        <w:t xml:space="preserve">75.9% for the three months ended </w:t>
      </w:r>
      <w:r>
        <w:rPr>
          <w:rFonts w:ascii="Times New Roman;serif" w:hAnsi="Times New Roman;serif"/>
          <w:b w:val="false"/>
          <w:color w:val="231F20"/>
          <w:sz w:val="20"/>
        </w:rPr>
        <w:t>October 31, 2024. The increase in gross margin was mainly due to the reasons described above.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6279"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39"/>
        <w:gridCol w:w="241"/>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 xml:space="preserve">Research and development expense for the three months ended October 31, 2025 decreased by $12.9 million, or 5.8%, compared to the three months ended October 31, 2024. The decrease was mainly driven by an $19.7 million </w:t>
      </w:r>
      <w:r>
        <w:rPr>
          <w:rFonts w:ascii="Times New Roman;serif" w:hAnsi="Times New Roman;serif"/>
          <w:b w:val="false"/>
          <w:color w:val="000000"/>
          <w:sz w:val="20"/>
        </w:rPr>
        <w:t xml:space="preserve">decrease in stock-based compensation due to changes in our equity program partially offset by a </w:t>
      </w:r>
      <w:r>
        <w:rPr>
          <w:rFonts w:ascii="Times New Roman;serif" w:hAnsi="Times New Roman;serif"/>
          <w:b w:val="false"/>
          <w:color w:val="231F20"/>
          <w:sz w:val="20"/>
        </w:rPr>
        <w:t>$6.6 million</w:t>
      </w:r>
      <w:r>
        <w:rPr>
          <w:color w:val="000000"/>
        </w:rPr>
        <w:t xml:space="preserve"> </w:t>
      </w:r>
      <w:r>
        <w:rPr>
          <w:rFonts w:ascii="Times New Roman;serif" w:hAnsi="Times New Roman;serif"/>
          <w:b w:val="false"/>
          <w:color w:val="000000"/>
          <w:sz w:val="20"/>
        </w:rPr>
        <w:t xml:space="preserve">increase </w:t>
      </w:r>
      <w:r>
        <w:rPr>
          <w:rFonts w:ascii="Times New Roman;serif" w:hAnsi="Times New Roman;serif"/>
          <w:b w:val="false"/>
          <w:color w:val="231F20"/>
          <w:sz w:val="20"/>
        </w:rPr>
        <w:t>in personnel-related expenses as a result of higher headcount as we invested in AI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5724" w:type="dxa"/>
        <w:jc w:val="left"/>
        <w:tblInd w:w="0" w:type="dxa"/>
        <w:tblLayout w:type="fixed"/>
        <w:tblCellMar>
          <w:top w:w="28" w:type="dxa"/>
          <w:left w:w="28" w:type="dxa"/>
          <w:bottom w:w="28" w:type="dxa"/>
          <w:right w:w="28" w:type="dxa"/>
        </w:tblCellMar>
      </w:tblPr>
      <w:tblGrid>
        <w:gridCol w:w="634"/>
        <w:gridCol w:w="558"/>
        <w:gridCol w:w="562"/>
        <w:gridCol w:w="211"/>
        <w:gridCol w:w="826"/>
        <w:gridCol w:w="109"/>
        <w:gridCol w:w="109"/>
        <w:gridCol w:w="109"/>
        <w:gridCol w:w="109"/>
        <w:gridCol w:w="211"/>
        <w:gridCol w:w="826"/>
        <w:gridCol w:w="109"/>
        <w:gridCol w:w="109"/>
        <w:gridCol w:w="109"/>
        <w:gridCol w:w="109"/>
        <w:gridCol w:w="239"/>
        <w:gridCol w:w="241"/>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 xml:space="preserve">Sales and marketing expense for the three months ended October 31, 2025 decreased by $18.9 million, or 5.2%, compared to the three months ended October 31, 2024. The decrease was primarily driven by </w:t>
      </w:r>
      <w:r>
        <w:rPr>
          <w:rFonts w:ascii="Times New Roman;serif" w:hAnsi="Times New Roman;serif"/>
          <w:b w:val="false"/>
          <w:color w:val="000000"/>
          <w:sz w:val="20"/>
        </w:rPr>
        <w:t xml:space="preserve">lower stock-based compensation of </w:t>
      </w:r>
      <w:r>
        <w:rPr>
          <w:rFonts w:ascii="Times New Roman;serif" w:hAnsi="Times New Roman;serif"/>
          <w:b w:val="false"/>
          <w:color w:val="231F20"/>
          <w:sz w:val="20"/>
        </w:rPr>
        <w:t>$19.3 million due to changes in our equity program.</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6280" w:type="dxa"/>
        <w:jc w:val="left"/>
        <w:tblInd w:w="0" w:type="dxa"/>
        <w:tblLayout w:type="fixed"/>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826"/>
        <w:gridCol w:w="109"/>
        <w:gridCol w:w="109"/>
        <w:gridCol w:w="109"/>
        <w:gridCol w:w="109"/>
        <w:gridCol w:w="293"/>
        <w:gridCol w:w="293"/>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General and administrative expense for the three months ended October 31, 2025 decreased by $31.4 million, or 24.9%, compared to the three months ended October 31, 2024. The favorable variance was primarily driven by the prior-year accrual of $18.0 million related to an SEC investigation and a $9.4 million decrease in stock-based compe</w:t>
      </w:r>
      <w:r>
        <w:rPr>
          <w:rFonts w:ascii="Times New Roman;serif" w:hAnsi="Times New Roman;serif"/>
          <w:b w:val="false"/>
          <w:color w:val="000000"/>
          <w:sz w:val="20"/>
        </w:rPr>
        <w:t>nsation due to changes in our equity program.</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Gains on Strategic Investments, Net</w:t>
      </w:r>
    </w:p>
    <w:tbl>
      <w:tblPr>
        <w:tblW w:w="6591" w:type="dxa"/>
        <w:jc w:val="left"/>
        <w:tblInd w:w="0" w:type="dxa"/>
        <w:tblLayout w:type="fixed"/>
        <w:tblCellMar>
          <w:top w:w="28" w:type="dxa"/>
          <w:left w:w="28" w:type="dxa"/>
          <w:bottom w:w="28" w:type="dxa"/>
          <w:right w:w="28" w:type="dxa"/>
        </w:tblCellMar>
      </w:tblPr>
      <w:tblGrid>
        <w:gridCol w:w="1064"/>
        <w:gridCol w:w="935"/>
        <w:gridCol w:w="940"/>
        <w:gridCol w:w="211"/>
        <w:gridCol w:w="826"/>
        <w:gridCol w:w="109"/>
        <w:gridCol w:w="109"/>
        <w:gridCol w:w="109"/>
        <w:gridCol w:w="109"/>
        <w:gridCol w:w="211"/>
        <w:gridCol w:w="616"/>
        <w:gridCol w:w="109"/>
        <w:gridCol w:w="109"/>
        <w:gridCol w:w="109"/>
        <w:gridCol w:w="109"/>
        <w:gridCol w:w="268"/>
        <w:gridCol w:w="268"/>
        <w:gridCol w:w="380"/>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Gains on strategic investments, net for the three months ended October 31, 2025 and October 31, 2024 were primarily driven by changes in the fair value of our privately held securities.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5426" w:type="dxa"/>
        <w:jc w:val="left"/>
        <w:tblInd w:w="0" w:type="dxa"/>
        <w:tblLayout w:type="fixed"/>
        <w:tblCellMar>
          <w:top w:w="28" w:type="dxa"/>
          <w:left w:w="28" w:type="dxa"/>
          <w:bottom w:w="28" w:type="dxa"/>
          <w:right w:w="28" w:type="dxa"/>
        </w:tblCellMar>
      </w:tblPr>
      <w:tblGrid>
        <w:gridCol w:w="564"/>
        <w:gridCol w:w="497"/>
        <w:gridCol w:w="499"/>
        <w:gridCol w:w="211"/>
        <w:gridCol w:w="721"/>
        <w:gridCol w:w="109"/>
        <w:gridCol w:w="109"/>
        <w:gridCol w:w="109"/>
        <w:gridCol w:w="109"/>
        <w:gridCol w:w="211"/>
        <w:gridCol w:w="721"/>
        <w:gridCol w:w="109"/>
        <w:gridCol w:w="109"/>
        <w:gridCol w:w="109"/>
        <w:gridCol w:w="109"/>
        <w:gridCol w:w="293"/>
        <w:gridCol w:w="293"/>
        <w:gridCol w:w="54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Other income, net for the three months ended October 31, 2025 decreased by $13.0 million, or 14.3%, compared to the three months ended October 31, 2024. The decrease was primarily due to lower interest income from cash and marketable securities resulting from the declining interest rate rate environment.</w: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6281" w:type="dxa"/>
        <w:jc w:val="left"/>
        <w:tblInd w:w="0" w:type="dxa"/>
        <w:tblLayout w:type="fixed"/>
        <w:tblCellMar>
          <w:top w:w="28" w:type="dxa"/>
          <w:left w:w="28" w:type="dxa"/>
          <w:bottom w:w="28" w:type="dxa"/>
          <w:right w:w="28" w:type="dxa"/>
        </w:tblCellMar>
      </w:tblPr>
      <w:tblGrid>
        <w:gridCol w:w="825"/>
        <w:gridCol w:w="726"/>
        <w:gridCol w:w="729"/>
        <w:gridCol w:w="211"/>
        <w:gridCol w:w="826"/>
        <w:gridCol w:w="109"/>
        <w:gridCol w:w="109"/>
        <w:gridCol w:w="109"/>
        <w:gridCol w:w="109"/>
        <w:gridCol w:w="211"/>
        <w:gridCol w:w="721"/>
        <w:gridCol w:w="109"/>
        <w:gridCol w:w="109"/>
        <w:gridCol w:w="109"/>
        <w:gridCol w:w="109"/>
        <w:gridCol w:w="308"/>
        <w:gridCol w:w="308"/>
        <w:gridCol w:w="54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Provision for income taxes for the three months ended October 31, 2025 increased by $108.5 million, or 147.9%, compared to the three months ended October 31, 2024. The year-over-year change was</w:t>
      </w:r>
      <w:r>
        <w:rPr>
          <w:color w:val="231F20"/>
        </w:rPr>
        <w:t xml:space="preserve"> </w:t>
      </w:r>
      <w:r>
        <w:rPr>
          <w:rFonts w:ascii="Times New Roman;serif" w:hAnsi="Times New Roman;serif"/>
          <w:b w:val="false"/>
          <w:color w:val="000000"/>
          <w:sz w:val="20"/>
        </w:rPr>
        <w:t>primarily due to an increase in income before taxes partially offset by a decrease in tax shortfalls and increase in tax benefits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Comparison of the Nine Months Ended October 31, 2025 and 2024</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Revenue</w:t>
      </w:r>
    </w:p>
    <w:tbl>
      <w:tblPr>
        <w:tblW w:w="5037"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03"/>
        <w:gridCol w:w="203"/>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3,621,777 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3,481,295 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Revenue for the nine months ended October 31, 2025 increased by $140.5 million, or 4.0%, compared to the nine months ended October 31, 2024. The</w:t>
      </w:r>
      <w:r>
        <w:rPr>
          <w:color w:val="000000"/>
        </w:rPr>
        <w:t xml:space="preserve"> </w:t>
      </w:r>
      <w:r>
        <w:rPr>
          <w:rFonts w:ascii="Times New Roman;serif" w:hAnsi="Times New Roman;serif"/>
          <w:b w:val="false"/>
          <w:color w:val="000000"/>
          <w:sz w:val="20"/>
        </w:rPr>
        <w:t xml:space="preserve">increase in revenue was due to a 6.3% growth in revenue from Enterprise customers, of which </w:t>
      </w:r>
      <w:r>
        <w:rPr>
          <w:rFonts w:ascii="Times New Roman;serif" w:hAnsi="Times New Roman;serif"/>
          <w:b w:val="false"/>
          <w:color w:val="231F20"/>
          <w:sz w:val="20"/>
        </w:rPr>
        <w:t>47.0% and</w:t>
      </w:r>
      <w:r>
        <w:rPr>
          <w:color w:val="000000"/>
        </w:rPr>
        <w:t xml:space="preserve"> </w:t>
      </w:r>
      <w:r>
        <w:rPr>
          <w:rFonts w:ascii="Times New Roman;serif" w:hAnsi="Times New Roman;serif"/>
          <w:b w:val="false"/>
          <w:color w:val="231F20"/>
          <w:sz w:val="20"/>
        </w:rPr>
        <w:t>53.0%</w:t>
      </w:r>
      <w:r>
        <w:rPr>
          <w:color w:val="000000"/>
        </w:rPr>
        <w:t xml:space="preserve"> </w:t>
      </w:r>
      <w:r>
        <w:rPr>
          <w:rFonts w:ascii="Times New Roman;serif" w:hAnsi="Times New Roman;serif"/>
          <w:b w:val="false"/>
          <w:color w:val="000000"/>
          <w:sz w:val="20"/>
        </w:rPr>
        <w:t>was from new and existing customers, respectively. Revenue from Online customers remained relatively flat year over year.</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5988" w:type="dxa"/>
        <w:jc w:val="left"/>
        <w:tblInd w:w="0" w:type="dxa"/>
        <w:tblLayout w:type="fixed"/>
        <w:tblCellMar>
          <w:top w:w="28" w:type="dxa"/>
          <w:left w:w="28" w:type="dxa"/>
          <w:bottom w:w="28" w:type="dxa"/>
          <w:right w:w="28" w:type="dxa"/>
        </w:tblCellMar>
      </w:tblPr>
      <w:tblGrid>
        <w:gridCol w:w="504"/>
        <w:gridCol w:w="444"/>
        <w:gridCol w:w="446"/>
        <w:gridCol w:w="211"/>
        <w:gridCol w:w="976"/>
        <w:gridCol w:w="271"/>
        <w:gridCol w:w="109"/>
        <w:gridCol w:w="109"/>
        <w:gridCol w:w="109"/>
        <w:gridCol w:w="211"/>
        <w:gridCol w:w="976"/>
        <w:gridCol w:w="271"/>
        <w:gridCol w:w="109"/>
        <w:gridCol w:w="109"/>
        <w:gridCol w:w="109"/>
        <w:gridCol w:w="239"/>
        <w:gridCol w:w="241"/>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823,337 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842,272 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 xml:space="preserve">Cost of revenue for the nine months ended October 31, 2025 decreased by $18.9 million, or 2.2%, compared to the nine months ended October 31, 2024. The </w:t>
      </w:r>
      <w:r>
        <w:rPr>
          <w:rFonts w:ascii="Times New Roman;serif" w:hAnsi="Times New Roman;serif"/>
          <w:b w:val="false"/>
          <w:color w:val="000000"/>
          <w:sz w:val="20"/>
        </w:rPr>
        <w:t>decrease</w:t>
      </w:r>
      <w:r>
        <w:rPr>
          <w:color w:val="231F20"/>
        </w:rPr>
        <w:t xml:space="preserve"> </w:t>
      </w:r>
      <w:r>
        <w:rPr>
          <w:rFonts w:ascii="Times New Roman;serif" w:hAnsi="Times New Roman;serif"/>
          <w:b w:val="false"/>
          <w:color w:val="231F20"/>
          <w:sz w:val="20"/>
        </w:rPr>
        <w:t xml:space="preserve">was primarily due to </w:t>
      </w:r>
      <w:r>
        <w:rPr>
          <w:rFonts w:ascii="Times New Roman;serif" w:hAnsi="Times New Roman;serif"/>
          <w:b w:val="false"/>
          <w:color w:val="000000"/>
          <w:sz w:val="20"/>
        </w:rPr>
        <w:t xml:space="preserve">a </w:t>
      </w:r>
      <w:r>
        <w:rPr>
          <w:rFonts w:ascii="Times New Roman;serif" w:hAnsi="Times New Roman;serif"/>
          <w:b w:val="false"/>
          <w:color w:val="231F20"/>
          <w:sz w:val="20"/>
        </w:rPr>
        <w:t>$18.5 million reduction</w:t>
      </w:r>
      <w:r>
        <w:rPr>
          <w:color w:val="000000"/>
        </w:rPr>
        <w:t xml:space="preserve"> </w:t>
      </w:r>
      <w:r>
        <w:rPr>
          <w:rFonts w:ascii="Times New Roman;serif" w:hAnsi="Times New Roman;serif"/>
          <w:b w:val="false"/>
          <w:color w:val="000000"/>
          <w:sz w:val="20"/>
        </w:rPr>
        <w:t xml:space="preserve">in stock-based compensation </w:t>
      </w:r>
      <w:r>
        <w:rPr>
          <w:rFonts w:ascii="Times New Roman;serif" w:hAnsi="Times New Roman;serif"/>
          <w:b w:val="false"/>
          <w:color w:val="231F20"/>
          <w:sz w:val="20"/>
        </w:rPr>
        <w:t>due to changes in our equity program.</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Gross margin increased to 77.3% for the nine months ended </w:t>
      </w:r>
      <w:r>
        <w:rPr>
          <w:rFonts w:ascii="Times New Roman;serif" w:hAnsi="Times New Roman;serif"/>
          <w:b w:val="false"/>
          <w:color w:val="231F20"/>
          <w:sz w:val="20"/>
        </w:rPr>
        <w:t>October 31, 2025</w:t>
      </w:r>
      <w:r>
        <w:rPr>
          <w:color w:val="000000"/>
        </w:rPr>
        <w:t xml:space="preserve"> </w:t>
      </w:r>
      <w:r>
        <w:rPr>
          <w:rFonts w:ascii="Times New Roman;serif" w:hAnsi="Times New Roman;serif"/>
          <w:b w:val="false"/>
          <w:color w:val="000000"/>
          <w:sz w:val="20"/>
        </w:rPr>
        <w:t xml:space="preserve">from 75.8% for the nine months ended </w:t>
      </w:r>
      <w:r>
        <w:rPr>
          <w:rFonts w:ascii="Times New Roman;serif" w:hAnsi="Times New Roman;serif"/>
          <w:b w:val="false"/>
          <w:color w:val="231F20"/>
          <w:sz w:val="20"/>
        </w:rPr>
        <w:t>October 31, 2024,</w:t>
      </w:r>
      <w:r>
        <w:rPr>
          <w:color w:val="000000"/>
        </w:rPr>
        <w:t xml:space="preserve"> </w:t>
      </w:r>
      <w:r>
        <w:rPr>
          <w:rFonts w:ascii="Times New Roman;serif" w:hAnsi="Times New Roman;serif"/>
          <w:b w:val="false"/>
          <w:color w:val="000000"/>
          <w:sz w:val="20"/>
        </w:rPr>
        <w:t xml:space="preserve">mainly due to </w:t>
      </w:r>
      <w:r>
        <w:rPr>
          <w:rFonts w:ascii="Times New Roman;serif" w:hAnsi="Times New Roman;serif"/>
          <w:b w:val="false"/>
          <w:color w:val="231F20"/>
          <w:sz w:val="20"/>
        </w:rPr>
        <w:t>a decrease in stock-based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6279"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39"/>
        <w:gridCol w:w="241"/>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 xml:space="preserve">Research and development expense for the nine months ended October 31, 2025 decreased by $13.3 million, or 2.1%, compared to the nine months ended October 31, 2024. The decrease was mainly driven by a $40.4 million </w:t>
      </w:r>
      <w:r>
        <w:rPr>
          <w:rFonts w:ascii="Times New Roman;serif" w:hAnsi="Times New Roman;serif"/>
          <w:b w:val="false"/>
          <w:color w:val="000000"/>
          <w:sz w:val="20"/>
        </w:rPr>
        <w:t>decrease</w:t>
      </w:r>
      <w:r>
        <w:rPr>
          <w:color w:val="231F20"/>
        </w:rPr>
        <w:t xml:space="preserve"> </w:t>
      </w:r>
      <w:r>
        <w:rPr>
          <w:rFonts w:ascii="Times New Roman;serif" w:hAnsi="Times New Roman;serif"/>
          <w:b w:val="false"/>
          <w:color w:val="231F20"/>
          <w:sz w:val="20"/>
        </w:rPr>
        <w:t>in stock-based compensation due to changes in our equity program, largely offset by continued investments in AI innovation,</w:t>
      </w:r>
      <w:r>
        <w:rPr>
          <w:color w:val="000000"/>
        </w:rPr>
        <w:t xml:space="preserve"> </w:t>
      </w:r>
      <w:r>
        <w:rPr>
          <w:rFonts w:ascii="Times New Roman;serif" w:hAnsi="Times New Roman;serif"/>
          <w:b w:val="false"/>
          <w:color w:val="000000"/>
          <w:sz w:val="20"/>
        </w:rPr>
        <w:t xml:space="preserve">including a </w:t>
      </w:r>
      <w:r>
        <w:rPr>
          <w:rFonts w:ascii="Times New Roman;serif" w:hAnsi="Times New Roman;serif"/>
          <w:b w:val="false"/>
          <w:color w:val="231F20"/>
          <w:sz w:val="20"/>
        </w:rPr>
        <w:t>$18.9 million</w:t>
      </w:r>
      <w:r>
        <w:rPr>
          <w:color w:val="000000"/>
        </w:rPr>
        <w:t xml:space="preserve"> </w:t>
      </w:r>
      <w:r>
        <w:rPr>
          <w:rFonts w:ascii="Times New Roman;serif" w:hAnsi="Times New Roman;serif"/>
          <w:b w:val="false"/>
          <w:color w:val="000000"/>
          <w:sz w:val="20"/>
        </w:rPr>
        <w:t>increase in personnel related expenses from higher headcount, along with additional costs associated with AI-related software and facilities.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6024" w:type="dxa"/>
        <w:jc w:val="left"/>
        <w:tblInd w:w="0" w:type="dxa"/>
        <w:tblLayout w:type="fixed"/>
        <w:tblCellMar>
          <w:top w:w="28" w:type="dxa"/>
          <w:left w:w="28" w:type="dxa"/>
          <w:bottom w:w="28" w:type="dxa"/>
          <w:right w:w="28" w:type="dxa"/>
        </w:tblCellMar>
      </w:tblPr>
      <w:tblGrid>
        <w:gridCol w:w="634"/>
        <w:gridCol w:w="558"/>
        <w:gridCol w:w="562"/>
        <w:gridCol w:w="211"/>
        <w:gridCol w:w="976"/>
        <w:gridCol w:w="109"/>
        <w:gridCol w:w="109"/>
        <w:gridCol w:w="109"/>
        <w:gridCol w:w="109"/>
        <w:gridCol w:w="211"/>
        <w:gridCol w:w="976"/>
        <w:gridCol w:w="109"/>
        <w:gridCol w:w="109"/>
        <w:gridCol w:w="109"/>
        <w:gridCol w:w="109"/>
        <w:gridCol w:w="239"/>
        <w:gridCol w:w="241"/>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 xml:space="preserve">Sales and marketing expense for the nine months ended October 31, 2025 decreased by $39.7 million, or 3.7%, compared to the nine months ended October 31, 2024. The decrease in sales and marketing expense was mainly driven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231F20"/>
          <w:sz w:val="20"/>
        </w:rPr>
        <w:t xml:space="preserve">$49.3 million </w:t>
      </w:r>
      <w:r>
        <w:rPr>
          <w:rFonts w:ascii="Times New Roman;serif" w:hAnsi="Times New Roman;serif"/>
          <w:b w:val="false"/>
          <w:color w:val="000000"/>
          <w:sz w:val="20"/>
        </w:rPr>
        <w:t>decrease</w:t>
      </w:r>
      <w:r>
        <w:rPr>
          <w:color w:val="231F20"/>
        </w:rPr>
        <w:t xml:space="preserve"> </w:t>
      </w:r>
      <w:r>
        <w:rPr>
          <w:rFonts w:ascii="Times New Roman;serif" w:hAnsi="Times New Roman;serif"/>
          <w:b w:val="false"/>
          <w:color w:val="231F20"/>
          <w:sz w:val="20"/>
        </w:rPr>
        <w:t>in stock-based compensation due to changes in our equity program, partially offset by costs to support our customer engagement and growth initiatives.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6385" w:type="dxa"/>
        <w:jc w:val="left"/>
        <w:tblInd w:w="0" w:type="dxa"/>
        <w:tblLayout w:type="fixed"/>
        <w:tblCellMar>
          <w:top w:w="28" w:type="dxa"/>
          <w:left w:w="28" w:type="dxa"/>
          <w:bottom w:w="28" w:type="dxa"/>
          <w:right w:w="28" w:type="dxa"/>
        </w:tblCellMar>
      </w:tblPr>
      <w:tblGrid>
        <w:gridCol w:w="837"/>
        <w:gridCol w:w="735"/>
        <w:gridCol w:w="737"/>
        <w:gridCol w:w="211"/>
        <w:gridCol w:w="826"/>
        <w:gridCol w:w="109"/>
        <w:gridCol w:w="109"/>
        <w:gridCol w:w="109"/>
        <w:gridCol w:w="109"/>
        <w:gridCol w:w="211"/>
        <w:gridCol w:w="826"/>
        <w:gridCol w:w="109"/>
        <w:gridCol w:w="109"/>
        <w:gridCol w:w="109"/>
        <w:gridCol w:w="109"/>
        <w:gridCol w:w="293"/>
        <w:gridCol w:w="293"/>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General and administrative expense for the nine months ended October 31, 2025 decreased by $73.1 million, or 21.1%, compared to the nine months ended October 31, 2024. The favorable variance was primarily driven by a $36.0 million change related to an SEC investigation accrual recorded in the prior year and reversed in the current year, as well as a $24.6 million reduction in stock-based compensation and a $7.7 million decrease in acquisition-related expenses.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Gains on Strategic Investments, Net</w:t>
      </w:r>
    </w:p>
    <w:tbl>
      <w:tblPr>
        <w:tblW w:w="6696" w:type="dxa"/>
        <w:jc w:val="left"/>
        <w:tblInd w:w="0" w:type="dxa"/>
        <w:tblLayout w:type="fixed"/>
        <w:tblCellMar>
          <w:top w:w="28" w:type="dxa"/>
          <w:left w:w="28" w:type="dxa"/>
          <w:bottom w:w="28" w:type="dxa"/>
          <w:right w:w="28" w:type="dxa"/>
        </w:tblCellMar>
      </w:tblPr>
      <w:tblGrid>
        <w:gridCol w:w="1064"/>
        <w:gridCol w:w="935"/>
        <w:gridCol w:w="940"/>
        <w:gridCol w:w="211"/>
        <w:gridCol w:w="826"/>
        <w:gridCol w:w="109"/>
        <w:gridCol w:w="109"/>
        <w:gridCol w:w="109"/>
        <w:gridCol w:w="109"/>
        <w:gridCol w:w="211"/>
        <w:gridCol w:w="721"/>
        <w:gridCol w:w="109"/>
        <w:gridCol w:w="109"/>
        <w:gridCol w:w="109"/>
        <w:gridCol w:w="109"/>
        <w:gridCol w:w="268"/>
        <w:gridCol w:w="268"/>
        <w:gridCol w:w="380"/>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Gains on strategic investments, net for the nine months ended October 31, 2025 and October 31, 2024 were primarily driven by changes in the fair value of our privately held securities.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5530" w:type="dxa"/>
        <w:jc w:val="left"/>
        <w:tblInd w:w="0" w:type="dxa"/>
        <w:tblLayout w:type="fixed"/>
        <w:tblCellMar>
          <w:top w:w="28" w:type="dxa"/>
          <w:left w:w="28" w:type="dxa"/>
          <w:bottom w:w="28" w:type="dxa"/>
          <w:right w:w="28" w:type="dxa"/>
        </w:tblCellMar>
      </w:tblPr>
      <w:tblGrid>
        <w:gridCol w:w="564"/>
        <w:gridCol w:w="497"/>
        <w:gridCol w:w="499"/>
        <w:gridCol w:w="211"/>
        <w:gridCol w:w="826"/>
        <w:gridCol w:w="109"/>
        <w:gridCol w:w="109"/>
        <w:gridCol w:w="109"/>
        <w:gridCol w:w="109"/>
        <w:gridCol w:w="211"/>
        <w:gridCol w:w="826"/>
        <w:gridCol w:w="109"/>
        <w:gridCol w:w="109"/>
        <w:gridCol w:w="109"/>
        <w:gridCol w:w="109"/>
        <w:gridCol w:w="239"/>
        <w:gridCol w:w="241"/>
        <w:gridCol w:w="54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5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Other income, net for the nine months ended October 31, 2025 decreased by $2.9 million, or 1.1%, compared to the nine months ended October 31, 2024. The decrease was primarily due to a $13.6 million</w:t>
      </w:r>
      <w:r>
        <w:rPr>
          <w:color w:val="000000"/>
        </w:rPr>
        <w:t xml:space="preserve"> </w:t>
      </w:r>
      <w:r>
        <w:rPr>
          <w:rFonts w:ascii="Times New Roman;serif" w:hAnsi="Times New Roman;serif"/>
          <w:b w:val="false"/>
          <w:color w:val="000000"/>
          <w:sz w:val="20"/>
        </w:rPr>
        <w:t xml:space="preserve">decrease in interest income from cash and marketable securities </w:t>
      </w:r>
      <w:r>
        <w:rPr>
          <w:rFonts w:ascii="Times New Roman;serif" w:hAnsi="Times New Roman;serif"/>
          <w:b w:val="false"/>
          <w:color w:val="231F20"/>
          <w:sz w:val="20"/>
        </w:rPr>
        <w:t xml:space="preserve">resulting from the declining interest rate environment, </w:t>
      </w:r>
      <w:r>
        <w:rPr>
          <w:rFonts w:ascii="Times New Roman;serif" w:hAnsi="Times New Roman;serif"/>
          <w:b w:val="false"/>
          <w:color w:val="000000"/>
          <w:sz w:val="20"/>
        </w:rPr>
        <w:t xml:space="preserve">largely offset by a </w:t>
      </w:r>
      <w:r>
        <w:rPr>
          <w:rFonts w:ascii="Times New Roman;serif" w:hAnsi="Times New Roman;serif"/>
          <w:b w:val="false"/>
          <w:color w:val="231F20"/>
          <w:sz w:val="20"/>
        </w:rPr>
        <w:t xml:space="preserve">$10.4 million </w:t>
      </w:r>
      <w:r>
        <w:rPr>
          <w:rFonts w:ascii="Times New Roman;serif" w:hAnsi="Times New Roman;serif"/>
          <w:b w:val="false"/>
          <w:color w:val="000000"/>
          <w:sz w:val="20"/>
        </w:rPr>
        <w:t xml:space="preserve">increase </w:t>
      </w:r>
      <w:r>
        <w:rPr>
          <w:rFonts w:ascii="Times New Roman;serif" w:hAnsi="Times New Roman;serif"/>
          <w:b w:val="false"/>
          <w:color w:val="231F20"/>
          <w:sz w:val="20"/>
        </w:rPr>
        <w:t>from</w:t>
      </w:r>
      <w:r>
        <w:rPr>
          <w:color w:val="000000"/>
        </w:rPr>
        <w:t xml:space="preserve"> </w:t>
      </w:r>
      <w:r>
        <w:rPr>
          <w:rFonts w:ascii="Times New Roman;serif" w:hAnsi="Times New Roman;serif"/>
          <w:b w:val="false"/>
          <w:color w:val="000000"/>
          <w:sz w:val="20"/>
        </w:rPr>
        <w:t>changes in foreign currency exchange rates.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6281" w:type="dxa"/>
        <w:jc w:val="left"/>
        <w:tblInd w:w="0" w:type="dxa"/>
        <w:tblLayout w:type="fixed"/>
        <w:tblCellMar>
          <w:top w:w="28" w:type="dxa"/>
          <w:left w:w="28" w:type="dxa"/>
          <w:bottom w:w="28" w:type="dxa"/>
          <w:right w:w="28" w:type="dxa"/>
        </w:tblCellMar>
      </w:tblPr>
      <w:tblGrid>
        <w:gridCol w:w="825"/>
        <w:gridCol w:w="726"/>
        <w:gridCol w:w="729"/>
        <w:gridCol w:w="211"/>
        <w:gridCol w:w="826"/>
        <w:gridCol w:w="109"/>
        <w:gridCol w:w="109"/>
        <w:gridCol w:w="109"/>
        <w:gridCol w:w="109"/>
        <w:gridCol w:w="211"/>
        <w:gridCol w:w="826"/>
        <w:gridCol w:w="109"/>
        <w:gridCol w:w="109"/>
        <w:gridCol w:w="109"/>
        <w:gridCol w:w="109"/>
        <w:gridCol w:w="255"/>
        <w:gridCol w:w="256"/>
        <w:gridCol w:w="54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 xml:space="preserve">Provision for income taxes for the nine months ended October 31, 2025 increased by $109.7 million, or 49.2%, compared to the nine months ended October 31, 2024. </w:t>
      </w:r>
      <w:r>
        <w:rPr>
          <w:rFonts w:ascii="Times New Roman;serif" w:hAnsi="Times New Roman;serif"/>
          <w:b w:val="false"/>
          <w:color w:val="000000"/>
          <w:sz w:val="20"/>
        </w:rPr>
        <w:t>The year-over-year change was</w:t>
      </w:r>
      <w:r>
        <w:rPr>
          <w:color w:val="231F20"/>
        </w:rPr>
        <w:t xml:space="preserve"> </w:t>
      </w:r>
      <w:r>
        <w:rPr>
          <w:rFonts w:ascii="Times New Roman;serif" w:hAnsi="Times New Roman;serif"/>
          <w:b w:val="false"/>
          <w:color w:val="231F20"/>
          <w:sz w:val="20"/>
        </w:rPr>
        <w:t xml:space="preserve">due </w:t>
      </w:r>
      <w:r>
        <w:rPr>
          <w:rFonts w:ascii="Times New Roman;serif" w:hAnsi="Times New Roman;serif"/>
          <w:b w:val="false"/>
          <w:color w:val="000000"/>
          <w:sz w:val="20"/>
        </w:rPr>
        <w:t>primarily to an increase in income before taxes offset by a decrease in tax shortfalls and increase in tax benefits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October 31, 2025, our principal sources of liquidity were cash, cash equivalents, and marketable securities of $7.9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finance our operations primarily through income from operations. Cash from operations may also be affected by various risks and uncertainties, including, but not limited to, macroeconomic factors, such as geopolitical conflicts, tariffs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trade tensions, inflationary pressures, interest rate fluctuations, and the fluctuations in foreign currency exchange rates. These factors and other risks detailed in the section titled “Risk Factors” could impact the timing of cash collections from our customers.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enter into debt agreements on terms acceptable to us or at all. If we are unable to raise additional capital when desired, our business, results of operations, and financial condition would be materially and adversely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for the additional outstanding non-cancelable purchase obligations disclosed in Footnote 6, Commitments and Contingencies, included in Part I, Item 1 on this Form 10-Q, there have been no material changes to our material cash requirements from known contractual and other obligations from those disclosed in our Management’s Discussion and Analysis of Financial Condition and Results of Operations, included in our Annual Report on Form 10-K for the year ended January 31, 2025, filed with the SEC on February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579" w:type="dxa"/>
        <w:jc w:val="left"/>
        <w:tblInd w:w="0" w:type="dxa"/>
        <w:tblLayout w:type="fixed"/>
        <w:tblCellMar>
          <w:top w:w="28" w:type="dxa"/>
          <w:left w:w="28" w:type="dxa"/>
          <w:bottom w:w="28" w:type="dxa"/>
          <w:right w:w="28" w:type="dxa"/>
        </w:tblCellMar>
      </w:tblPr>
      <w:tblGrid>
        <w:gridCol w:w="1254"/>
        <w:gridCol w:w="1104"/>
        <w:gridCol w:w="1107"/>
        <w:gridCol w:w="211"/>
        <w:gridCol w:w="1051"/>
        <w:gridCol w:w="109"/>
        <w:gridCol w:w="109"/>
        <w:gridCol w:w="109"/>
        <w:gridCol w:w="109"/>
        <w:gridCol w:w="211"/>
        <w:gridCol w:w="105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$1,634.5 million for the nine months ended October 31, 2025, compared to $1,520.7 million for the nine months ended October 31, 2024. The increase primarily reflects higher net income, partially offset by increases in non-cash adjustments, including gains from strategic investments and stock-based compensation expense.</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Net cash used in investing activities of $330.2 million</w:t>
      </w:r>
      <w:r>
        <w:rPr>
          <w:color w:val="231F20"/>
        </w:rPr>
        <w:t xml:space="preserve"> </w:t>
      </w:r>
      <w:r>
        <w:rPr>
          <w:rFonts w:ascii="Times New Roman;serif" w:hAnsi="Times New Roman;serif"/>
          <w:b w:val="false"/>
          <w:color w:val="000000"/>
          <w:sz w:val="20"/>
        </w:rPr>
        <w:t>for the nine months ended October 31, 2025 was primarily driven by net purchases of marketable securities of $257.2 million, purchases of property and equipment of $48.9 million, and purchases of strategic investments of $27.5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$1,101.1 million for the nine months ended October 31, 2024 was primarily due to net purchases of marketable securities of $964.3 million, purchases of property and equipment of $128.2 million, and purchases of strategic investments of $13.5 million.</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of $1,451.4 million for the nine months ended October 31, 2025 was primarily due to cash paid for repurchases of common stock, including excise taxes, of $1,297.0 million and taxes paid related to net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settlement of equity awards of $192.3 million, partially offset by proceeds from the issuance of common stock under our ESPP of $36.1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of $699.1 million for the nine months ended October 31, 2024 was primarily due to cash paid for repurchases of common stock of $739.3 million, partially offset by proceeds from the issuance of common stock under our ESPP of $34.3 million.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2024, our Board of Directors authorized a stock repurchase program of up to $1.5 billion of our Class A common stock. In November 2024, our Board of Directors authorized the repurchase of an additional $1.2 billion of our outstanding Class A common stock. In November 2025, our Board of Directors authorized another $1.0 billion in repurchases of our outstanding Class A common stock. Repurchases of our Class A common stock may be effected, from time to time, either on the open market (including pre-set trading plans), in privately negotiated transactions, and other transactions in accordance with applicable securities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October 31, 2025, we repurchased and subsequently retired 5,111,488 and 16,624,306 shares of our Class A common stock, respectively, for an aggregate amount of $414.4 million and $1,295.8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compared to the critical accounting estimates described in our Management’s Discussion and Analysis of Financial Condition and Results of Operations, included in our Annual Report on Form 10-K for the year ended January 31, 2025, filed with the SEC on February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erif" w:hAnsi="Times New Roman;serif"/>
          <w:b/>
          <w:color w:val="000000"/>
          <w:sz w:val="20"/>
        </w:rPr>
      </w:pPr>
      <w:r>
        <w:rPr>
          <w:rFonts w:ascii="Times New Roman;serif" w:hAnsi="Times New Roman;serif"/>
          <w:b/>
          <w:color w:val="000000"/>
          <w:sz w:val="20"/>
        </w:rPr>
        <w:t>Item 3.    QUALITATIVE AND QUANTITATIVE DISCLOSURES ABOUT MARKET RISK</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Foreign Currency and Exchange Risk</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majority of our cash generated from revenue is denominated in U.S. dollars, with a portion in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nine months ended </w:t>
      </w:r>
      <w:r>
        <w:rPr>
          <w:rFonts w:ascii="Times New Roman;serif" w:hAnsi="Times New Roman;serif"/>
          <w:b w:val="false"/>
          <w:color w:val="231F20"/>
          <w:sz w:val="20"/>
        </w:rPr>
        <w:t>October 31, 2025</w:t>
      </w:r>
      <w:r>
        <w:rPr>
          <w:color w:val="000000"/>
        </w:rPr>
        <w:t xml:space="preserve"> </w:t>
      </w:r>
      <w:r>
        <w:rPr>
          <w:rFonts w:ascii="Times New Roman;serif" w:hAnsi="Times New Roman;serif"/>
          <w:b w:val="false"/>
          <w:color w:val="000000"/>
          <w:sz w:val="20"/>
        </w:rPr>
        <w:t>and 2024, 19.7% and 19.3% of our revenue, respectively, and 19.9% and 15.1%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and nine months ended October 31, 2025 and 2024. As the impact of foreign currency exchange rates has not been material to our historical operating results, we have not entered into derivative or hedging transactions, but we may do so in the future if our exposure to foreign currency becomes more significant.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of $1,215.9 million and marketable securities of $6,727.4 million as of October 31, 2025.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37" name="Frame3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nine months ended October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Times New Roman;serif" w:hAnsi="Times New Roman;serif"/>
          <w:b w:val="false"/>
          <w:color w:val="231F20"/>
          <w:sz w:val="20"/>
        </w:rPr>
        <w:t>October 31, 2025</w:t>
      </w:r>
      <w:r>
        <w:rPr>
          <w:rFonts w:ascii="Times New Roman;serif" w:hAnsi="Times New Roman;serif"/>
          <w:b w:val="false"/>
          <w:color w:val="000000"/>
          <w:sz w:val="20"/>
        </w:rPr>
        <w:t>, our disclosure controls and procedures were effective at a reasonable assurance level.</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There has been no change in our internal control over financial reporting (as defined in Rules 13a-15(d) and 15d-15(d) under the Exchange Act) that occurred during the quarter ended </w:t>
      </w:r>
      <w:r>
        <w:rPr>
          <w:rFonts w:ascii="Times New Roman;serif" w:hAnsi="Times New Roman;serif"/>
          <w:b w:val="false"/>
          <w:color w:val="231F20"/>
          <w:sz w:val="20"/>
        </w:rPr>
        <w:t xml:space="preserve">October 31, 2025 </w:t>
      </w:r>
      <w:r>
        <w:rPr>
          <w:rFonts w:ascii="Times New Roman;serif" w:hAnsi="Times New Roman;serif"/>
          <w:b w:val="false"/>
          <w:color w:val="000000"/>
          <w:sz w:val="20"/>
        </w:rPr>
        <w:t>that has materially affected, or is reasonably likely to materially affect, our internal control over financial reporting.</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Inherent Limitations on Effectiveness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38" name="Frame3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Information with respect to this item may be found in Note 6 - “Commitments and Contingencies” in the accompanying notes to the condensed consolidated financial statements included in Part I, Item 1, “Financial Statements” of this Quarterly Report on Form 10-Q, under “Legal Proceedings,”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dissatisfaction with our products and support, a customer no longer having a need for our products, or a belief that a competitor’s product is better, more secure, or less expensive than our products and platform. For example, during the COVID-19 pandemic, we saw a significant increase in usage and subscriptions. As a result, our customer base shifted largely from businesses and enterprises to a mix of businesses, enterprises, and consumers. Following the pandemic, some of our customers reduced or discontinued their use of our platform, and additional customers may do so in the future. Additionally, this shift in mix has resulted and may continue to result in higher non-renewal rates than we have experienced in the past.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revenue growth rate has fluctuated in prior periods, and may continue to decline in future periods.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growth has fluctuated in prior periods. You should not rely on the revenue growth of any prior quarterly or annual period as an indication of our future performance. There are no assurances we will be able to sustain our revenue growth in future periods, and our revenue growth rate may continue to remain flat or decline in future periods. Many factors have and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39" name="Frame3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business, among others. Our growth rate could adversely affect investors’ perceptions of our business and the trading price of our Class A common stock could be adversely affected.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serve our users from various co-located data centers located throughout the world. We also utilize cloud hosting services such as Amazon Web Services and Oracle Cloud for the hosting of certain critical aspects of our business and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(including cloud hosting)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Additionally, if our data centers or cloud hosting services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control, or in some cases have limited control over, the operation of the co-located data center facilities and cloud hosting services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or disruption of the cloud hosting services we use, it may take a significant period of time to achieve full resumption of our services and our disaster recovery planning may not account for all eventualities. Despite precautions taken at these data center facilities, the occurrence of a natural disaster, an act of terrorism, or other act of malfeasance, a decision to close the facilities without adequate notice or other unanticipated problems at the facilities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operate in competitive markets, and we must continue to compete effectively.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 for communication and collaboration technologies platforms is competitive and rapidly changing and includes companies ranging from new market entrants to hyperscalers that provide technologies to improve communication and collaboration technologies platforms either as bundled solutions or standalone products. Given the range of companies in this space, maintaining an open and robust marketplace with fair competition is important. Certain features of our current platform compete in the communication and collaboration technologies market with products offered by:</w:t>
      </w:r>
    </w:p>
    <w:p>
      <w:pPr>
        <w:pStyle w:val="TextBody"/>
        <w:bidi w:val="0"/>
        <w:spacing w:before="120" w:after="283"/>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bundled productivity suite providers with communication offerings, including Microsoft 365 (with Teams) and Google Workspace (with Meet);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legacy web-based meeting providers, including Cisco Webex and GoTo;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UCaaS and legacy PBX providers, including Avaya, RingCentral, and 8x8;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consumer-facing platforms that can support small- or medium-sized businesses, including Amazon, Apple, and Facebook.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40" name="Frame4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large established companies may also make investments in video communications tools. In addition, as we introduce new products and services into our platform, and with the introduction of new technologies and market entrants, including AI, we expect competition to continue to intensify.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2022, we launched Zoom Contact Center, an omnichannel contact center solution that is optimized for video, which competes against companies that offer similar services, such as Five9, Genesys, and NICE inContact, and new competitors that may enter that market in the future. As we continue to build out our platform, we may face increased competition from companies that offer similar services and new competitors that may enter that market in the future. During the COVID-19 pandemic, we saw a significant increase in usage and subscriptions from smaller customers, many of whom are consumers or small and medium-sized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customers and partner relationships; more third-party integrations; greater accessibility across devices and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In some cases, we have been forced to engage in price-cutting initiatives or other discounts to attract and retain customers in response to competitive pressures, and may have to do so in the future. We, on occasion, offer customers a free period of time at the beginning of the subscription term that can result in deferred billings or long-term accounts receivable and increase the risk of loss on uncollected accounts receivable.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results have fluctuated and may in the future fluctuate significantly and may not fully reflect the underlying performance of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Fluctuations in our results may negatively impact the value of our securities. Factors that may cause fluctuations in our results of operations include, without limitation, those listed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retain and upgrade customers to higher-priced plans;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attract new customers and upgrade free users to one of our paid offerings;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hire and retain employees, in particular those responsible for the selling or marketing of our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hire, develop, and retain talented sales personnel who are able to achieve desired productivity levels in a reasonable period of time and provide sales leadership in areas in which we are expanding our sales and marketing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way we organize and compensate our sales teams;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of expenses and recognition of revenue;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increase sales to large organizations;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length of our sales cycles and linearity of our bookings, especially with respect to sales to large enterprises and highly regulated industries, including financial services and U.S. federal and state and foreign governmental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timing and effectiveness of new sales and marketing initiatives;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hire and retain experienced research and development personnel to design new products, features, and functionality that meet our privacy and security standards;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and success of new products, features, and functionality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interruptions or delays in our service, network outages, or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lawsuits, regulatory actions or investigations, legislator scrutiny, or negative publicity arising from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competitive dynamics of our industry, including consolidation among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laws and regulations that impact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large indemnification payments to our users or other third 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of expenses related to any future acquisitions;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and market conditions.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may be significantly affected by changes in the economy, such as high inflation and the responses by central banking authorities to control such inflation, recessionary or uncertain environments, fluctuations in the foreign currency exchange rates and geopolitical tensions and military conflicts, including the ongoing conflicts between Russia and Ukraine and in the Middle East, and tariffs, the threat of new or increased tariffs and trade tensions, including the United States' ongoing trade disputes with China and other countries.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As we increase sales to large organizations, our sales cycles have and could continue to lengthen, and we could experience greater deployment challenges.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invest significant resources into sales to large organizations.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some or all aspects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awareness of the communications and collaboration technologies category;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new modes of communications and collaboration that may be developed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reduction in customer information technology spending budgets, or a consolidation of spending budgets on our competitors' platforms, especially during periods of inflation or recessionary or uncertain economic environments;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ease of adoption and use;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features and platform experience;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reliability of our platform, including frequency of outages;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performance;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user support;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pricing.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be able to increase or maintain profitability in future periods. If we fail to grow our revenue sufficiently to keep pace with our investments and other expenses,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43" name="Frame4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provide, develop, and create applications for our platform partners that integrate our platform with our partners’ various offerings. For example, our Zoom Workplace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not be able to respond to rapid technological changes, extend our platform, or develop new features.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7205"/>
                <wp:effectExtent l="0" t="0" r="0" b="0"/>
                <wp:wrapNone/>
                <wp:docPr id="44" name="Frame4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use generative AI including in our products and services, which may result in operational challenges, legal liability, reputational concerns, competitive risks and regulatory concerns that could adversely affect our business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generative AI processes and algorithms, including by deploying generative AI features in our products and services, which may result in adverse effects to our operations, legal liability, reputation and competitive risks. The use of generative and agentic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rely on third parties for certain AI features of our products and if such third parties do not provide us those features (or do not do so on acceptable terms), experience interruptions, or cease operating, we may need to work with another provider, which may take time or may not be possible, and could result in the disruption of certain of our products or services, affect our reputation or brand, and negatively affect our financial results. We could also face claims from third parties claiming infringement of their intellectual property or other proprietary rights with respect to materials used or created by generative or agentic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We currently offer our AI features at no additional cost, as we believe they will ultimately enhance user satisfaction, improve customer retention, and drive revenue. If such benefits are not realized, the associated investment costs could further negatively impact our margins. Further, use of generative AI tools by our employees or others could result in disclosure of confidential or sensitive company and customer data, reputational harm, and legal liability.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failure to effectively develop and expand our marketing and sales capabilities could harm our ability to increase our customer base and achieve broader market acceptance of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Unlike traditional communications and collaboration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7205"/>
                <wp:effectExtent l="0" t="0" r="0" b="0"/>
                <wp:wrapNone/>
                <wp:docPr id="45" name="Frame4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proposing to reinstate the 2015 rules, and on April 24, 2024, adopted an order that substantially reinstated those rules. On January 2, 2025, the U.S. Court of Appeals for the Sixth Circuit issued a decision overturning the FCC order. A petition for rehearing of the decision filed by proponents of network neutrality was denied on March 11, 2025. On August 8, 2025, the proponents of network neutrality announced that they would not seek Supreme Court review of the Sixth Circuit decision. We cannot predict the impact of the Sixth Circuit decision and the reinstatement of the prior rules on our operations or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 number of states have adopted or are adopting or considering legislation or executive actions that would regulate the conduct of broadband providers, including legislation to impose state-level network requirements in New York. After a federal court judge denied a request for a preliminary injunction against California’s state-specific network neutrality law, California began enforcing that law on March 25, 2021. Several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The FCC’s April 24 order, which, as described above, was overturned by the Sixth Circuit Court of Appeals, permits it to preempt any state-level network neutrality requirements that go beyond the requirements adopted in that order, but specifically held that the California law would not be preempted. We cannot predict whether the FCC order or other state initiatives will be enforced, modified, overturned, or vacated by legal action of the court, federal legislation, or the FCC. Under the FCC’s 2018 rules, which currently remain in effect,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there are changes to the regulatory structures in the United States or elsewhere that reduce investment in infrastructure by internet service providers, including a return of the network neutrality regulations that were overturned, any impacts of reduced investment that reduce network capacity or speed could have a negative effect on our business, operating results, and financial condition.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security measures, and those of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if our products and services are perceived as not being secure, this could result in customers and users curtailing or ceasing their use of our products, us incurring significant liabilities, and our business being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with whom we work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We routinely investigate security incidents, which have occurred in the past and may occur in the future, that result in unauthorized access to, loss or unauthorized disclosure of, or inadvertent disclosure of confidential, proprietary, and sensitive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7205"/>
                <wp:effectExtent l="0" t="0" r="0" b="0"/>
                <wp:wrapNone/>
                <wp:docPr id="46" name="Frame4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with whom we work.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which could materially disrupt our systems and operations, supply chain, and ability to provide our services. We and the third parties with whom we work are subject to a variety of evolving threats, including but not limited to social-engineering attacks (including through deep fakes, which may be increasingly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Moreover, we and many similarly situated companies have been targeted by nation-state sponsored schemes intended to defraud companies through remote-work IT scams. While to date, these scams have not been successful, if they were to succeed, these scams could expose us to governmental and regulatory as well as market and media scrutiny regarding the actual or perceived integrity of our platform or data security, as well as other potential liability and consequences.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have discovered, and may in the future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customers may place certain security obligations on us. For example,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 If we fail to materially comply with these contractual requirements, we may be subject to investigations, audits or other adverse consequences.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our reliance on third parties has in the past and could continue to introduce new cybersecurity risks and vulnerabilities, including supply-chain attacks, and other threats to our business operations. We rely on third parties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and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supply chains have not been compromised.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our security measures are compromised, as has occurred in the past,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with whom we work,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7205"/>
                <wp:effectExtent l="0" t="0" r="0" b="0"/>
                <wp:wrapNone/>
                <wp:docPr id="47" name="Frame4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services and information systems that we may become aware of in the future, or there may be delays in developing patches that can be effectively deployed to address vulnerabilities.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with whom we work. A security incident or other interruption could disrupt our ability (and that of third parties with whom we work) to provide our services. We expend significant resources or modify our business activities to try to protect against security incidents. Additionally, certain privacy, data protection, and information security obligations require us to implement and maintain certain security measures or industry-standard or reasonable security measures to protect our information technology systems and sensitive data.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Many governments have enacted laws requiring companies to provide notice of data security incidents, including those recently promulgated by the SEC. These laws may also require us to take certain measures, such as providing credit monitoring to individuals. Such laws are inconsistent, compliance in the event of a widespread data breach is costly, and the disclosure or the failure to comply with such requirements could lead to adverse consequences. In addition, some of our customers require us to notify them of data security breaches.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97205"/>
                <wp:effectExtent l="0" t="0" r="0" b="0"/>
                <wp:wrapNone/>
                <wp:docPr id="48" name="Frame4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Actual or perceived security gaps or security compromises experienced in our industry or by our competitors, our customers, a third party with whom we work,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Increased usage of our services, novel uses of our services, and additional awareness of Zoom and our brand have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business depends on a strong brand, and if we are not able to maintain and enhance our brand, our ability to expand our base of users will be impaired and our business will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If we fail to manage our growth effectively, our business, financial condition and results of operations may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employee headcount both in the United States and internationally has generally increased over time, we have undertaken, and may undertake from time to time in the future, restructuring actions to better align our financial model.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7205"/>
                <wp:effectExtent l="0" t="0" r="0" b="0"/>
                <wp:wrapNone/>
                <wp:docPr id="49" name="Frame4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example, in February 2023, we commenced certain restructuring actions, designed to reduce operating costs and continue advancing our ongoing commitment to profitable growth.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ability to sell subscriptions to our platform could be harmed by real or perceived material defects or errors in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cause a reduction in revenue or delay in market acceptance of our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require us to issue refunds to our customers or expose us to claims for damages;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cause us to lose existing customers and make it more difficult to attract new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divert our development resources or require us to make extensive changes to our platform, which would increase our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 our technical support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harm our reputation and brand.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including the transition of our Chief Financial Officer in 2024,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failure to attract and retain additional qualified personnel or to maintain our happiness-centric company culture could harm our business and culture and prevent us from executing our business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97205"/>
                <wp:effectExtent l="0" t="0" r="0" b="0"/>
                <wp:wrapNone/>
                <wp:docPr id="50" name="Frame5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addresses the communications and collaboration needs of users worldwide, and we see international expansion as a major opportunity. Our revenue from APAC and EMEA collectively represented 28.0% and 28.2% of our revenue for the nine months ended October 31, 2025 and 2024, respectively.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7205"/>
                <wp:effectExtent l="0" t="0" r="0" b="0"/>
                <wp:wrapNone/>
                <wp:docPr id="51" name="Frame5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internationally subjects us to new risks and increases risks that we currently face, including risks associated with: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in foreign jurisdictions where the government may impede or interrupt our ability to provide our services or develop new products, features, and functionality;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management of an employee base in jurisdictions that may not give us the same employment and retention flexibility as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in jurisdictions that do not protect intellectual property rights to the same extent as the United States and the practical enforcement of such intellectual property rights outside of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integration with partners outside of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political and economic instability and other political tensions between countries in which we do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diplomatic and trade relationships, including the continuing deterioration in diplomatic relations between the United States and China, or deterioration in diplomatic relations between the United States and countries with which the United States has traditionally enjoyed close ties and alliances, and the ongoing conflicts between Russia and Ukraine and in the Middle East;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costs of doing business internationally, including increased accounting, travel, infrastructure, and legal compliance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7205"/>
                <wp:effectExtent l="0" t="0" r="0" b="0"/>
                <wp:wrapNone/>
                <wp:docPr id="52" name="Frame5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are subject to various U.S. and international anti-corruption laws, and any failure to comply with such laws could harm our business,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Geopolitical tension between the United States and China, or between other economies, such as Taiwan, and China, may intensify and lead to increased scrutiny of our business operations in China.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do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 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conducted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pStyle w:val="TextBody"/>
        <w:bidi w:val="0"/>
        <w:spacing w:lineRule="auto" w:line="252"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recognize revenue from subscriptions to our platform over the terms of these subscriptions. Consequently, increases or decreases in new sales may not be immediately reflected in our results of operations and may be difficult to discern.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7205"/>
                <wp:effectExtent l="0" t="0" r="0" b="0"/>
                <wp:wrapNone/>
                <wp:docPr id="53" name="Frame5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who increase their use of our platform or upgrade to a higher-priced plan must be recognized over the applicable subscription term.</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Any failure to offer high-quality support for our customers and users may harm our relationships with our customers and users and, consequently,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utilize our network of resellers to sell our products and services, and our failure to effectively develop, manage, and maintain our indirect sales channels would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 offerings and processes requires significant time and resources. For resellers in certain emerging markets, we may be unable to effectively oversee and quality-check certain processes, such as customer due diligence, which has and may continue to impact such resellers’ ability to implement robust customer verification protocols and mitigate fraud risk.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results of operations, which are reported in U.S. dollars, could be adversely affected if currency exchange rates fluctuate substantially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nine months ended October 31, 2025 and 2024, 19.7% and 19.3% of our revenue, respectively, and 19.9% and 15.1%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nine months ended October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7205"/>
                <wp:effectExtent l="0" t="0" r="0" b="0"/>
                <wp:wrapNone/>
                <wp:docPr id="54" name="Frame5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2025, our total revenue was lower than anticipated in part due to the strengthening of the U.S. dollar. We do not currently maintain a program to hedge exposures to non-U.S. dollar currencies.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sales to government entities and other government contractors are subject to a number of additional challenges and risks.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contracts with governmental entities are subject to termination for the convenience of the customer;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government certification requirements may change, or we may be unable to achieve or sustain one or more government certifications, including FedRAMP, which may restrict our ability to sell into the government sector until we have attained such certificates;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a U.S. government contractor, we may be subject to executive orders and regulatory changes affecting various aspects of our operations, including compliance with nondiscrimination plans, and any required elimination or modification of such plans in response to new executive orders could pose challenges in hiring or retaining employees and may lead to other adverse operational impacts, while failure to comply with these requirements could expose us to administrative, civil, or criminal liabilities, including fines, penalties, repayments or suspension or debarment from eligibility for future U.S. government contracts;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government demand and payment for our products may be influenced, among other things, by public sector budgetary cycles and funding authorizations, with funding reductions or delays having an adverse impact on public sector demand for our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become more reliant on contracts with government entities and/or other government contractors in the future, our exposure to such risks and challenges could increase, which in turn could adversely impact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2025, the current administration began issuing Executive Orders identifying new government policy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 implement the new Executive Orders. Such implementation could negatively affect our current and future business with U.S. government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7205"/>
                <wp:effectExtent l="0" t="0" r="0" b="0"/>
                <wp:wrapNone/>
                <wp:docPr id="55" name="Frame5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including those incorporating AI features,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who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have exposure to greater than anticipated tax liabilities, which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provision for taxes on our condensed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7205"/>
                <wp:effectExtent l="0" t="0" r="0" b="0"/>
                <wp:wrapNone/>
                <wp:docPr id="56" name="Frame5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the One Big Beautiful Bill Act (“OBBBA”) did not result in our being subject to the Corporate Alternative Minimum Tax (“CAMT”) for the current year, future changes in our financial results, business operations, or the interpretation and application of OBBBA provisions could cause us to become subject to CAMT in subsequent periods, which may materially increase our income tax liability.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certain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OECD has also been working on a Base Erosion and Profits Shifting project that, upon implementation, would change various aspects of the existing framework under which our tax obligations are determined in many of the countries in 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becoming effective during our fiscal year ended January 31, 2025, and the remaining rules becoming effective for our fiscal year ending January 31, 2026, or in later periods. Further, on June 28, 2025, the G7 released a joint statement that it had reached an understanding to modify the approach to Pillar Two, aiming to simplify administration of the rules.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have acquired and may continue to acquire other businesses or receive offers to be acquired, which could require significant management attention, disrupt our business, or dilute stockholder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have a limited operating history at the current scale of our business, which makes it difficult to evaluate our prospects and future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7205"/>
                <wp:effectExtent l="0" t="0" r="0" b="0"/>
                <wp:wrapNone/>
                <wp:docPr id="57" name="Frame5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rely on data from tools to calculate certain of our key business metrics. Real or perceived inaccuracies in such metrics may harm our reputation and negatively affect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continually seeking to improve our ability to measure our key business metrics, and regularly review our processes to assess potential improvements.</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Risks Related to Laws and Regulations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and has in the past harmed, our reputation and business and subject us to significant fines and liability.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and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Laws in the United States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privacy, data protection, and information security laws, including data breach notification laws, personal information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fines and allows private litigants affected by certain data breaches to recover significant statutory damages. Similar laws have been enacted and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are required to obtain certain consents to process personal information. For example, some of our data processing practices may be challenged under wiretapping laws when we obtain consumer information from third parties through various methods, including AI features, chatbot and session replay providers, or via third-party marketing pixels. These practices are subject to increased challenges by class action plaintiffs. Several states and foreign jurisdictions have enacted statutes imposing obligations on businesses collecting or processing biometric information. For example, Illinois’ Biometric Information Privacy Act (“BIPA”) regulates the collection, use, safeguarding, and storage of biometric information and provides for substantial penalties and statutory damages. The Federal Trade Commission (“FTC”), has indicated that use of biometric technologies (including facial recognition technologies) may be subject to additional scrutiny. Our inability or failure to obtain consent for these practices could result in adverse consequences, including class action litigation, mass arbitration demands, and regulatory attention. Additionally, the U.S. Department of Justice issued a rule entitled the Preventing Access to U.S. Sensitive Personal Data and Government-Related Data by Countries of Concern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97205"/>
                <wp:effectExtent l="0" t="0" r="0" b="0"/>
                <wp:wrapNone/>
                <wp:docPr id="58" name="Frame5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Laws Outside of the United States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regulations, and industry standards related to privacy, data protection, and information security may govern.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China’s PIPL imposes a set of specific obligations on covered businesses in connection with their processing and transfer of personal information and imposes fines of up to RMB 50 million or 5% of the prior year’s total annual revenue of the violator. The Swiss Federal Act on Data Protection (“FADP”), also applies to the collection and processing of personal information, including health-related information, by companies located in Switzerland, or in certain circumstances, by companies located outside of Switzerland.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market to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 The United States is also increasingly scrutinizing certain data transfers and may also impose certain data localization requirements.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become subject to new laws that regulate non-personal information.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information outside the EEA. Depending on how this Act and any similar laws are implemented and interpreted, we may have to adapt our business practices, contractual arrangements, and products and services to comply with such obligations.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97205"/>
                <wp:effectExtent l="0" t="0" r="0" b="0"/>
                <wp:wrapNone/>
                <wp:docPr id="59" name="Frame5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Artificial Intelligence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development and use of AI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technology featuring AI. For example, the EU's AI Act enters in phases this year and will have a direct effect across all EU jurisdictions.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Obligations on AI may make it harder for us to conduct our business using, or build products incorporating, AI, require us to change our business practices, require us to retrain our algorithms, require us to disclose or provide greater transparency regarding the nature of our AI tools and the data we have employed to train them, or prevent or limit our use of AI. For example, the FTC has required other companies to turn over (or disgorge) valuable insights or trainings generated through the use of AI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 If we do not develop or incorporate AI in a manner consistent with these factors, and consistent with customer expectations, it has in the past and may in the future result in an adverse impact to our reputation, our business may be less efficient, or we may be at a competitive disadvantage. Similarly, if customers and users do not widely adopt our new product AI experiences, features, and capabilities, or they do not perform as expected, we may not be able to realize a return on our investment.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Laws Relating to Minors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and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Consumer Preferences and Protection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97205"/>
                <wp:effectExtent l="0" t="0" r="0" b="0"/>
                <wp:wrapNone/>
                <wp:docPr id="60" name="Frame6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For example, in September 2024, the FCC adopted new rules scheduled to take effect in 2027 that require video conferencing services to include features that expand accessibility requirements for consumers of our products and services.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Industry Standards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privacy, data protection and information security laws, we are contractually subject to certain industry standards adopted by industry groups and may become subject to additional such obligations in the future. We also have certain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 or cannot comply with such contractual obligations, our reputation and business may be harmed. We also publish privacy policies, marketing materials, whitepapers and other statements, such as compliance with certain certifications or self-regulatory principles, regarding privacy, data protection, artificial intelligence and information security. Regulators in the United States have scrutinized and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Government Inquiries and Investigations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II, Item 1 “Legal Proceedings” for additional information.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On July 30, 2025, the SEC informed us that their investigation has concluded and they do not intend to recommend an enforcement action. The EDNY and NDCA investigations are ongoing, and a negative outcome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97205"/>
                <wp:effectExtent l="0" t="0" r="0" b="0"/>
                <wp:wrapNone/>
                <wp:docPr id="61" name="Frame6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or all of these matters could cause us to incur substantial fines, penalties, or other financial exposure, as well as material reputational harm, a loss of customer and user confidence and business, additional expenses, and other harm to our business. We do not know when the EDNY and NDCA matters will be completed, which facts we will ultimately discover as a result of the investigations, or what actions the government may or may not take.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Consents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Public Perception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Failure to Comply with our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has and may continue to necessitate changes to our services, information technologies, systems, and practices and to those of any third parties that process personal information on our behalf.</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97205"/>
                <wp:effectExtent l="0" t="0" r="0" b="0"/>
                <wp:wrapNone/>
                <wp:docPr id="62" name="Frame6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Changes in government trade policies, including the imposition of tariffs and export restrictions, could limit our ability to sell our products to certain customers, which may have a material adverse effect on our sales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or foreign governments have taken and may in the future take administrative, legislative, or regulatory action, including imposing tariffs, that could materially interfere with our ability to sell products in certain countries, and the recent announcements of substantial new tariffs and other restrictive trade policies have created a dynamic and unpredictable trade landscape, which may adversely impact our business.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current administration or future administrations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the U.S. Government has expressed concerns with the security of information and communications technology and services (“ICTS”) sourced from providers in China, Russia, and other jurisdictions. In May 2019, an executive order was issued invoking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be subject to additional liabilities on past sales for taxes, surcharges, and fees.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due to licensing requirements and subject us to liability if we are not in compliance with applicable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97205"/>
                <wp:effectExtent l="0" t="0" r="0" b="0"/>
                <wp:wrapNone/>
                <wp:docPr id="63" name="Frame6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processes,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Changes in law or policy could compel us or limit our ability to engage in content moderation, or otherwise limit the ability of users to engage in inappropriate or harmful behavior, and could expose us to liability.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The current administration and many members of Congress from both parties support the reform or repeal of Section 230, so the possibility of Congressional action remains. In addition, the FCC is considering a petition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There is no schedule for action by the FCC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97205"/>
                <wp:effectExtent l="0" t="0" r="0" b="0"/>
                <wp:wrapNone/>
                <wp:docPr id="64" name="Frame6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that, if successful, would greatly limit the scope of Section 230. The U.S. Supreme Court recently declined to limit the applicability of Section 230 in certain circumstances, but future cases may not yield the same results and</w:t>
      </w:r>
      <w:r>
        <w:rPr>
          <w:color w:val="000000"/>
        </w:rPr>
        <w:t xml:space="preserve"> </w:t>
      </w:r>
      <w:r>
        <w:rPr>
          <w:rFonts w:ascii="Times New Roman;serif" w:hAnsi="Times New Roman;serif"/>
          <w:b w:val="false"/>
          <w:color w:val="000000"/>
          <w:sz w:val="20"/>
        </w:rPr>
        <w:t>a recent decision by the U.S. Court of Appeals for the Third Circuit would limit the applicability of Section 230 to curated content.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Implementation of the Florida and Texas statutes has been stayed by various federal courts, including the U.S. Supreme Court. On August 18, 2022,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it would review both the Florida and Texas decisions, and on July 1, 2024, the Court issued a decision returning both cases to the trial courts for additional analysis. The district court in Texas, on August 29, 2024, issued a decision staying some portions of the Texas law and allowing others to go into effect, relying on analysis under both Section 230 and the First Amendment, on November 18, 2024, the Fifth Circuit issued an order setting parameters for the district court's consideration of the issues raised by the Supreme Court and on January 31, 2025, the plaintiffs refiled their complaint with revisions to reflect the Supreme Court decision. The August 2024 decision is subject to a pending appeal. The district court in Florida denied a motion to dismiss the suit in that state on May 22, 2025. Florida amended its statute in an effort to address issues that led the court to issue the stay. It is likely that any other such state legislation also would be challenged under the First Amendment to the U.S. Constitution and on the ground that it is preempted by Section 230. In addition, on August 27, 2024, the U.S. Court of Appeals for the Third Circuit issued a decision limiting the protections afforded by Section 230 in cases where a social media company curates user feeds to the extent that the feed becomes the speech of the company, reversing a trial court decision that immunized the company under Section 230. We cannot predict whether any such state legislation will be adopted, enforced, modified, overturned, or vacated.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noBreakHyphen/>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Federal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In June 2025, the Supreme Court rejected a challenge to the USF contribution rules. However, a new lawsuit has been filed seeking to invalidate the system on other grounds in the U.S. Court of Appeals for the Fifth Circuit on October 1, 2025.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97205"/>
                <wp:effectExtent l="0" t="0" r="0" b="0"/>
                <wp:wrapNone/>
                <wp:docPr id="65" name="Frame6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described above, the FCC reinstated its prior network neutrality regulations in 2024, but the FCC order was reversed by the Sixth Circuit Court of Appeals.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 and have been challenged in federal court. The initial appeal of the rules was denied in August 2025, but the time for appeal to the U.S. Supreme Court has not expired. We cannot predict the impact of the new rules on our operations or business or whether they will be overturned in court.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the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 On May 27, 2025, the FCC released a notice of proposed rulemaking that proposes requiring companies holding FCC licenses or authorizations to certify whether they are owned, controlled, or subject to the authority of foreign adversaries and, if so, to disclose their ownership. We cannot predict if or when the FCC will adopt the proposed rules or similar rules and any impact on our operations or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12, 2025, the FCC opened a proceeding to begin the process of identifying FCC rules, regulations, and guidance documents for elimination or modification to alleviate unnecessary regulatory burdens and eliminating or modifying such rules. This proceeding could result in substantial changes to the FCC’s rules, including the elimination or modification of rules that impose burdens on us and rules that benefit us, including those that prevent anticompetitive behavior by competitors. We cannot predict which rules will be affected by this initiative, when the FCC will act, or the impact of any elimination or modification of existing FCC rules on our operations or business.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State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has adopted an order requiring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The FCC’s April 25 order permits it to preempt any state-level network neutrality requirements that go beyond the requirements adopted in that order, but specifically held that the California law would not be preempted. The FCC order was overturned by the U.S. Court of Appeals for the Sixth Circuit on January 2, 2025, but the time to seek review of that decision has not expired. For additional information on this order, see the risk factor titled “Failures in internet infrastructure or interference with broadband access could cause current or potential users to believe that our systems are unreliable, possibly leading our customers to switch to our competitors, or to cancel their subscriptions to our platform.” We cannot predict whether other state initiatives will be enforced, modified, overturned, or vacated.</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International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97205"/>
                <wp:effectExtent l="0" t="0" r="0" b="0"/>
                <wp:wrapNone/>
                <wp:docPr id="66" name="Frame6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are currently, and may be in the future, party to intellectual property rights claims and other litigation matters, which, if resolved adversely,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protect our intellectual property through patents, copyrights, trademarks, domain names, and trade secrets and, from time to time, are subject to litigation based on allegations of infringement, misappropriation, or other violations of intellectual property or other proprietary rights of others. Some companies, including some of our competitors, own large numbers of patents, as well as valuable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use of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failure to protect our intellectual property rights and proprietary information could diminish our brand and other 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rely and expect to continue to rely on a combination of patent, trademark and domain name protection, trade secret and copyright laws, confidentiality and invention assignment agreements with our employees and consultants, as well as licenses with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diminished or impaired, which could harm our brand and our business. Third parties may knowingly or unknowingly infringe our intellectual property or proprietary rights; third parties may challenge our intellectual property or proprietary rights;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develop similar technologies or processes, or independently discover our trade secrets, in which case we would not be able to assert our trade secret rights. Further, the laws of certain foreign countries do not provide the same level of intellectual property protection of corporate proprietary information and assets such as rights to patents, copyrights,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97205"/>
                <wp:effectExtent l="0" t="0" r="0" b="0"/>
                <wp:wrapNone/>
                <wp:docPr id="67" name="Frame6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use of third-party open source software could negatively affect our ability to offer and sell subscriptions to our platform and subject us to possible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incorporated, and may in the future incorporate, third-party open source software (including our open source AI models)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 Furthermore, with respect to our use of third-party open source AI models, some licenses to third-party open source AI models contain additional use restrictions pertaining to research-only limitations or, in some cases, vague notions of responsible uses for the AI models, which may not in all instances comport with our business practices.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trading price of our Class A common stock may be volatile, and you could lose all or part of your investment.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of shares of our Class A common stock by us or our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97205"/>
                <wp:effectExtent l="0" t="0" r="0" b="0"/>
                <wp:wrapNone/>
                <wp:docPr id="68" name="Frame6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financial projections we may provide to the public, any changes in those projections, or our failure to meet those projections;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announcements by us or our competitors of new products, features, or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announced or completed acquisitions of businesses, products, services, or technologies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change in our management;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political, social, economic and market conditions, in both domestic and our foreign markets, including effects of increased interest rates and inflationary pressures.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Class B common stock has 10 votes per share and our Class A common stock has one vote per share. As of October 31, 2025, the holders of our outstanding Class B common stock held 53.5% of the voting power of our outstanding capital stock, with our directors, executive officers and 5% stockholders and their respective affiliates holding 47.7% of such voting power in the aggregate. As of October 31, 2025, our founder, President and Chief Executive Officer, Eric S. Yuan, together with his affiliates, held approximately 7.2% of our outstanding capital stock but controlled approximately 37.5%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97205"/>
                <wp:effectExtent l="0" t="0" r="0" b="0"/>
                <wp:wrapNone/>
                <wp:docPr id="69" name="Frame6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controlling stockholder, Mr. Yuan is entitled to vote his shares in his own interests, which may not always be in the interests of our stockholders generally.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Future sales and issuances of our capital stock or rights to purchase capital stock could result in additional dilution of the percentage ownership of our stockholders and could cause our stock price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Substantial future sales of shares of our Class A common stock and Class B common stock could cause the market price of our Class A common stock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provisions in our certificate of incorporation and bylaws that may make it difficult for a third party to acquire, or attempt to acquire, control of Zoom, even if a change in control was considered favorable by our stockholders.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charter documents also contain other provisions that could have an anti-takeover effect, such as: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establishing a classified board of directors so that not all members of our board of directors are elected at one time;</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permitting the board of directors to establish the number of directors and fill any vacancies and newly created directorships;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providing that directors may only be removed for cause;</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prohibiting cumulative voting for directors;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requiring super-majority voting to amend some provisions in our certificate of incorporation and bylaws;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authorizing the issuance of “blank check” preferred stock that our board of directors could use to implement a stockholder rights plan;</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eliminating the ability of stockholders to call special meetings of stockholders;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prohibiting stockholder action by written consent, which requires all stockholder actions to be taken at a meeting of our stockholders; and</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our dual-class common stock structure as described above.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97205"/>
                <wp:effectExtent l="0" t="0" r="0" b="0"/>
                <wp:wrapNone/>
                <wp:docPr id="70" name="Frame7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Estimates of our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97205"/>
                <wp:effectExtent l="0" t="0" r="0" b="0"/>
                <wp:wrapNone/>
                <wp:docPr id="71" name="Frame7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business could be disrupted by catastrophic events.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are subject to risks associated with our strategic investments, including partial or complete loss of invested capital. Significant changes in the fair value of our investment portfolio could negatively impact our financial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 all fair value adjustments of our publicly traded and privately held non-marketable securities through the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reported results of operations may be adversely affected by changes in accounting principles generally accepted in the United States.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need additional capital, and we cannot be certain that additional financing will be available on favorable terms, or at all.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97205"/>
                <wp:effectExtent l="0" t="0" r="0" b="0"/>
                <wp:wrapNone/>
                <wp:docPr id="72" name="Frame7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consolidated financial statements or comply with applicable regulations could be impaired.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 accounting or disclosure violation, which significantly increases the enforcement risk faced by us and other public companies for any weaknesses in disclosure controls and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97205"/>
                <wp:effectExtent l="0" t="0" r="0" b="0"/>
                <wp:wrapNone/>
                <wp:docPr id="73" name="Frame7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incur costs and demands upon management as a result of complying with the laws and regulations affecting public companies in the United States, which may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Regulators', investors’ and other stakeholders’ expectations of our performance relating to environmental, social and governance factors may impose additional costs and expose us to new risks.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is an increasing focus from regulators, investors, customers and other stakeholders concerning environmental, social and governance matters. To the extent we share information about our practices in this area, we could be criticized for the accuracy, adequacy, or completeness of such disclosures. In addition, we may communicate related goals or initiatives from time to time, which can be costly to achieve and difficult to implement. There is no assurance that we will achieve any of these goals, that our initiatives will achieve their intended outcome, and our ability to implement these initiatives or achieve these goals may be dependent on external factors outside our control. Further, we may experience backlash from customers, government entities, advocacy groups, employees, or other stakeholders who disagree with our actual or perceived positions, or with our lack of position on social, environmental, governance, political, public policy, economic, geopolitical, or other sensitive issues. Any perceived lack of transparency about these matters could harm our brand and reputation, our employees’ engagement and retention, and the willingness of our customers and partners to do business with us.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Climate change may have an impact on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inherent climate-related risks wherever business is conducted. We have a global workforce, and operate in leased office spaces and data centers, and the short, medium and long term climate impacts to our business are unclear. Changing market dynamics, global policy developments and the increasing frequency and impact of extreme weather events to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our repurchases of Class A common stock during the three months ended October 31, 2025:</w:t>
      </w:r>
    </w:p>
    <w:p>
      <w:pPr>
        <w:pStyle w:val="TextBody"/>
        <w:bidi w:val="0"/>
        <w:spacing w:before="120" w:after="283"/>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524"/>
        <w:gridCol w:w="331"/>
        <w:gridCol w:w="336"/>
        <w:gridCol w:w="505"/>
        <w:gridCol w:w="505"/>
        <w:gridCol w:w="507"/>
        <w:gridCol w:w="298"/>
        <w:gridCol w:w="848"/>
        <w:gridCol w:w="166"/>
        <w:gridCol w:w="842"/>
        <w:gridCol w:w="842"/>
        <w:gridCol w:w="844"/>
        <w:gridCol w:w="658"/>
        <w:gridCol w:w="2475"/>
        <w:gridCol w:w="524"/>
      </w:tblGrid>
      <w:tr>
        <w:trPr/>
        <w:tc>
          <w:tcPr>
            <w:tcW w:w="5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54" w:before="0" w:after="0"/>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1517" w:type="dxa"/>
            <w:gridSpan w:val="3"/>
            <w:tcBorders/>
            <w:tcMar>
              <w:top w:w="0" w:type="dxa"/>
              <w:left w:w="0" w:type="dxa"/>
              <w:bottom w:w="0" w:type="dxa"/>
              <w:right w:w="0" w:type="dxa"/>
            </w:tcMar>
            <w:vAlign w:val="center"/>
          </w:tcPr>
          <w:p>
            <w:pPr>
              <w:pStyle w:val="TableContents"/>
              <w:bidi w:val="0"/>
              <w:spacing w:lineRule="auto" w:line="254" w:before="0" w:after="0"/>
              <w:jc w:val="center"/>
              <w:rPr/>
            </w:pPr>
            <w:r>
              <w:rPr>
                <w:rFonts w:ascii="Times New Roman;serif" w:hAnsi="Times New Roman;serif"/>
                <w:b w:val="false"/>
                <w:color w:val="000000"/>
                <w:sz w:val="18"/>
              </w:rPr>
              <w:t>Total Number of Shares Purchased</w:t>
            </w:r>
            <w:r>
              <w:rPr>
                <w:rFonts w:ascii="Times New Roman;serif" w:hAnsi="Times New Roman;serif"/>
                <w:b w:val="false"/>
                <w:color w:val="000000"/>
                <w:sz w:val="12"/>
              </w:rPr>
              <w:t>(1)</w:t>
            </w:r>
          </w:p>
        </w:tc>
        <w:tc>
          <w:tcPr>
            <w:tcW w:w="1312" w:type="dxa"/>
            <w:gridSpan w:val="3"/>
            <w:tcBorders/>
            <w:tcMar>
              <w:top w:w="0" w:type="dxa"/>
              <w:left w:w="0" w:type="dxa"/>
              <w:bottom w:w="0" w:type="dxa"/>
              <w:right w:w="0" w:type="dxa"/>
            </w:tcMar>
            <w:vAlign w:val="center"/>
          </w:tcPr>
          <w:p>
            <w:pPr>
              <w:pStyle w:val="TableContents"/>
              <w:bidi w:val="0"/>
              <w:spacing w:lineRule="auto" w:line="254" w:before="0" w:after="0"/>
              <w:jc w:val="center"/>
              <w:rPr>
                <w:rFonts w:ascii="Times New Roman;serif" w:hAnsi="Times New Roman;serif"/>
                <w:b w:val="false"/>
                <w:color w:val="000000"/>
                <w:sz w:val="18"/>
              </w:rPr>
            </w:pPr>
            <w:r>
              <w:rPr>
                <w:rFonts w:ascii="Times New Roman;serif" w:hAnsi="Times New Roman;serif"/>
                <w:b w:val="false"/>
                <w:color w:val="000000"/>
                <w:sz w:val="18"/>
              </w:rPr>
              <w:t>Average Price Paid per Share</w:t>
            </w:r>
          </w:p>
        </w:tc>
        <w:tc>
          <w:tcPr>
            <w:tcW w:w="2528" w:type="dxa"/>
            <w:gridSpan w:val="3"/>
            <w:tcBorders/>
            <w:tcMar>
              <w:top w:w="0" w:type="dxa"/>
              <w:left w:w="0" w:type="dxa"/>
              <w:bottom w:w="0" w:type="dxa"/>
              <w:right w:w="0" w:type="dxa"/>
            </w:tcMar>
            <w:vAlign w:val="center"/>
          </w:tcPr>
          <w:p>
            <w:pPr>
              <w:pStyle w:val="TableContents"/>
              <w:bidi w:val="0"/>
              <w:spacing w:lineRule="auto" w:line="254" w:before="0" w:after="0"/>
              <w:jc w:val="center"/>
              <w:rPr/>
            </w:pPr>
            <w:r>
              <w:rPr>
                <w:rFonts w:ascii="Times New Roman;serif" w:hAnsi="Times New Roman;serif"/>
                <w:b w:val="false"/>
                <w:color w:val="000000"/>
                <w:sz w:val="18"/>
              </w:rPr>
              <w:t>Total Number of Shares Purchased as Part of Publicly Announced Program</w:t>
            </w:r>
            <w:r>
              <w:rPr>
                <w:rFonts w:ascii="Times New Roman;serif" w:hAnsi="Times New Roman;serif"/>
                <w:b w:val="false"/>
                <w:color w:val="000000"/>
                <w:sz w:val="12"/>
              </w:rPr>
              <w:t>(1)</w:t>
            </w:r>
          </w:p>
        </w:tc>
        <w:tc>
          <w:tcPr>
            <w:tcW w:w="3657" w:type="dxa"/>
            <w:gridSpan w:val="3"/>
            <w:tcBorders/>
            <w:tcMar>
              <w:top w:w="0" w:type="dxa"/>
              <w:left w:w="0" w:type="dxa"/>
              <w:bottom w:w="0" w:type="dxa"/>
              <w:right w:w="0" w:type="dxa"/>
            </w:tcMar>
            <w:vAlign w:val="center"/>
          </w:tcPr>
          <w:p>
            <w:pPr>
              <w:pStyle w:val="TableContents"/>
              <w:bidi w:val="0"/>
              <w:spacing w:lineRule="auto" w:line="254" w:before="0" w:after="0"/>
              <w:jc w:val="center"/>
              <w:rPr/>
            </w:pPr>
            <w:r>
              <w:rPr>
                <w:rFonts w:ascii="Times New Roman;serif" w:hAnsi="Times New Roman;serif"/>
                <w:b w:val="false"/>
                <w:color w:val="000000"/>
                <w:sz w:val="18"/>
              </w:rPr>
              <w:t>Approximate Dollar Value of Shares that May Yet Be Purchased Under Publicly Announced Program (in thousands)</w:t>
            </w:r>
            <w:r>
              <w:rPr>
                <w:rFonts w:ascii="Times New Roman;serif" w:hAnsi="Times New Roman;serif"/>
                <w:b w:val="false"/>
                <w:color w:val="000000"/>
                <w:sz w:val="12"/>
              </w:rPr>
              <w:t>(1)</w:t>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54"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 31, 2025</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867,512</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867,512</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662,359 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54"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 30, 2025</w:t>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1,998,966</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1,998,966</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494,366 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54"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 – 31, 2025</w:t>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2,245,010</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2,245,010</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310,372 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54"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5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5,111,488</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5,111,488</w:t>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97205"/>
                <wp:effectExtent l="0" t="0" r="0" b="0"/>
                <wp:wrapNone/>
                <wp:docPr id="74" name="Frame7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52"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February 2024, our Board of Directors authorized a stock repurchase program of up to $1.5 billion of our Class A common stock, which we publicly announced on February 26, 2024. In November 2024, our Board of Directors authorized the repurchase of up to an additional $1.2 billion of our outstanding Class A common stock, which we publicly announced on November 25, 2024. Repurchases of our Class A common stock may be effected, from time to time, either on the open market (including pre-set trading plans), in privately negotiated transactions, and other transactions in accordance with applicable securities laws. The repurchase program does not obligate us to acquire any particular amount of Class A common stock, and the repurchase program may be suspended or discontinued at any time at our discretion. See Note 7 "Stockholders’ Equity and Equity Incentive Plans" of this Quarterly Report on Form 10-Q for additional information related to share repurchases. All shares purchased reported in this column were purchased pursuant to our publicly announced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56"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lineRule="auto" w:line="25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Company’s last fiscal quarter, the Company’s directors and officers (as defined in Rule 16a-1(f) under the Exchange Act) adopted, modified, or terminated the contracts, instructions or written plans for the purchase or sale of the Company’s securities set forth in the table below.</w:t>
      </w:r>
    </w:p>
    <w:p>
      <w:pPr>
        <w:pStyle w:val="TextBody"/>
        <w:bidi w:val="0"/>
        <w:spacing w:before="120" w:after="283"/>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781"/>
        <w:gridCol w:w="536"/>
        <w:gridCol w:w="538"/>
        <w:gridCol w:w="320"/>
        <w:gridCol w:w="320"/>
        <w:gridCol w:w="324"/>
        <w:gridCol w:w="502"/>
        <w:gridCol w:w="502"/>
        <w:gridCol w:w="504"/>
        <w:gridCol w:w="327"/>
        <w:gridCol w:w="327"/>
        <w:gridCol w:w="327"/>
        <w:gridCol w:w="327"/>
        <w:gridCol w:w="327"/>
        <w:gridCol w:w="333"/>
        <w:gridCol w:w="846"/>
        <w:gridCol w:w="846"/>
        <w:gridCol w:w="848"/>
        <w:gridCol w:w="398"/>
        <w:gridCol w:w="398"/>
        <w:gridCol w:w="574"/>
      </w:tblGrid>
      <w:tr>
        <w:trPr/>
        <w:tc>
          <w:tcPr>
            <w:tcW w:w="78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254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Action</w:t>
            </w:r>
          </w:p>
        </w:tc>
        <w:tc>
          <w:tcPr>
            <w:tcW w:w="15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Adoption/ Termination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w:t>
            </w:r>
          </w:p>
        </w:tc>
        <w:tc>
          <w:tcPr>
            <w:tcW w:w="9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 10b5-1*</w:t>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 10b5-1**</w:t>
            </w:r>
          </w:p>
        </w:tc>
        <w:tc>
          <w:tcPr>
            <w:tcW w:w="25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Shares of Class A Common Stock to be Sold***</w:t>
            </w:r>
          </w:p>
        </w:tc>
        <w:tc>
          <w:tcPr>
            <w:tcW w:w="13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 Scheinman, Board Member</w:t>
            </w:r>
          </w:p>
        </w:tc>
        <w:tc>
          <w:tcPr>
            <w:tcW w:w="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5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09/22/2025</w:t>
            </w:r>
          </w:p>
        </w:tc>
        <w:tc>
          <w:tcPr>
            <w:tcW w:w="9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98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25,000</w:t>
            </w:r>
          </w:p>
        </w:tc>
        <w:tc>
          <w:tcPr>
            <w:tcW w:w="13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12/22/2026</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Contract, instruction or written plan intended to satisfy the affirmative defense conditions of Rule 10b5-1(c)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“Non-Rule 10b5-1 trading arrangement” as defined in Item 408(c) of Regulation S-K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Represents the maximum number of shares that may be sold pursuant to the 10b5-1 arrangement. The actual number of shares sold will be dependent on the satisfaction of certain conditions as set forth in the written plan.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97205"/>
                <wp:effectExtent l="0" t="0" r="0" b="0"/>
                <wp:wrapNone/>
                <wp:docPr id="75" name="Frame7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578"/>
        <w:gridCol w:w="1578"/>
        <w:gridCol w:w="1591"/>
        <w:gridCol w:w="109"/>
        <w:gridCol w:w="109"/>
        <w:gridCol w:w="109"/>
        <w:gridCol w:w="170"/>
        <w:gridCol w:w="170"/>
        <w:gridCol w:w="171"/>
        <w:gridCol w:w="109"/>
        <w:gridCol w:w="109"/>
        <w:gridCol w:w="109"/>
        <w:gridCol w:w="251"/>
        <w:gridCol w:w="251"/>
        <w:gridCol w:w="221"/>
        <w:gridCol w:w="109"/>
        <w:gridCol w:w="109"/>
        <w:gridCol w:w="109"/>
        <w:gridCol w:w="210"/>
        <w:gridCol w:w="210"/>
        <w:gridCol w:w="211"/>
        <w:gridCol w:w="109"/>
        <w:gridCol w:w="109"/>
        <w:gridCol w:w="109"/>
        <w:gridCol w:w="421"/>
        <w:gridCol w:w="400"/>
        <w:gridCol w:w="365"/>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7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7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Amended and Restated Certificate of Incorporation of Zoom Video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2019</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Certificate of Incorporation of Zoom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25,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Zoom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25,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51031xex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51031xex312.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51031xex321.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120" w:after="283"/>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97205"/>
                <wp:effectExtent l="0" t="0" r="0" b="0"/>
                <wp:wrapNone/>
                <wp:docPr id="76" name="Frame7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023f1f243444d76a1195d8cf2bb25b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884" w:type="dxa"/>
        <w:jc w:val="left"/>
        <w:tblInd w:w="0" w:type="dxa"/>
        <w:tblLayout w:type="fixed"/>
        <w:tblCellMar>
          <w:top w:w="28" w:type="dxa"/>
          <w:left w:w="28" w:type="dxa"/>
          <w:bottom w:w="28" w:type="dxa"/>
          <w:right w:w="28" w:type="dxa"/>
        </w:tblCellMar>
      </w:tblPr>
      <w:tblGrid>
        <w:gridCol w:w="797"/>
        <w:gridCol w:w="702"/>
        <w:gridCol w:w="706"/>
        <w:gridCol w:w="490"/>
        <w:gridCol w:w="490"/>
        <w:gridCol w:w="490"/>
        <w:gridCol w:w="937"/>
        <w:gridCol w:w="937"/>
        <w:gridCol w:w="133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ZOOM COMMUNICATIONS,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S. Yuan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Michelle Chang</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Michelle Chang</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97205"/>
                <wp:effectExtent l="0" t="0" r="0" b="0"/>
                <wp:wrapNone/>
                <wp:docPr id="77" name="Frame7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EXCHANGE ACT RULES 13a-14(a) AND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Eric S. Yuan,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Zoom Communications,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14" w:type="dxa"/>
        <w:jc w:val="left"/>
        <w:tblInd w:w="0" w:type="dxa"/>
        <w:tblLayout w:type="fixed"/>
        <w:tblCellMar>
          <w:top w:w="28" w:type="dxa"/>
          <w:left w:w="28" w:type="dxa"/>
          <w:bottom w:w="28" w:type="dxa"/>
          <w:right w:w="28" w:type="dxa"/>
        </w:tblCellMar>
      </w:tblPr>
      <w:tblGrid>
        <w:gridCol w:w="797"/>
        <w:gridCol w:w="702"/>
        <w:gridCol w:w="706"/>
        <w:gridCol w:w="936"/>
        <w:gridCol w:w="936"/>
        <w:gridCol w:w="1337"/>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S. Yuan</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EXCHANGE ACT RULES 13a-14(a) AND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Michelle Chang,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Zoom Communications,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25" w:type="dxa"/>
        <w:jc w:val="left"/>
        <w:tblInd w:w="0" w:type="dxa"/>
        <w:tblLayout w:type="fixed"/>
        <w:tblCellMar>
          <w:top w:w="28" w:type="dxa"/>
          <w:left w:w="28" w:type="dxa"/>
          <w:bottom w:w="28" w:type="dxa"/>
          <w:right w:w="28" w:type="dxa"/>
        </w:tblCellMar>
      </w:tblPr>
      <w:tblGrid>
        <w:gridCol w:w="797"/>
        <w:gridCol w:w="702"/>
        <w:gridCol w:w="706"/>
        <w:gridCol w:w="737"/>
        <w:gridCol w:w="737"/>
        <w:gridCol w:w="104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Chang</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Chang</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 OF THE SARBANES-OXLEY ACT OF 2002</w:t>
      </w:r>
    </w:p>
    <w:p>
      <w:pPr>
        <w:pStyle w:val="TextBody"/>
        <w:bidi w:val="0"/>
        <w:spacing w:before="20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Communications, Inc. for the fiscal quarter ended October 31, 2025 fully complies with the requirements of Section 13(a) or 15(d) of the Exchange Act and that information contained in such Quarterly Report on Form 10-Q fairly presents, in all material respects, the financial condition and results of operations of Zoom Communications, Inc.</w:t>
      </w:r>
    </w:p>
    <w:tbl>
      <w:tblPr>
        <w:tblW w:w="5818"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936"/>
        <w:gridCol w:w="936"/>
        <w:gridCol w:w="1337"/>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S. Yuan</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Michelle Chang, certify, pursuant to the requirement set forth in Rule 13a-14(b) of the Exchange Act and 18 U.S.C. Section 1350, as adopted pursuant to Section 906 of the Sarbanes-Oxley Act of 2002, that to the best of my knowledge, the Quarterly Report on Form 10-Q of Zoom Communications, Inc. for the fiscal quarter ended October 31, 2025 fully complies with the requirements of Section 13(a) or 15(d) of the Exchange Act and that information contained in such Quarterly Report on Form 10-Q fairly presents, in all material respects, the financial condition and results of operations of Zoom Communications, Inc.</w:t>
      </w:r>
    </w:p>
    <w:tbl>
      <w:tblPr>
        <w:tblW w:w="5129"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737"/>
        <w:gridCol w:w="737"/>
        <w:gridCol w:w="104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25,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Chang</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Chang</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5521/000119312519115111/d736915dex31.htm" TargetMode="External"/><Relationship Id="rId3" Type="http://schemas.openxmlformats.org/officeDocument/2006/relationships/hyperlink" Target="https://www.sec.gov/Archives/edgar/data/1585521/000158552124000257/certificateofamendmenttoce.htm" TargetMode="External"/><Relationship Id="rId4" Type="http://schemas.openxmlformats.org/officeDocument/2006/relationships/hyperlink" Target="https://www.sec.gov/Archives/edgar/data/1585521/000158552124000257/amendedandrestatedbylaws.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51588</Words>
  <Characters>288634</Characters>
  <CharactersWithSpaces>338403</CharactersWithSpaces>
  <Paragraphs>3220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