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255270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280035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3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50" w:lineRule="exact"/>
        <w:rPr>
          <w:sz w:val="24"/>
          <w:szCs w:val="24"/>
          <w:color w:val="auto"/>
        </w:rPr>
      </w:pPr>
    </w:p>
    <w:p>
      <w:pPr>
        <w:ind w:left="560" w:hanging="539"/>
        <w:spacing w:after="0"/>
        <w:tabs>
          <w:tab w:leader="none" w:pos="56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January 31, 2026</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0" w:lineRule="exact"/>
        <w:rPr>
          <w:sz w:val="24"/>
          <w:szCs w:val="24"/>
          <w:color w:val="auto"/>
        </w:rPr>
      </w:pPr>
    </w:p>
    <w:p>
      <w:pPr>
        <w:ind w:left="580" w:hanging="540"/>
        <w:spacing w:after="0"/>
        <w:tabs>
          <w:tab w:leader="none" w:pos="5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360" w:type="dxa"/>
            <w:vAlign w:val="bottom"/>
            <w:gridSpan w:val="4"/>
          </w:tcPr>
          <w:p>
            <w:pPr>
              <w:ind w:left="31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w:t>
            </w:r>
          </w:p>
        </w:tc>
        <w:tc>
          <w:tcPr>
            <w:tcW w:w="700" w:type="dxa"/>
            <w:vAlign w:val="bottom"/>
            <w:tcBorders>
              <w:bottom w:val="single" w:sz="8" w:color="auto"/>
            </w:tcBorders>
          </w:tcPr>
          <w:p>
            <w:pPr>
              <w:spacing w:after="0"/>
              <w:rPr>
                <w:sz w:val="17"/>
                <w:szCs w:val="17"/>
                <w:color w:val="auto"/>
              </w:rPr>
            </w:pPr>
          </w:p>
        </w:tc>
        <w:tc>
          <w:tcPr>
            <w:tcW w:w="3140" w:type="dxa"/>
            <w:vAlign w:val="bottom"/>
          </w:tcPr>
          <w:p>
            <w:pPr>
              <w:spacing w:after="0"/>
              <w:rPr>
                <w:sz w:val="17"/>
                <w:szCs w:val="17"/>
                <w:color w:val="auto"/>
              </w:rPr>
            </w:pPr>
          </w:p>
        </w:tc>
      </w:tr>
      <w:tr>
        <w:trPr>
          <w:trHeight w:val="24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2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Commission File Number 001-38865</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183"/>
        </w:trPr>
        <w:tc>
          <w:tcPr>
            <w:tcW w:w="8100" w:type="dxa"/>
            <w:vAlign w:val="bottom"/>
            <w:gridSpan w:val="11"/>
          </w:tcPr>
          <w:p>
            <w:pPr>
              <w:jc w:val="center"/>
              <w:ind w:left="3091"/>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w:t>
            </w:r>
          </w:p>
        </w:tc>
        <w:tc>
          <w:tcPr>
            <w:tcW w:w="3140" w:type="dxa"/>
            <w:vAlign w:val="bottom"/>
          </w:tcPr>
          <w:p>
            <w:pPr>
              <w:spacing w:after="0"/>
              <w:rPr>
                <w:sz w:val="15"/>
                <w:szCs w:val="15"/>
                <w:color w:val="auto"/>
              </w:rPr>
            </w:pPr>
          </w:p>
        </w:tc>
      </w:tr>
      <w:tr>
        <w:trPr>
          <w:trHeight w:val="39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520" w:type="dxa"/>
            <w:vAlign w:val="bottom"/>
            <w:gridSpan w:val="10"/>
          </w:tcPr>
          <w:p>
            <w:pPr>
              <w:jc w:val="center"/>
              <w:ind w:right="3631"/>
              <w:spacing w:after="0"/>
              <w:rPr>
                <w:sz w:val="20"/>
                <w:szCs w:val="20"/>
                <w:color w:val="auto"/>
              </w:rPr>
            </w:pPr>
            <w:r>
              <w:rPr>
                <w:rFonts w:ascii="Times New Roman" w:cs="Times New Roman" w:eastAsia="Times New Roman" w:hAnsi="Times New Roman"/>
                <w:sz w:val="31"/>
                <w:szCs w:val="31"/>
                <w:b w:val="1"/>
                <w:bCs w:val="1"/>
                <w:color w:val="auto"/>
              </w:rPr>
              <w:t>Zoom Communications, Inc.</w:t>
            </w:r>
          </w:p>
        </w:tc>
      </w:tr>
      <w:tr>
        <w:trPr>
          <w:trHeight w:val="168"/>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520" w:type="dxa"/>
            <w:vAlign w:val="bottom"/>
            <w:gridSpan w:val="10"/>
          </w:tcPr>
          <w:p>
            <w:pPr>
              <w:jc w:val="center"/>
              <w:ind w:right="3651"/>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r>
      <w:tr>
        <w:trPr>
          <w:trHeight w:val="183"/>
        </w:trPr>
        <w:tc>
          <w:tcPr>
            <w:tcW w:w="8100" w:type="dxa"/>
            <w:vAlign w:val="bottom"/>
            <w:gridSpan w:val="11"/>
          </w:tcPr>
          <w:p>
            <w:pPr>
              <w:jc w:val="center"/>
              <w:ind w:left="3091"/>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w:t>
            </w:r>
          </w:p>
        </w:tc>
        <w:tc>
          <w:tcPr>
            <w:tcW w:w="314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3700" w:type="dxa"/>
            <w:vAlign w:val="bottom"/>
          </w:tcPr>
          <w:p>
            <w:pPr>
              <w:jc w:val="center"/>
              <w:ind w:left="184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3"/>
          </w:tcPr>
          <w:p>
            <w:pPr>
              <w:jc w:val="center"/>
              <w:ind w:right="1391"/>
              <w:spacing w:after="0"/>
              <w:rPr>
                <w:sz w:val="20"/>
                <w:szCs w:val="20"/>
                <w:color w:val="auto"/>
              </w:rPr>
            </w:pPr>
            <w:r>
              <w:rPr>
                <w:rFonts w:ascii="Times New Roman" w:cs="Times New Roman" w:eastAsia="Times New Roman" w:hAnsi="Times New Roman"/>
                <w:sz w:val="16"/>
                <w:szCs w:val="16"/>
                <w:b w:val="1"/>
                <w:bCs w:val="1"/>
                <w:color w:val="auto"/>
                <w:w w:val="95"/>
              </w:rPr>
              <w:t>61-1648780</w:t>
            </w:r>
          </w:p>
        </w:tc>
      </w:tr>
      <w:tr>
        <w:trPr>
          <w:trHeight w:val="161"/>
        </w:trPr>
        <w:tc>
          <w:tcPr>
            <w:tcW w:w="20" w:type="dxa"/>
            <w:vAlign w:val="bottom"/>
          </w:tcPr>
          <w:p>
            <w:pPr>
              <w:spacing w:after="0"/>
              <w:rPr>
                <w:sz w:val="13"/>
                <w:szCs w:val="13"/>
                <w:color w:val="auto"/>
              </w:rPr>
            </w:pPr>
          </w:p>
        </w:tc>
        <w:tc>
          <w:tcPr>
            <w:tcW w:w="3700" w:type="dxa"/>
            <w:vAlign w:val="bottom"/>
          </w:tcPr>
          <w:p>
            <w:pPr>
              <w:jc w:val="center"/>
              <w:ind w:left="1842"/>
              <w:spacing w:after="0" w:line="161" w:lineRule="exact"/>
              <w:rPr>
                <w:sz w:val="20"/>
                <w:szCs w:val="20"/>
                <w:color w:val="auto"/>
              </w:rPr>
            </w:pPr>
            <w:r>
              <w:rPr>
                <w:rFonts w:ascii="Times New Roman" w:cs="Times New Roman" w:eastAsia="Times New Roman" w:hAnsi="Times New Roman"/>
                <w:sz w:val="16"/>
                <w:szCs w:val="16"/>
                <w:b w:val="1"/>
                <w:bCs w:val="1"/>
                <w:color w:val="auto"/>
                <w:w w:val="97"/>
              </w:rPr>
              <w:t>(State or other jurisdiction</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40" w:type="dxa"/>
            <w:vAlign w:val="bottom"/>
            <w:gridSpan w:val="2"/>
          </w:tcPr>
          <w:p>
            <w:pPr>
              <w:jc w:val="center"/>
              <w:ind w:right="1731"/>
              <w:spacing w:after="0" w:line="161" w:lineRule="exact"/>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04"/>
        </w:trPr>
        <w:tc>
          <w:tcPr>
            <w:tcW w:w="20" w:type="dxa"/>
            <w:vAlign w:val="bottom"/>
          </w:tcPr>
          <w:p>
            <w:pPr>
              <w:spacing w:after="0"/>
              <w:rPr>
                <w:sz w:val="17"/>
                <w:szCs w:val="17"/>
                <w:color w:val="auto"/>
              </w:rPr>
            </w:pPr>
          </w:p>
        </w:tc>
        <w:tc>
          <w:tcPr>
            <w:tcW w:w="6580" w:type="dxa"/>
            <w:vAlign w:val="bottom"/>
            <w:gridSpan w:val="5"/>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6"/>
              </w:rPr>
              <w:t>of incorporation or organization)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gridSpan w:val="2"/>
          </w:tcPr>
          <w:p>
            <w:pPr>
              <w:jc w:val="center"/>
              <w:ind w:right="1711"/>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r>
      <w:tr>
        <w:trPr>
          <w:trHeight w:val="31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55 Almaden Boulevard, 6</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7"/>
                <w:szCs w:val="17"/>
                <w:b w:val="1"/>
                <w:bCs w:val="1"/>
                <w:color w:val="auto"/>
              </w:rPr>
              <w:t xml:space="preserve"> Floor</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2"/>
          </w:tcPr>
          <w:p>
            <w:pPr>
              <w:jc w:val="center"/>
              <w:ind w:left="200"/>
              <w:spacing w:after="0"/>
              <w:rPr>
                <w:sz w:val="20"/>
                <w:szCs w:val="20"/>
                <w:color w:val="auto"/>
              </w:rPr>
            </w:pPr>
            <w:r>
              <w:rPr>
                <w:rFonts w:ascii="Times New Roman" w:cs="Times New Roman" w:eastAsia="Times New Roman" w:hAnsi="Times New Roman"/>
                <w:sz w:val="17"/>
                <w:szCs w:val="17"/>
                <w:b w:val="1"/>
                <w:bCs w:val="1"/>
                <w:color w:val="auto"/>
              </w:rPr>
              <w:t>San Jose, California 95113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520" w:type="dxa"/>
            <w:vAlign w:val="bottom"/>
            <w:gridSpan w:val="10"/>
          </w:tcPr>
          <w:p>
            <w:pPr>
              <w:jc w:val="center"/>
              <w:ind w:right="3651"/>
              <w:spacing w:after="0"/>
              <w:rPr>
                <w:sz w:val="20"/>
                <w:szCs w:val="20"/>
                <w:color w:val="auto"/>
              </w:rPr>
            </w:pPr>
            <w:r>
              <w:rPr>
                <w:rFonts w:ascii="Times New Roman" w:cs="Times New Roman" w:eastAsia="Times New Roman" w:hAnsi="Times New Roman"/>
                <w:sz w:val="14"/>
                <w:szCs w:val="14"/>
                <w:b w:val="1"/>
                <w:bCs w:val="1"/>
                <w:i w:val="1"/>
                <w:iCs w:val="1"/>
                <w:color w:val="auto"/>
                <w:w w:val="98"/>
              </w:rPr>
              <w:t>(Address of principal executive offices and Zip Code)</w:t>
            </w:r>
          </w:p>
        </w:tc>
      </w:tr>
      <w:tr>
        <w:trPr>
          <w:trHeight w:val="270"/>
        </w:trPr>
        <w:tc>
          <w:tcPr>
            <w:tcW w:w="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2660" w:type="dxa"/>
            <w:vAlign w:val="bottom"/>
            <w:gridSpan w:val="3"/>
          </w:tcPr>
          <w:p>
            <w:pPr>
              <w:jc w:val="center"/>
              <w:ind w:left="1052"/>
              <w:spacing w:after="0"/>
              <w:rPr>
                <w:sz w:val="20"/>
                <w:szCs w:val="20"/>
                <w:color w:val="auto"/>
              </w:rPr>
            </w:pPr>
            <w:r>
              <w:rPr>
                <w:rFonts w:ascii="Times New Roman" w:cs="Times New Roman" w:eastAsia="Times New Roman" w:hAnsi="Times New Roman"/>
                <w:sz w:val="17"/>
                <w:szCs w:val="17"/>
                <w:b w:val="1"/>
                <w:bCs w:val="1"/>
                <w:color w:val="auto"/>
              </w:rPr>
              <w:t>(888) 799-9666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168"/>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520" w:type="dxa"/>
            <w:vAlign w:val="bottom"/>
            <w:gridSpan w:val="10"/>
          </w:tcPr>
          <w:p>
            <w:pPr>
              <w:jc w:val="center"/>
              <w:ind w:right="3631"/>
              <w:spacing w:after="0"/>
              <w:rPr>
                <w:sz w:val="20"/>
                <w:szCs w:val="20"/>
                <w:color w:val="auto"/>
              </w:rPr>
            </w:pPr>
            <w:r>
              <w:rPr>
                <w:rFonts w:ascii="Times New Roman" w:cs="Times New Roman" w:eastAsia="Times New Roman" w:hAnsi="Times New Roman"/>
                <w:sz w:val="14"/>
                <w:szCs w:val="14"/>
                <w:b w:val="1"/>
                <w:bCs w:val="1"/>
                <w:i w:val="1"/>
                <w:iCs w:val="1"/>
                <w:color w:val="auto"/>
                <w:w w:val="97"/>
              </w:rPr>
              <w:t>(Registrant’s telephone number, including area code)</w:t>
            </w:r>
          </w:p>
        </w:tc>
      </w:tr>
      <w:tr>
        <w:trPr>
          <w:trHeight w:val="183"/>
        </w:trPr>
        <w:tc>
          <w:tcPr>
            <w:tcW w:w="8100" w:type="dxa"/>
            <w:vAlign w:val="bottom"/>
            <w:gridSpan w:val="11"/>
          </w:tcPr>
          <w:p>
            <w:pPr>
              <w:jc w:val="center"/>
              <w:ind w:left="3091"/>
              <w:spacing w:after="0"/>
              <w:rPr>
                <w:sz w:val="20"/>
                <w:szCs w:val="20"/>
                <w:color w:val="auto"/>
              </w:rPr>
            </w:pPr>
            <w:r>
              <w:rPr>
                <w:rFonts w:ascii="Times New Roman" w:cs="Times New Roman" w:eastAsia="Times New Roman" w:hAnsi="Times New Roman"/>
                <w:sz w:val="14"/>
                <w:szCs w:val="14"/>
                <w:b w:val="1"/>
                <w:bCs w:val="1"/>
                <w:color w:val="auto"/>
                <w:w w:val="98"/>
              </w:rPr>
              <w:t>___________________________________________________________________</w:t>
            </w:r>
          </w:p>
        </w:tc>
        <w:tc>
          <w:tcPr>
            <w:tcW w:w="3140" w:type="dxa"/>
            <w:vAlign w:val="bottom"/>
          </w:tcPr>
          <w:p>
            <w:pPr>
              <w:spacing w:after="0"/>
              <w:rPr>
                <w:sz w:val="15"/>
                <w:szCs w:val="15"/>
                <w:color w:val="auto"/>
              </w:rPr>
            </w:pPr>
          </w:p>
        </w:tc>
      </w:tr>
      <w:tr>
        <w:trPr>
          <w:trHeight w:val="249"/>
        </w:trPr>
        <w:tc>
          <w:tcPr>
            <w:tcW w:w="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7520" w:type="dxa"/>
            <w:vAlign w:val="bottom"/>
            <w:gridSpan w:val="10"/>
          </w:tcPr>
          <w:p>
            <w:pPr>
              <w:jc w:val="center"/>
              <w:ind w:right="3631"/>
              <w:spacing w:after="0"/>
              <w:rPr>
                <w:sz w:val="20"/>
                <w:szCs w:val="20"/>
                <w:color w:val="auto"/>
              </w:rPr>
            </w:pPr>
            <w:r>
              <w:rPr>
                <w:rFonts w:ascii="Times New Roman" w:cs="Times New Roman" w:eastAsia="Times New Roman" w:hAnsi="Times New Roman"/>
                <w:sz w:val="16"/>
                <w:szCs w:val="16"/>
                <w:color w:val="auto"/>
                <w:w w:val="97"/>
              </w:rPr>
              <w:t>Securities registered pursuant to Section 12(b) of the Act:</w:t>
            </w:r>
          </w:p>
        </w:tc>
      </w:tr>
      <w:tr>
        <w:trPr>
          <w:trHeight w:val="222"/>
        </w:trPr>
        <w:tc>
          <w:tcPr>
            <w:tcW w:w="20" w:type="dxa"/>
            <w:vAlign w:val="bottom"/>
          </w:tcPr>
          <w:p>
            <w:pPr>
              <w:spacing w:after="0"/>
              <w:rPr>
                <w:sz w:val="19"/>
                <w:szCs w:val="19"/>
                <w:color w:val="auto"/>
              </w:rPr>
            </w:pPr>
          </w:p>
        </w:tc>
        <w:tc>
          <w:tcPr>
            <w:tcW w:w="3700" w:type="dxa"/>
            <w:vAlign w:val="bottom"/>
            <w:tcBorders>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gridSpan w:val="2"/>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2"/>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w w:val="96"/>
              </w:rPr>
              <w:t>Name of each exchange on which registered</w:t>
            </w:r>
          </w:p>
        </w:tc>
      </w:tr>
      <w:tr>
        <w:trPr>
          <w:trHeight w:val="174"/>
        </w:trPr>
        <w:tc>
          <w:tcPr>
            <w:tcW w:w="20" w:type="dxa"/>
            <w:vAlign w:val="bottom"/>
          </w:tcPr>
          <w:p>
            <w:pPr>
              <w:spacing w:after="0"/>
              <w:rPr>
                <w:sz w:val="15"/>
                <w:szCs w:val="15"/>
                <w:color w:val="auto"/>
              </w:rPr>
            </w:pPr>
          </w:p>
        </w:tc>
        <w:tc>
          <w:tcPr>
            <w:tcW w:w="3700" w:type="dxa"/>
            <w:vAlign w:val="bottom"/>
          </w:tcPr>
          <w:p>
            <w:pPr>
              <w:jc w:val="center"/>
              <w:ind w:left="462"/>
              <w:spacing w:after="0"/>
              <w:rPr>
                <w:sz w:val="20"/>
                <w:szCs w:val="20"/>
                <w:color w:val="auto"/>
              </w:rPr>
            </w:pPr>
            <w:r>
              <w:rPr>
                <w:rFonts w:ascii="Times New Roman" w:cs="Times New Roman" w:eastAsia="Times New Roman" w:hAnsi="Times New Roman"/>
                <w:sz w:val="14"/>
                <w:szCs w:val="14"/>
                <w:color w:val="auto"/>
                <w:w w:val="97"/>
              </w:rPr>
              <w:t>Class A Common Stock, $0.001 par value per share</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2"/>
          </w:tcPr>
          <w:p>
            <w:pPr>
              <w:jc w:val="center"/>
              <w:ind w:left="180"/>
              <w:spacing w:after="0"/>
              <w:rPr>
                <w:sz w:val="20"/>
                <w:szCs w:val="20"/>
                <w:color w:val="auto"/>
              </w:rPr>
            </w:pPr>
            <w:r>
              <w:rPr>
                <w:rFonts w:ascii="Times New Roman" w:cs="Times New Roman" w:eastAsia="Times New Roman" w:hAnsi="Times New Roman"/>
                <w:sz w:val="14"/>
                <w:szCs w:val="14"/>
                <w:color w:val="auto"/>
                <w:w w:val="95"/>
              </w:rPr>
              <w:t>ZM</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40" w:type="dxa"/>
            <w:vAlign w:val="bottom"/>
          </w:tcPr>
          <w:p>
            <w:pPr>
              <w:jc w:val="center"/>
              <w:ind w:right="1071"/>
              <w:spacing w:after="0"/>
              <w:rPr>
                <w:sz w:val="20"/>
                <w:szCs w:val="20"/>
                <w:color w:val="auto"/>
              </w:rPr>
            </w:pPr>
            <w:r>
              <w:rPr>
                <w:rFonts w:ascii="Times New Roman" w:cs="Times New Roman" w:eastAsia="Times New Roman" w:hAnsi="Times New Roman"/>
                <w:sz w:val="14"/>
                <w:szCs w:val="14"/>
                <w:color w:val="auto"/>
                <w:w w:val="98"/>
              </w:rPr>
              <w:t>The Nasdaq Global Select Market</w:t>
            </w:r>
          </w:p>
        </w:tc>
      </w:tr>
      <w:tr>
        <w:trPr>
          <w:trHeight w:val="60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40"/>
        </w:trPr>
        <w:tc>
          <w:tcPr>
            <w:tcW w:w="66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8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416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33"/>
        </w:trPr>
        <w:tc>
          <w:tcPr>
            <w:tcW w:w="660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8"/>
              </w:rPr>
              <w:t>Indicate by check mark if the registrant is not required to file reports pursuant to Section 13 or Section 15(d) of the Act.</w:t>
            </w:r>
          </w:p>
        </w:tc>
        <w:tc>
          <w:tcPr>
            <w:tcW w:w="480" w:type="dxa"/>
            <w:vAlign w:val="bottom"/>
            <w:gridSpan w:val="3"/>
          </w:tcPr>
          <w:p>
            <w:pPr>
              <w:ind w:left="100"/>
              <w:spacing w:after="0" w:line="161" w:lineRule="exact"/>
              <w:rPr>
                <w:sz w:val="20"/>
                <w:szCs w:val="20"/>
                <w:color w:val="auto"/>
              </w:rPr>
            </w:pPr>
            <w:r>
              <w:rPr>
                <w:rFonts w:ascii="Times New Roman" w:cs="Times New Roman" w:eastAsia="Times New Roman" w:hAnsi="Times New Roman"/>
                <w:sz w:val="14"/>
                <w:szCs w:val="14"/>
                <w:color w:val="auto"/>
                <w:w w:val="91"/>
              </w:rPr>
              <w:t xml:space="preserve">Yes </w:t>
            </w:r>
            <w:r>
              <w:rPr>
                <w:rFonts w:ascii="MS PGothic" w:cs="MS PGothic" w:eastAsia="MS PGothic" w:hAnsi="MS PGothic"/>
                <w:sz w:val="14"/>
                <w:szCs w:val="14"/>
                <w:color w:val="auto"/>
                <w:w w:val="91"/>
              </w:rPr>
              <w:t>☐</w:t>
            </w:r>
          </w:p>
        </w:tc>
        <w:tc>
          <w:tcPr>
            <w:tcW w:w="4160" w:type="dxa"/>
            <w:vAlign w:val="bottom"/>
            <w:gridSpan w:val="3"/>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21" w:lineRule="exact"/>
        <w:rPr>
          <w:sz w:val="24"/>
          <w:szCs w:val="24"/>
          <w:color w:val="auto"/>
        </w:rPr>
      </w:pPr>
    </w:p>
    <w:p>
      <w:pPr>
        <w:jc w:val="both"/>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3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12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 w:lineRule="exact"/>
        <w:rPr>
          <w:sz w:val="24"/>
          <w:szCs w:val="24"/>
          <w:color w:val="auto"/>
        </w:rPr>
      </w:pPr>
    </w:p>
    <w:p>
      <w:pPr>
        <w:spacing w:after="0" w:line="161" w:lineRule="exact"/>
        <w:tabs>
          <w:tab w:leader="none" w:pos="6380" w:val="left"/>
          <w:tab w:leader="none" w:pos="69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328295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The aggregate market value of the registrant's Class A common stock held by non-affiliates of the registrant, based on the closing price of a share of the registrant's Class A common stock on July 31, 2025 as reported by the Nasdaq Global Select Market on such date was approximately $19.8 billion. This calculation does not reflect a determination that certain persons are affiliates of the registrant for any other purpose.</w:t>
      </w:r>
    </w:p>
    <w:p>
      <w:pPr>
        <w:spacing w:after="0" w:line="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As of February 13, 2026, the number of shares of the registrant’s Class A common stock outstanding was 265,969,816 and the number of shares of the registrant’s Class B common stock outstanding was 28,697,070.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40"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2026 Annual Meeting of Stockholders are incorporated herein by reference in Part III of this Annual Report on Form 10-K to the extent stated herein. Such Proxy Statement will be filed with the Securities and Exchange Commission within 120 days of the registrant's fiscal year ended January 31,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Auditor Name: KPMG LLP Auditor Location: San Francisco, California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307975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924"/>
        </w:trPr>
        <w:tc>
          <w:tcPr>
            <w:tcW w:w="12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0"/>
          </w:tcPr>
          <w:p>
            <w:pPr>
              <w:jc w:val="center"/>
              <w:ind w:right="28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40" w:type="dxa"/>
            <w:vAlign w:val="bottom"/>
            <w:gridSpan w:val="9"/>
          </w:tcPr>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5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4"/>
        </w:trPr>
        <w:tc>
          <w:tcPr>
            <w:tcW w:w="15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Item 1.</w:t>
            </w:r>
          </w:p>
        </w:tc>
        <w:tc>
          <w:tcPr>
            <w:tcW w:w="620" w:type="dxa"/>
            <w:vAlign w:val="bottom"/>
          </w:tcPr>
          <w:p>
            <w:pPr>
              <w:spacing w:after="0" w:line="174" w:lineRule="exact"/>
              <w:rPr>
                <w:sz w:val="20"/>
                <w:szCs w:val="20"/>
                <w:color w:val="auto"/>
              </w:rPr>
            </w:pPr>
            <w:r>
              <w:rPr>
                <w:rFonts w:ascii="Times New Roman" w:cs="Times New Roman" w:eastAsia="Times New Roman" w:hAnsi="Times New Roman"/>
                <w:sz w:val="17"/>
                <w:szCs w:val="17"/>
                <w:color w:val="0000FF"/>
                <w:w w:val="99"/>
              </w:rPr>
              <w:t>Business</w:t>
            </w:r>
          </w:p>
        </w:tc>
        <w:tc>
          <w:tcPr>
            <w:tcW w:w="7600" w:type="dxa"/>
            <w:vAlign w:val="bottom"/>
            <w:gridSpan w:val="22"/>
          </w:tcPr>
          <w:p>
            <w:pPr>
              <w:spacing w:after="0"/>
              <w:rPr>
                <w:sz w:val="15"/>
                <w:szCs w:val="15"/>
                <w:color w:val="auto"/>
              </w:rPr>
            </w:pPr>
          </w:p>
        </w:tc>
        <w:tc>
          <w:tcPr>
            <w:tcW w:w="840" w:type="dxa"/>
            <w:vAlign w:val="bottom"/>
            <w:gridSpan w:val="3"/>
          </w:tcPr>
          <w:p>
            <w:pPr>
              <w:jc w:val="center"/>
              <w:ind w:left="594"/>
              <w:spacing w:after="0" w:line="174" w:lineRule="exact"/>
              <w:rPr>
                <w:sz w:val="20"/>
                <w:szCs w:val="20"/>
                <w:color w:val="auto"/>
              </w:rPr>
            </w:pPr>
            <w:r>
              <w:rPr>
                <w:rFonts w:ascii="Times New Roman" w:cs="Times New Roman" w:eastAsia="Times New Roman" w:hAnsi="Times New Roman"/>
                <w:sz w:val="17"/>
                <w:szCs w:val="17"/>
                <w:color w:val="0000FF"/>
                <w:w w:val="93"/>
              </w:rPr>
              <w:t>6</w:t>
            </w:r>
          </w:p>
        </w:tc>
        <w:tc>
          <w:tcPr>
            <w:tcW w:w="660" w:type="dxa"/>
            <w:vAlign w:val="bottom"/>
          </w:tcPr>
          <w:p>
            <w:pPr>
              <w:spacing w:after="0"/>
              <w:rPr>
                <w:sz w:val="15"/>
                <w:szCs w:val="15"/>
                <w:color w:val="auto"/>
              </w:rPr>
            </w:pPr>
          </w:p>
        </w:tc>
      </w:tr>
      <w:tr>
        <w:trPr>
          <w:trHeight w:val="20"/>
        </w:trPr>
        <w:tc>
          <w:tcPr>
            <w:tcW w:w="15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82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40" w:type="dxa"/>
            <w:vAlign w:val="bottom"/>
            <w:gridSpan w:val="3"/>
          </w:tcPr>
          <w:p>
            <w:pPr>
              <w:jc w:val="center"/>
              <w:ind w:left="574"/>
              <w:spacing w:after="0"/>
              <w:rPr>
                <w:sz w:val="20"/>
                <w:szCs w:val="20"/>
                <w:color w:val="auto"/>
              </w:rPr>
            </w:pPr>
            <w:r>
              <w:rPr>
                <w:rFonts w:ascii="Times New Roman" w:cs="Times New Roman" w:eastAsia="Times New Roman" w:hAnsi="Times New Roman"/>
                <w:sz w:val="17"/>
                <w:szCs w:val="17"/>
                <w:color w:val="0000FF"/>
              </w:rPr>
              <w:t>14</w:t>
            </w:r>
          </w:p>
        </w:tc>
        <w:tc>
          <w:tcPr>
            <w:tcW w:w="660" w:type="dxa"/>
            <w:vAlign w:val="bottom"/>
          </w:tcPr>
          <w:p>
            <w:pPr>
              <w:spacing w:after="0"/>
              <w:rPr>
                <w:sz w:val="17"/>
                <w:szCs w:val="17"/>
                <w:color w:val="auto"/>
              </w:rPr>
            </w:pP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1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6260" w:type="dxa"/>
            <w:vAlign w:val="bottom"/>
            <w:gridSpan w:val="12"/>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50</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1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696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50</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750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1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74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82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840" w:type="dxa"/>
            <w:vAlign w:val="bottom"/>
            <w:gridSpan w:val="3"/>
          </w:tcPr>
          <w:p>
            <w:pPr>
              <w:jc w:val="center"/>
              <w:ind w:left="574"/>
              <w:spacing w:after="0"/>
              <w:rPr>
                <w:sz w:val="20"/>
                <w:szCs w:val="20"/>
                <w:color w:val="auto"/>
              </w:rPr>
            </w:pPr>
            <w:r>
              <w:rPr>
                <w:rFonts w:ascii="Times New Roman" w:cs="Times New Roman" w:eastAsia="Times New Roman" w:hAnsi="Times New Roman"/>
                <w:sz w:val="17"/>
                <w:szCs w:val="17"/>
                <w:color w:val="0000FF"/>
              </w:rPr>
              <w:t>51</w:t>
            </w:r>
          </w:p>
        </w:tc>
        <w:tc>
          <w:tcPr>
            <w:tcW w:w="660" w:type="dxa"/>
            <w:vAlign w:val="bottom"/>
          </w:tcPr>
          <w:p>
            <w:pPr>
              <w:spacing w:after="0"/>
              <w:rPr>
                <w:sz w:val="17"/>
                <w:szCs w:val="17"/>
                <w:color w:val="auto"/>
              </w:rPr>
            </w:pPr>
          </w:p>
        </w:tc>
      </w:tr>
      <w:tr>
        <w:trPr>
          <w:trHeight w:val="235"/>
        </w:trPr>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40" w:type="dxa"/>
            <w:vAlign w:val="bottom"/>
            <w:gridSpan w:val="9"/>
          </w:tcPr>
          <w:p>
            <w:pPr>
              <w:jc w:val="center"/>
              <w:ind w:right="318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7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60" w:type="dxa"/>
            <w:vAlign w:val="bottom"/>
          </w:tcPr>
          <w:p>
            <w:pPr>
              <w:spacing w:after="0"/>
              <w:rPr>
                <w:sz w:val="20"/>
                <w:szCs w:val="20"/>
                <w:color w:val="auto"/>
              </w:rPr>
            </w:pPr>
          </w:p>
        </w:tc>
      </w:tr>
      <w:tr>
        <w:trPr>
          <w:trHeight w:val="184"/>
        </w:trPr>
        <w:tc>
          <w:tcPr>
            <w:tcW w:w="1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Item 5.</w:t>
            </w:r>
          </w:p>
        </w:tc>
        <w:tc>
          <w:tcPr>
            <w:tcW w:w="7760" w:type="dxa"/>
            <w:vAlign w:val="bottom"/>
            <w:tcBorders>
              <w:bottom w:val="single" w:sz="8" w:color="0000FF"/>
            </w:tcBorders>
            <w:gridSpan w:val="22"/>
          </w:tcPr>
          <w:p>
            <w:pPr>
              <w:spacing w:after="0" w:line="185"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bottom w:val="single" w:sz="8" w:color="0000FF"/>
            </w:tcBorders>
            <w:gridSpan w:val="2"/>
          </w:tcPr>
          <w:p>
            <w:pPr>
              <w:jc w:val="center"/>
              <w:spacing w:after="0" w:line="185" w:lineRule="exact"/>
              <w:rPr>
                <w:sz w:val="20"/>
                <w:szCs w:val="20"/>
                <w:color w:val="auto"/>
              </w:rPr>
            </w:pPr>
            <w:r>
              <w:rPr>
                <w:rFonts w:ascii="Times New Roman" w:cs="Times New Roman" w:eastAsia="Times New Roman" w:hAnsi="Times New Roman"/>
                <w:sz w:val="17"/>
                <w:szCs w:val="17"/>
                <w:color w:val="0000FF"/>
                <w:w w:val="70"/>
              </w:rPr>
              <w:t>51</w:t>
            </w:r>
          </w:p>
        </w:tc>
        <w:tc>
          <w:tcPr>
            <w:tcW w:w="660" w:type="dxa"/>
            <w:vAlign w:val="bottom"/>
          </w:tcPr>
          <w:p>
            <w:pPr>
              <w:spacing w:after="0"/>
              <w:rPr>
                <w:sz w:val="16"/>
                <w:szCs w:val="16"/>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[Reserved]</w:t>
            </w:r>
          </w:p>
        </w:tc>
        <w:tc>
          <w:tcPr>
            <w:tcW w:w="696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82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40" w:type="dxa"/>
            <w:vAlign w:val="bottom"/>
            <w:gridSpan w:val="3"/>
          </w:tcPr>
          <w:p>
            <w:pPr>
              <w:jc w:val="center"/>
              <w:ind w:left="574"/>
              <w:spacing w:after="0"/>
              <w:rPr>
                <w:sz w:val="20"/>
                <w:szCs w:val="20"/>
                <w:color w:val="auto"/>
              </w:rPr>
            </w:pPr>
            <w:r>
              <w:rPr>
                <w:rFonts w:ascii="Times New Roman" w:cs="Times New Roman" w:eastAsia="Times New Roman" w:hAnsi="Times New Roman"/>
                <w:sz w:val="17"/>
                <w:szCs w:val="17"/>
                <w:color w:val="0000FF"/>
              </w:rPr>
              <w:t>53</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61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6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65</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39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240" w:type="dxa"/>
            <w:vAlign w:val="bottom"/>
            <w:tcBorders>
              <w:top w:val="single" w:sz="8" w:color="0000FF"/>
            </w:tcBorders>
          </w:tcPr>
          <w:p>
            <w:pPr>
              <w:spacing w:after="0"/>
              <w:rPr>
                <w:sz w:val="17"/>
                <w:szCs w:val="17"/>
                <w:color w:val="auto"/>
              </w:rPr>
            </w:pPr>
          </w:p>
        </w:tc>
        <w:tc>
          <w:tcPr>
            <w:tcW w:w="406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66</w:t>
            </w:r>
          </w:p>
        </w:tc>
        <w:tc>
          <w:tcPr>
            <w:tcW w:w="660" w:type="dxa"/>
            <w:vAlign w:val="bottom"/>
          </w:tcPr>
          <w:p>
            <w:pPr>
              <w:spacing w:after="0"/>
              <w:rPr>
                <w:sz w:val="17"/>
                <w:szCs w:val="17"/>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62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0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101</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1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500" w:type="dxa"/>
            <w:vAlign w:val="bottom"/>
            <w:gridSpan w:val="11"/>
          </w:tcPr>
          <w:p>
            <w:pPr>
              <w:spacing w:after="0"/>
              <w:rPr>
                <w:sz w:val="17"/>
                <w:szCs w:val="17"/>
                <w:color w:val="auto"/>
              </w:rPr>
            </w:pPr>
          </w:p>
        </w:tc>
        <w:tc>
          <w:tcPr>
            <w:tcW w:w="202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101</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1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40" w:type="dxa"/>
            <w:vAlign w:val="bottom"/>
            <w:gridSpan w:val="3"/>
          </w:tcPr>
          <w:p>
            <w:pPr>
              <w:spacing w:after="0"/>
              <w:rPr>
                <w:sz w:val="17"/>
                <w:szCs w:val="17"/>
                <w:color w:val="auto"/>
              </w:rPr>
            </w:pPr>
          </w:p>
        </w:tc>
        <w:tc>
          <w:tcPr>
            <w:tcW w:w="652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102</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2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82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rPr>
              <w:t>102</w:t>
            </w:r>
          </w:p>
        </w:tc>
      </w:tr>
      <w:tr>
        <w:trPr>
          <w:trHeight w:val="215"/>
        </w:trPr>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gridSpan w:val="3"/>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348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r>
      <w:tr>
        <w:trPr>
          <w:trHeight w:val="184"/>
        </w:trPr>
        <w:tc>
          <w:tcPr>
            <w:tcW w:w="1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Item 10.</w:t>
            </w:r>
          </w:p>
        </w:tc>
        <w:tc>
          <w:tcPr>
            <w:tcW w:w="5220" w:type="dxa"/>
            <w:vAlign w:val="bottom"/>
            <w:gridSpan w:val="18"/>
          </w:tcPr>
          <w:p>
            <w:pPr>
              <w:spacing w:after="0" w:line="185"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300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102</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5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30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82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5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30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52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30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35"/>
        </w:trPr>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40" w:type="dxa"/>
            <w:vAlign w:val="bottom"/>
            <w:gridSpan w:val="9"/>
          </w:tcPr>
          <w:p>
            <w:pPr>
              <w:jc w:val="center"/>
              <w:ind w:right="320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72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60" w:type="dxa"/>
            <w:vAlign w:val="bottom"/>
          </w:tcPr>
          <w:p>
            <w:pPr>
              <w:spacing w:after="0"/>
              <w:rPr>
                <w:sz w:val="20"/>
                <w:szCs w:val="20"/>
                <w:color w:val="auto"/>
              </w:rPr>
            </w:pPr>
          </w:p>
        </w:tc>
      </w:tr>
      <w:tr>
        <w:trPr>
          <w:trHeight w:val="184"/>
        </w:trPr>
        <w:tc>
          <w:tcPr>
            <w:tcW w:w="15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Item 15.</w:t>
            </w:r>
          </w:p>
        </w:tc>
        <w:tc>
          <w:tcPr>
            <w:tcW w:w="2780" w:type="dxa"/>
            <w:vAlign w:val="bottom"/>
            <w:gridSpan w:val="13"/>
          </w:tcPr>
          <w:p>
            <w:pPr>
              <w:spacing w:after="0" w:line="185" w:lineRule="exact"/>
              <w:rPr>
                <w:sz w:val="20"/>
                <w:szCs w:val="20"/>
                <w:color w:val="auto"/>
              </w:rPr>
            </w:pPr>
            <w:r>
              <w:rPr>
                <w:rFonts w:ascii="Times New Roman" w:cs="Times New Roman" w:eastAsia="Times New Roman" w:hAnsi="Times New Roman"/>
                <w:sz w:val="17"/>
                <w:szCs w:val="17"/>
                <w:color w:val="0000FF"/>
              </w:rPr>
              <w:t>Exhibits, Financial Statement Schedules</w:t>
            </w:r>
          </w:p>
        </w:tc>
        <w:tc>
          <w:tcPr>
            <w:tcW w:w="544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103</w:t>
            </w:r>
          </w:p>
        </w:tc>
      </w:tr>
      <w:tr>
        <w:trPr>
          <w:trHeight w:val="20"/>
        </w:trPr>
        <w:tc>
          <w:tcPr>
            <w:tcW w:w="1520" w:type="dxa"/>
            <w:vAlign w:val="bottom"/>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27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44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105</w:t>
            </w:r>
          </w:p>
        </w:tc>
      </w:tr>
      <w:tr>
        <w:trPr>
          <w:trHeight w:val="20"/>
        </w:trPr>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740" w:type="dxa"/>
            <w:vAlign w:val="bottom"/>
            <w:gridSpan w:val="1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r>
        <w:trPr>
          <w:trHeight w:val="200"/>
        </w:trPr>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74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0000FF"/>
                <w:w w:val="70"/>
              </w:rPr>
              <w:t>106</w:t>
            </w:r>
          </w:p>
        </w:tc>
      </w:tr>
      <w:tr>
        <w:trPr>
          <w:trHeight w:val="20"/>
        </w:trPr>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bl>
    <w:p>
      <w:pPr>
        <w:spacing w:after="0" w:line="320" w:lineRule="exact"/>
        <w:rPr>
          <w:sz w:val="20"/>
          <w:szCs w:val="20"/>
          <w:color w:val="auto"/>
        </w:rPr>
      </w:pPr>
    </w:p>
    <w:p>
      <w:pPr>
        <w:ind w:right="780"/>
        <w:spacing w:after="0" w:line="272" w:lineRule="auto"/>
        <w:rPr>
          <w:sz w:val="20"/>
          <w:szCs w:val="20"/>
          <w:color w:val="auto"/>
        </w:rPr>
      </w:pPr>
      <w:r>
        <w:rPr>
          <w:rFonts w:ascii="Times New Roman" w:cs="Times New Roman" w:eastAsia="Times New Roman" w:hAnsi="Times New Roman"/>
          <w:sz w:val="17"/>
          <w:szCs w:val="17"/>
          <w:color w:val="auto"/>
        </w:rPr>
        <w:t>Unless the context suggests otherwise, references in this Annual Report on Form 10-K to “Zoom,” the “Company,” “we,” “us” and “our” refer to Zoom Communications, Inc. and, where appropriate,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9"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and evolving AI capabilities; our product strategy; our efforts to enhance the security and privacy of our platform; our ability to operate our business and effectively manage our scale under evolving macroeconomic conditions, such as geopolitical conflicts, tariffs and trade tensions, inflationary pressures, interest rate fluctuations, and foreign currency exchange rate volatility;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283"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28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7"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70"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19" w:lineRule="exact"/>
        <w:rPr>
          <w:sz w:val="20"/>
          <w:szCs w:val="20"/>
          <w:color w:val="auto"/>
        </w:rPr>
      </w:pPr>
    </w:p>
    <w:p>
      <w:pPr>
        <w:ind w:right="60" w:firstLine="465"/>
        <w:spacing w:after="0" w:line="270" w:lineRule="auto"/>
        <w:rPr>
          <w:sz w:val="20"/>
          <w:szCs w:val="20"/>
          <w:color w:val="auto"/>
        </w:rPr>
      </w:pPr>
      <w:r>
        <w:rPr>
          <w:rFonts w:ascii="Times New Roman" w:cs="Times New Roman" w:eastAsia="Times New Roman" w:hAnsi="Times New Roman"/>
          <w:sz w:val="17"/>
          <w:szCs w:val="17"/>
          <w:color w:val="auto"/>
        </w:rPr>
        <w:t>Investing in our Class A common stock involves numerous risks, including the risks described in “Part I—Item 1A. Risk Factors” of this Annual Report on Form 10-K. Below are some of these risks, any one of which could materially adversely affect our business, financial condition, results of operations, and prospects.</w:t>
      </w:r>
    </w:p>
    <w:p>
      <w:pPr>
        <w:spacing w:after="0" w:line="64" w:lineRule="exact"/>
        <w:rPr>
          <w:sz w:val="20"/>
          <w:szCs w:val="20"/>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has fluctuated in prior periods, and may decline in future periods.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spacing w:after="0" w:line="47"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significantly affected by changes in the economy, including any resulting effect on consumer or business spending.</w:t>
      </w:r>
    </w:p>
    <w:p>
      <w:pPr>
        <w:spacing w:after="0" w:line="114" w:lineRule="exact"/>
        <w:rPr>
          <w:rFonts w:ascii="Times New Roman" w:cs="Times New Roman" w:eastAsia="Times New Roman" w:hAnsi="Times New Roman"/>
          <w:sz w:val="17"/>
          <w:szCs w:val="17"/>
          <w:color w:val="auto"/>
        </w:rPr>
      </w:pPr>
    </w:p>
    <w:p>
      <w:pPr>
        <w:ind w:left="620" w:hanging="307"/>
        <w:spacing w:after="0" w:line="264"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we increase sales to large organizations, our sales cycles have and could continue to lengthen, and we could experience greater deployment challenges.</w:t>
      </w:r>
    </w:p>
    <w:p>
      <w:pPr>
        <w:spacing w:after="0" w:line="301"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any decline in demand for our platform or for communications and collaboration technologies in general would harm our business.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in the past and there are no assurances we will be able to maintain or increase profitability in the future.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respond to rapid technological changes, extend our platform or develop new features.</w:t>
      </w:r>
    </w:p>
    <w:p>
      <w:pPr>
        <w:spacing w:after="0" w:line="114"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w:t>
      </w:r>
    </w:p>
    <w:p>
      <w:pPr>
        <w:spacing w:after="0" w:line="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at the current scale of our business, which makes it difficult to evaluate our prospects and future results of operations.</w:t>
      </w:r>
    </w:p>
    <w:p>
      <w:pPr>
        <w:spacing w:after="0" w:line="114"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or perceived failure by us, our customers, partners, or vendors to comply with stringent and evolving laws and regulations, industry standards, policies, and contractual obligations relating to privacy, data protection, information security laws, and other matters could harm, and has in the past harmed, our reputation and business or subject us to significant fines and liability.</w:t>
      </w:r>
    </w:p>
    <w:p>
      <w:pPr>
        <w:spacing w:after="0" w:line="6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were to lose the services of our Chief Executive Officer or other members of our senior management team, we may not be able to execute our business strategy.</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significant and expanding operations outside the United States, which may subject us to increased business, regulatory, and economic risks that could harm our business.</w:t>
      </w:r>
    </w:p>
    <w:p>
      <w:pPr>
        <w:spacing w:after="0" w:line="4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our products, including Zoom Phone, are subject to U.S. federal and international regulation, and other products we may introduce in the future may also be subject to U.S. federal, state, or international laws, rules,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regulations. Failure to comply with such laws, rules, and regulations could harm our business and expose us to liability.</w:t>
      </w:r>
    </w:p>
    <w:p>
      <w:pPr>
        <w:spacing w:after="0" w:line="115" w:lineRule="exact"/>
        <w:rPr>
          <w:sz w:val="20"/>
          <w:szCs w:val="20"/>
          <w:color w:val="auto"/>
        </w:rPr>
      </w:pPr>
    </w:p>
    <w:p>
      <w:pPr>
        <w:ind w:left="6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generative artificial intelligence (“AI”) in our products and services, which may result in operational challenges, legal liability, reputational concerns, competitive risks and regulatory concerns that could adversely affect our business and results of operations.</w:t>
      </w:r>
    </w:p>
    <w:p>
      <w:pPr>
        <w:spacing w:after="0" w:line="4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If we are unable to adequately address these and other risks we face, our business may be harmed.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Zoom is redefining modern work as a system of action, turning live collaboration into completed results. From entrepreneurs to global enterprises, customers choose Zoom to seamlessly collaborate, communicate, and drive outcomes across meetings, chat, phone, contact center, events, and more — all with the built-in assistance of Zoom AI Companion. Our mission to deliver happiness, grounded in our core value of care, is fundamental to everything we do at Zoom.</w:t>
      </w:r>
    </w:p>
    <w:p>
      <w:pPr>
        <w:spacing w:after="0" w:line="6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Our platform bridges work both inside and outside the organization by integrating AI capabilities across employee collaboration and customer-facing workflows, enabling seamless communication, collaboration, and engagement through Zoom Workplace and Zoom Business Services. Zoom Workplace with AI Companion brings together Zoom’s core communication and productivity tools—including Zoom Meetings, Zoom Phone, Zoom Team Chat, Zoom Docs, and Zoom Whiteboard—to support collaboration across organizations of varying sizes. Zoom’s Business Services for sales, marketing, and customer experience teams, including Zoom Contact Center, Zoom Revenue Accelerator, and Zoom Events, support customer engagement across the the customer lifecycle. Trust is a cornerstone of the Zoom platform. We equip users with a comprehensive set of tools to make their interactions safe, secure, and private. We believe that strong security should never compromise a great user experience.</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Businesses of all sizes and individuals alike choose Zoom over other industry players for several reasons:</w:t>
      </w:r>
    </w:p>
    <w:p>
      <w:pPr>
        <w:spacing w:after="0" w:line="111" w:lineRule="exact"/>
        <w:rPr>
          <w:sz w:val="20"/>
          <w:szCs w:val="20"/>
          <w:color w:val="auto"/>
        </w:rPr>
      </w:pPr>
    </w:p>
    <w:p>
      <w:pPr>
        <w:ind w:left="1080" w:hanging="611"/>
        <w:spacing w:after="0" w:line="293" w:lineRule="auto"/>
        <w:tabs>
          <w:tab w:leader="none" w:pos="10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We care for customers at Zoom speed: </w:t>
      </w:r>
      <w:r>
        <w:rPr>
          <w:rFonts w:ascii="Times New Roman" w:cs="Times New Roman" w:eastAsia="Times New Roman" w:hAnsi="Times New Roman"/>
          <w:sz w:val="17"/>
          <w:szCs w:val="17"/>
          <w:color w:val="auto"/>
        </w:rPr>
        <w:t>Zoom puts customers first and is committed to providing a platform and products that people love. Zoom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listens to its customers and puts innovation in customers' hands quickly to serve their needs.</w:t>
      </w:r>
    </w:p>
    <w:p>
      <w:pPr>
        <w:spacing w:after="0" w:line="39"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AI-first: </w:t>
      </w:r>
      <w:r>
        <w:rPr>
          <w:rFonts w:ascii="Times New Roman" w:cs="Times New Roman" w:eastAsia="Times New Roman" w:hAnsi="Times New Roman"/>
          <w:sz w:val="17"/>
          <w:szCs w:val="17"/>
          <w:color w:val="auto"/>
        </w:rPr>
        <w:t>Zoom’s mission is to deliver an AI-first work platform for human connection. This AI-first approach to Zoom Workplace and Zoom</w:t>
      </w:r>
    </w:p>
    <w:p>
      <w:pPr>
        <w:spacing w:after="0" w:line="31" w:lineRule="exact"/>
        <w:rPr>
          <w:rFonts w:ascii="Times New Roman" w:cs="Times New Roman" w:eastAsia="Times New Roman" w:hAnsi="Times New Roman"/>
          <w:sz w:val="17"/>
          <w:szCs w:val="17"/>
          <w:color w:val="auto"/>
        </w:rPr>
      </w:pPr>
    </w:p>
    <w:p>
      <w:pPr>
        <w:ind w:left="108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Services is designed to empower individuals and teams to free up time and focus on what matters most: engaging, connecting, and delivering creative and insightful work, all within a single unified platform.</w:t>
      </w:r>
    </w:p>
    <w:p>
      <w:pPr>
        <w:spacing w:after="0" w:line="61" w:lineRule="exact"/>
        <w:rPr>
          <w:rFonts w:ascii="Times New Roman" w:cs="Times New Roman" w:eastAsia="Times New Roman" w:hAnsi="Times New Roman"/>
          <w:sz w:val="17"/>
          <w:szCs w:val="17"/>
          <w:color w:val="auto"/>
        </w:rPr>
      </w:pPr>
    </w:p>
    <w:p>
      <w:pPr>
        <w:ind w:left="1080" w:hanging="611"/>
        <w:spacing w:after="0" w:line="293" w:lineRule="auto"/>
        <w:tabs>
          <w:tab w:leader="none" w:pos="10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Enterprise readiness: </w:t>
      </w:r>
      <w:r>
        <w:rPr>
          <w:rFonts w:ascii="Times New Roman" w:cs="Times New Roman" w:eastAsia="Times New Roman" w:hAnsi="Times New Roman"/>
          <w:sz w:val="17"/>
          <w:szCs w:val="17"/>
          <w:color w:val="auto"/>
        </w:rPr>
        <w:t>Zoom is built to meet the needs of enterprises, with robust reliability, security, compliance, and privacy capabilities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policies.</w:t>
      </w:r>
    </w:p>
    <w:p>
      <w:pPr>
        <w:spacing w:after="0" w:line="39"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Designed for flexible work: </w:t>
      </w:r>
      <w:r>
        <w:rPr>
          <w:rFonts w:ascii="Times New Roman" w:cs="Times New Roman" w:eastAsia="Times New Roman" w:hAnsi="Times New Roman"/>
          <w:sz w:val="17"/>
          <w:szCs w:val="17"/>
          <w:color w:val="auto"/>
        </w:rPr>
        <w:t>Zoom is a platform designed for flexible communication and today’s flexible work needs.</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Zoom just works: </w:t>
      </w:r>
      <w:r>
        <w:rPr>
          <w:rFonts w:ascii="Times New Roman" w:cs="Times New Roman" w:eastAsia="Times New Roman" w:hAnsi="Times New Roman"/>
          <w:sz w:val="17"/>
          <w:szCs w:val="17"/>
          <w:color w:val="auto"/>
        </w:rPr>
        <w:t>Ease of use is a core design principle, along with quality and reliability.</w:t>
      </w:r>
    </w:p>
    <w:p>
      <w:pPr>
        <w:spacing w:after="0" w:line="114" w:lineRule="exact"/>
        <w:rPr>
          <w:rFonts w:ascii="Times New Roman" w:cs="Times New Roman" w:eastAsia="Times New Roman" w:hAnsi="Times New Roman"/>
          <w:sz w:val="17"/>
          <w:szCs w:val="17"/>
          <w:color w:val="auto"/>
        </w:rPr>
      </w:pPr>
    </w:p>
    <w:p>
      <w:pPr>
        <w:ind w:left="1080" w:hanging="611"/>
        <w:spacing w:after="0" w:line="293" w:lineRule="auto"/>
        <w:tabs>
          <w:tab w:leader="none" w:pos="10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Cost-effective and value-focused: </w:t>
      </w:r>
      <w:r>
        <w:rPr>
          <w:rFonts w:ascii="Times New Roman" w:cs="Times New Roman" w:eastAsia="Times New Roman" w:hAnsi="Times New Roman"/>
          <w:sz w:val="17"/>
          <w:szCs w:val="17"/>
          <w:color w:val="auto"/>
        </w:rPr>
        <w:t>The total cost of ownership of the Zoom platform, encompassing both employee and customer experiences,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less than that of our competitors.</w:t>
      </w:r>
    </w:p>
    <w:p>
      <w:pPr>
        <w:spacing w:after="0" w:line="39" w:lineRule="exact"/>
        <w:rPr>
          <w:rFonts w:ascii="Times New Roman" w:cs="Times New Roman" w:eastAsia="Times New Roman" w:hAnsi="Times New Roman"/>
          <w:sz w:val="17"/>
          <w:szCs w:val="17"/>
          <w:color w:val="auto"/>
        </w:rPr>
      </w:pPr>
    </w:p>
    <w:p>
      <w:pPr>
        <w:ind w:left="1080" w:hanging="611"/>
        <w:spacing w:after="0" w:line="293" w:lineRule="auto"/>
        <w:tabs>
          <w:tab w:leader="none" w:pos="10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Open platform that enables customer choice: </w:t>
      </w:r>
      <w:r>
        <w:rPr>
          <w:rFonts w:ascii="Times New Roman" w:cs="Times New Roman" w:eastAsia="Times New Roman" w:hAnsi="Times New Roman"/>
          <w:sz w:val="17"/>
          <w:szCs w:val="17"/>
          <w:color w:val="auto"/>
        </w:rPr>
        <w:t>The Zoom developer ecosystem enables customers to choose the apps and integrations they prefer.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Zoom offers more than 3,100 apps on the Zoom App Marketplace and integrations with key software vendors, such as Microsoft and Google.</w:t>
      </w:r>
    </w:p>
    <w:p>
      <w:pPr>
        <w:spacing w:after="0" w:line="44"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We’re on a mission to reimagine the way the world communicates and collaborates. Zoom brings employee and customer experiences together into a single, AI-first, open platform that people love to use. Flagship products like Zoom Meetings, Zoom Phone, Zoom Team Chat, and Zoom AI Companion, are among the core products on the platform that are critical to business communication and collaboration needs. We strive to continue building a platform that helps people work smarter, be more engaged with work, and better connect with each other. AI has been core to Zoom’s product DNA for many years, grounded in our conviction that AI can make work more human by strengthening collaboration, productivity, and inclusivity.</w:t>
      </w:r>
    </w:p>
    <w:p>
      <w:pPr>
        <w:spacing w:after="0" w:line="70"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In fiscal year 2026, Zoom continued to invest in AI, focusing on three key areas: supporting individual productivity, powering better collaboration, and helping customer-facing teams deliver meaningful business value to delight their customers. In September 2023, we launched Zoom AI Companion, our smart assistant that is designed to empower workers to increase productivity, improve team effectiveness, and enhance skills. Additionally, we introduced our federated approach to AI, which enables the use of multiple large language models (“LLMs”), including Zoom’s own, to complete each task for users. Zoom’s federated approach allows its tech stack to dynamically select from multiple AI models, including those from OpenAI, Anthropic, and NVIDIA, making AI accessible and affordable so that more people can incorporate it in their day-to-day workflows. With these advancements in AI Companion and our broader AI strategy, we believe we’re well-positioned as AI technology continues to evolve. We are evolving agentic AI capabilities within AI Companion that will continue to deliver practical value to customers while building on our ambitious vision of AI that truly amplifies human potential for our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customers. In line with our commitment to responsible AI, Zoom does not use customer audio, video, chat, screen sharing, attachments, or other communications (such as poll results, whiteboard, and reactions) to train Zoom’s or third-party AI models.</w:t>
      </w:r>
    </w:p>
    <w:p>
      <w:pPr>
        <w:spacing w:after="0" w:line="4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Zoom continues to be at the center of flexible work. Our continued product innovation is laser-focused on supporting a flexible work environment, with new innovations in areas such as document collaboration, hybrid workspaces, and employee communication. Additionally, our employee experience platform, Workvivo, deepens our commitment to creating a platform that is focused on connecting and engaging employees.</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Unlike most Contact Center as a Service (“CCaaS”) solutions that are only optimized for voice, Zoom Contact Center is an omnichannel cloud contact center platform that is optimized for video and intentionally supports a robust suite of channels, such as voice and video, SMS, and webchat. The result is a one-stop shop designed for customer experience leaders to deliver excellence to their customers and to strengthen workforce engagement.</w:t>
      </w:r>
    </w:p>
    <w:p>
      <w:pPr>
        <w:spacing w:after="0" w:line="64"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The happiness we deliver is recognized by our customers. Zoom has consistently earned high scores across customer review sites, Gartner Peer Insights, TrustRadius, and G2, including being recognized as a Customers’ Choice in the Gartner Peer Insights “Voice of the Customer” for Unified Communications as a Service (“UCaaS”) and Visual Collaboration Applications for three consecutive years, and a Leader badge for Zoom Contact Center by G2. Industry analysts also recognize our market leadership across our platform and products: Gartner has named Zoom a leader in the Magic Quadrant for UCaaS for the sixth year in a row, and Workvivo was named a leader in the Magic Quadrant for Intranet Packaged Solutions. In addition, Zoom Contact Center was recognized in the 2025 Gartner Magic Quadrant for Contact Center as a Service, representing a key milestone in the growth of our customer experience offerings. Forrester published its Forrester Wave for Conversational Intelligence, where Zoom Revenue Accelerator debuted as a “Strong” player. IDC named Zoom Events as a leader in its IDC MarketScape for Worldwide Virtual Events Applications. Zoom Workplace was included in Fast Company’s 2025 Most Innovative Companies list, named a recipient of 2026 Fortune Most Admired Companies, awarded a Newsweek AI Impact award for Zoom AI Companion, a Tech Ascension award for AI-powered Enterprise Solution of the Year, as well as Most Innovative Product (for AI Companion), Best Unified Communications Platform (for Zoom Workplace), Best UCaaS Provider AMERICAS, and Best Contact Center Solution from UC Today’s 2025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19" w:lineRule="exact"/>
        <w:rPr>
          <w:sz w:val="20"/>
          <w:szCs w:val="20"/>
          <w:color w:val="auto"/>
        </w:rPr>
      </w:pPr>
    </w:p>
    <w:p>
      <w:pPr>
        <w:ind w:left="460"/>
        <w:spacing w:after="0" w:line="288" w:lineRule="auto"/>
        <w:rPr>
          <w:sz w:val="20"/>
          <w:szCs w:val="20"/>
          <w:color w:val="auto"/>
        </w:rPr>
      </w:pPr>
      <w:r>
        <w:rPr>
          <w:rFonts w:ascii="Times New Roman" w:cs="Times New Roman" w:eastAsia="Times New Roman" w:hAnsi="Times New Roman"/>
          <w:sz w:val="17"/>
          <w:szCs w:val="17"/>
          <w:color w:val="auto"/>
        </w:rPr>
        <w:t>We focus on the following elements of our strategy to drive our growth, centered on elevating the workplace with AI, driving growth of new AI products, and scaling an AI-first customer experience:</w:t>
      </w:r>
    </w:p>
    <w:p>
      <w:pPr>
        <w:spacing w:after="0" w:line="44" w:lineRule="exact"/>
        <w:rPr>
          <w:sz w:val="20"/>
          <w:szCs w:val="20"/>
          <w:color w:val="auto"/>
        </w:rPr>
      </w:pPr>
    </w:p>
    <w:p>
      <w:pPr>
        <w:jc w:val="both"/>
        <w:ind w:left="1080" w:hanging="611"/>
        <w:spacing w:after="0" w:line="263" w:lineRule="auto"/>
        <w:tabs>
          <w:tab w:leader="none" w:pos="10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Keep our existing customers happy. </w:t>
      </w:r>
      <w:r>
        <w:rPr>
          <w:rFonts w:ascii="Times New Roman" w:cs="Times New Roman" w:eastAsia="Times New Roman" w:hAnsi="Times New Roman"/>
          <w:sz w:val="17"/>
          <w:szCs w:val="17"/>
          <w:color w:val="auto"/>
        </w:rPr>
        <w:t>We deliver happiness to our customers by providing them with an AI-first collaboration experience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drives meaningful business value with a growing set of AI features that are deeply woven across the platform and include meeting summaries, task suggestions, knowledge retrieval, insights, and more. We respond to customer needs with action to drive positive user experiences. We believe these practices result in our high scores across customer review sites and will continue to generate referrals from our existing customers, providing meaningful viral adoption for the foreseeable future.</w:t>
      </w:r>
    </w:p>
    <w:p>
      <w:pPr>
        <w:spacing w:after="0" w:line="65" w:lineRule="exact"/>
        <w:rPr>
          <w:rFonts w:ascii="Times New Roman" w:cs="Times New Roman" w:eastAsia="Times New Roman" w:hAnsi="Times New Roman"/>
          <w:sz w:val="17"/>
          <w:szCs w:val="17"/>
          <w:color w:val="auto"/>
        </w:rPr>
      </w:pPr>
    </w:p>
    <w:p>
      <w:pPr>
        <w:jc w:val="both"/>
        <w:ind w:left="1080" w:hanging="611"/>
        <w:spacing w:after="0" w:line="261" w:lineRule="auto"/>
        <w:tabs>
          <w:tab w:leader="none" w:pos="10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Drive new customer acquisition. </w:t>
      </w:r>
      <w:r>
        <w:rPr>
          <w:rFonts w:ascii="Times New Roman" w:cs="Times New Roman" w:eastAsia="Times New Roman" w:hAnsi="Times New Roman"/>
          <w:sz w:val="17"/>
          <w:szCs w:val="17"/>
          <w:color w:val="auto"/>
        </w:rPr>
        <w:t>Our platform is designed to make collaboration seamless and easy, and allow our users to accomplish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leveraging our AI features for automated insights, meeting support, and more. By attracting free users to our platform, we promote usage that allows them and their meeting attendees to experience the Zoom difference. We complement this lead-generation model with our multipronged go-to-market strategy that integrates the viral enthusiasm for our platform with optimal routes to market, including direct sales representatives, online channels, resellers, and strategic partners. This approach is designed to allow us to cost-effectively drive upgrades to our paid offering and expansion within organizations of all sizes and verticals.</w:t>
      </w:r>
    </w:p>
    <w:p>
      <w:pPr>
        <w:spacing w:after="0" w:line="68" w:lineRule="exact"/>
        <w:rPr>
          <w:rFonts w:ascii="Times New Roman" w:cs="Times New Roman" w:eastAsia="Times New Roman" w:hAnsi="Times New Roman"/>
          <w:sz w:val="17"/>
          <w:szCs w:val="17"/>
          <w:color w:val="auto"/>
        </w:rPr>
      </w:pPr>
    </w:p>
    <w:p>
      <w:pPr>
        <w:jc w:val="both"/>
        <w:ind w:left="1080" w:hanging="611"/>
        <w:spacing w:after="0" w:line="263" w:lineRule="auto"/>
        <w:tabs>
          <w:tab w:leader="none" w:pos="1075"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Drive continuous innovation across our platform. </w:t>
      </w:r>
      <w:r>
        <w:rPr>
          <w:rFonts w:ascii="Times New Roman" w:cs="Times New Roman" w:eastAsia="Times New Roman" w:hAnsi="Times New Roman"/>
          <w:sz w:val="17"/>
          <w:szCs w:val="17"/>
          <w:color w:val="auto"/>
        </w:rPr>
        <w:t>Our engineers aim to stay on the cutting edge of communication, collaboration, and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technologies that enhance productivity and streamline workflows. We strive to deliver the best experience to our users by dedicating a portion of our engineering capacity to developing on-demand, customer-requested features that would be valuable across our customer base. We are focused on bolstering innovation across the following product categories with high-quality AI as the connective tissue: employee experience, customer experience, core communications, and departmental and industry-specific solutions.</w:t>
      </w:r>
    </w:p>
    <w:p>
      <w:pPr>
        <w:spacing w:after="0" w:line="65" w:lineRule="exact"/>
        <w:rPr>
          <w:rFonts w:ascii="Arial" w:cs="Arial" w:eastAsia="Arial" w:hAnsi="Arial"/>
          <w:sz w:val="17"/>
          <w:szCs w:val="17"/>
          <w:color w:val="auto"/>
        </w:rPr>
      </w:pPr>
    </w:p>
    <w:p>
      <w:pPr>
        <w:jc w:val="both"/>
        <w:ind w:left="1080" w:hanging="611"/>
        <w:spacing w:after="0" w:line="266" w:lineRule="auto"/>
        <w:tabs>
          <w:tab w:leader="none" w:pos="10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Drive international expansion. </w:t>
      </w:r>
      <w:r>
        <w:rPr>
          <w:rFonts w:ascii="Times New Roman" w:cs="Times New Roman" w:eastAsia="Times New Roman" w:hAnsi="Times New Roman"/>
          <w:sz w:val="17"/>
          <w:szCs w:val="17"/>
          <w:color w:val="auto"/>
        </w:rPr>
        <w:t>With users, offices, and data centers strategically located around the world, we are poised to reach new customers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globally. AI features, such as translated captions, support collaboration across languages and regions. Our platform is intuitively designed such that localization requirements are minimal. For example, our platform works without intensive translation requirements with only a few language adjustments to our user interface and support systems. Zoom continues to make meetings more effective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80"/>
        <w:spacing w:after="0" w:line="265" w:lineRule="auto"/>
        <w:rPr>
          <w:sz w:val="20"/>
          <w:szCs w:val="20"/>
          <w:color w:val="auto"/>
        </w:rPr>
      </w:pPr>
      <w:r>
        <w:rPr>
          <w:rFonts w:ascii="Times New Roman" w:cs="Times New Roman" w:eastAsia="Times New Roman" w:hAnsi="Times New Roman"/>
          <w:sz w:val="17"/>
          <w:szCs w:val="17"/>
          <w:color w:val="auto"/>
        </w:rPr>
        <w:t>inclusive with the introduction of AI-powered language captions and translations. Within a Zoom Meeting, translated captions will translate the source language into English captions or translate from English to the language selected by the meeting participant. Translated captions support more than 35 languages. This facilitates seamless collaboration and helps to improve attendee engagement, including after the meeting, through AI Companion summaries.</w:t>
      </w:r>
    </w:p>
    <w:p>
      <w:pPr>
        <w:spacing w:after="0" w:line="63" w:lineRule="exact"/>
        <w:rPr>
          <w:sz w:val="20"/>
          <w:szCs w:val="20"/>
          <w:color w:val="auto"/>
        </w:rPr>
      </w:pPr>
    </w:p>
    <w:p>
      <w:pPr>
        <w:jc w:val="both"/>
        <w:ind w:left="1080" w:hanging="611"/>
        <w:spacing w:after="0" w:line="266" w:lineRule="auto"/>
        <w:tabs>
          <w:tab w:leader="none" w:pos="10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Pursue Strategic Acquisitions. </w:t>
      </w:r>
      <w:r>
        <w:rPr>
          <w:rFonts w:ascii="Times New Roman" w:cs="Times New Roman" w:eastAsia="Times New Roman" w:hAnsi="Times New Roman"/>
          <w:sz w:val="17"/>
          <w:szCs w:val="17"/>
          <w:color w:val="auto"/>
        </w:rPr>
        <w:t>We selectively pursue acquisitions in high-growth markets where we can credibly establish leadership, targeting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opportunities aligned with our long-term strategic objectives that offer differentiated synergies and demonstrated product-market fit. We prioritize targets with durable revenue growth, a clear path to profitability, and strong cultural alignment, supported by well-defined integration plans designed to accelerate sustainable value creation.</w:t>
      </w:r>
    </w:p>
    <w:p>
      <w:pPr>
        <w:spacing w:after="0" w:line="63" w:lineRule="exact"/>
        <w:rPr>
          <w:rFonts w:ascii="Times New Roman" w:cs="Times New Roman" w:eastAsia="Times New Roman" w:hAnsi="Times New Roman"/>
          <w:sz w:val="17"/>
          <w:szCs w:val="17"/>
          <w:color w:val="auto"/>
        </w:rPr>
      </w:pPr>
    </w:p>
    <w:p>
      <w:pPr>
        <w:jc w:val="both"/>
        <w:ind w:left="1080" w:hanging="611"/>
        <w:spacing w:after="0" w:line="262" w:lineRule="auto"/>
        <w:tabs>
          <w:tab w:leader="none" w:pos="10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Expand within existing customers. </w:t>
      </w:r>
      <w:r>
        <w:rPr>
          <w:rFonts w:ascii="Times New Roman" w:cs="Times New Roman" w:eastAsia="Times New Roman" w:hAnsi="Times New Roman"/>
          <w:sz w:val="17"/>
          <w:szCs w:val="17"/>
          <w:color w:val="auto"/>
        </w:rPr>
        <w:t>As organizations experience our platform and become familiar with its benefits, more teams and departments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within these organizations adopt Zoom. Our AI tools are woven across the platform, and are able to drive more insights and support more workflows as users broaden usage across our platform. Lines of business are often first to adopt our platform and provide an opportunity for further expansion across departments. This “land and expand” model has led to some of our largest deployments. Customers are also purchasing services for events, webinars, room solutions, phone, contact center, and employee experience, creating a complete and integrated set of communications services.</w:t>
      </w:r>
    </w:p>
    <w:p>
      <w:pPr>
        <w:spacing w:after="0" w:line="276" w:lineRule="exact"/>
        <w:rPr>
          <w:rFonts w:ascii="Times New Roman" w:cs="Times New Roman" w:eastAsia="Times New Roman" w:hAnsi="Times New Roman"/>
          <w:sz w:val="17"/>
          <w:szCs w:val="17"/>
          <w:color w:val="auto"/>
        </w:rPr>
      </w:pPr>
    </w:p>
    <w:p>
      <w:pPr>
        <w:jc w:val="both"/>
        <w:ind w:left="1080" w:hanging="611"/>
        <w:spacing w:after="0" w:line="261" w:lineRule="auto"/>
        <w:tabs>
          <w:tab w:leader="none" w:pos="10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Grow our developer ecosystem. </w:t>
      </w:r>
      <w:r>
        <w:rPr>
          <w:rFonts w:ascii="Times New Roman" w:cs="Times New Roman" w:eastAsia="Times New Roman" w:hAnsi="Times New Roman"/>
          <w:sz w:val="17"/>
          <w:szCs w:val="17"/>
          <w:color w:val="auto"/>
        </w:rPr>
        <w:t>Through the Zoom Developer ecosystem, we enable customers and their developers to build their own solutions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our underlying platform technology, seamlessly embed our platform into their own offerings, and integrate their applications across Zoom products using our extensive library of application program interfaces (“APIs”) and selection of software development kits (“SDKs”). Developers can leverage AI tools to enhance their integrations and provide intelligent experiences. The Zoom App Marketplace further extends the value and adoption of Zoom with our customers through the development and distribution of apps and integrations. We continue to partner with video conferencing hardware and peripheral providers, as well as with software providers such as Palo Alto Networks, Zendesk, and Box.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Platform</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Zoom is redefining modern work as a system of action, and our AI-first platform is central to this evolution, turning live collaboration into completed results. Our platform enables customers to seamlessly collaborate, communicate, and bridge work both inside and outside the organization, using AI to help drive productivity, engagement, and business results. The products in our work platform are grouped under the following categories, which are further described below:</w:t>
      </w:r>
    </w:p>
    <w:p>
      <w:pPr>
        <w:spacing w:after="0" w:line="64"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 Zoom AI Companion drives impact with intelligence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Workplace - Enables seamless collaboration and productivity on a unified platform</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Business Services - Strengthens customer relationships and delivers superior service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Experience - Makes teamwork more meaningful and engaging</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Developer Ecosystem - Creates custom integrations and streamlines workflows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AI</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AI Companion</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Zoom AI Companion, launched in September 2023, is Zoom’s integrated, agentic AI solution, designed to enhance productivity by driving systems of action across the Zoom platform that help customers and employees get real work done. Zoom AI Companion is built on a federated AI approach that incorporates Zoom’s own SLMs and LLMs with third-party models to deliver high-quality results while helping lower customer costs. Zoom AI Companion is included at no additional cost for users with eligible paid Zoom services and is also available as a standalone offering.</w:t>
      </w:r>
    </w:p>
    <w:p>
      <w:pPr>
        <w:spacing w:after="0" w:line="6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Zoom AI Companion works across Zoom Meetings, Zoom Team Chat, Zoom Phone, Zoom Mail and Calendar, Zoom Tasks, Zoom Contact Center and other products. Core functionalities include:</w:t>
      </w:r>
    </w:p>
    <w:p>
      <w:pPr>
        <w:spacing w:after="0" w:line="48" w:lineRule="exact"/>
        <w:rPr>
          <w:sz w:val="20"/>
          <w:szCs w:val="20"/>
          <w:color w:val="auto"/>
        </w:rPr>
      </w:pPr>
    </w:p>
    <w:p>
      <w:pPr>
        <w:ind w:left="1080" w:hanging="611"/>
        <w:spacing w:after="0" w:line="288" w:lineRule="auto"/>
        <w:tabs>
          <w:tab w:leader="none" w:pos="10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Meetings: Automatic generation of post-meeting summaries and transcripts, action item extraction, in-meeting query assistance, and contextual catch-up for participants who join late, helping improve meeting productivity and follow-up execution.</w:t>
      </w:r>
    </w:p>
    <w:p>
      <w:pPr>
        <w:spacing w:after="0" w:line="47" w:lineRule="exact"/>
        <w:rPr>
          <w:rFonts w:ascii="Times New Roman" w:cs="Times New Roman" w:eastAsia="Times New Roman" w:hAnsi="Times New Roman"/>
          <w:sz w:val="17"/>
          <w:szCs w:val="17"/>
          <w:color w:val="auto"/>
        </w:rPr>
      </w:pPr>
    </w:p>
    <w:p>
      <w:pPr>
        <w:ind w:left="1080" w:hanging="611"/>
        <w:spacing w:after="0" w:line="288" w:lineRule="auto"/>
        <w:tabs>
          <w:tab w:leader="none" w:pos="10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Team Chat: Summarization of long chat threads, contextual message drafting and refinement, and identification of relevant action items to streamline communication workflows.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0" w:hanging="611"/>
        <w:spacing w:after="0" w:line="288" w:lineRule="auto"/>
        <w:tabs>
          <w:tab w:leader="none" w:pos="10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Phone: AI-assisted voicemail transcription and prioritization, automated call summaries, real-time call guidance, and conversion of voicemails into tasks to support internal and customer-facing voice communications.</w:t>
      </w:r>
    </w:p>
    <w:p>
      <w:pPr>
        <w:spacing w:after="0" w:line="47" w:lineRule="exact"/>
        <w:rPr>
          <w:rFonts w:ascii="Times New Roman" w:cs="Times New Roman" w:eastAsia="Times New Roman" w:hAnsi="Times New Roman"/>
          <w:sz w:val="17"/>
          <w:szCs w:val="17"/>
          <w:color w:val="auto"/>
        </w:rPr>
      </w:pPr>
    </w:p>
    <w:p>
      <w:pPr>
        <w:ind w:left="1080" w:hanging="611"/>
        <w:spacing w:after="0" w:line="288" w:lineRule="auto"/>
        <w:tabs>
          <w:tab w:leader="none" w:pos="10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Zoom Contact Center: AI-powered assistance for support agents, including engagement summaries, sentiment analysis, and intelligent routing, helping connect customers with appropriate agents or subject-matter experts and improving resolution times and customer experience.</w:t>
      </w:r>
    </w:p>
    <w:p>
      <w:pPr>
        <w:spacing w:after="0" w:line="47" w:lineRule="exact"/>
        <w:rPr>
          <w:rFonts w:ascii="Times New Roman" w:cs="Times New Roman" w:eastAsia="Times New Roman" w:hAnsi="Times New Roman"/>
          <w:sz w:val="17"/>
          <w:szCs w:val="17"/>
          <w:color w:val="auto"/>
        </w:rPr>
      </w:pPr>
    </w:p>
    <w:p>
      <w:pPr>
        <w:jc w:val="both"/>
        <w:ind w:left="1080" w:hanging="611"/>
        <w:spacing w:after="0" w:line="270" w:lineRule="auto"/>
        <w:tabs>
          <w:tab w:leader="none" w:pos="107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Workvivo: AI-powered content creation, summarization, and conversational assistance embedded within Workvivo enhance employee communications, knowledge sharing, and engagement. Powered by Zoom AI Companion, these capabilities support internal alignment, streamline content development, and improve the overall digital employee experience.</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Beyond these core functions, Zoom Custom AI Companion, enabled through Zoom AI Studio, allows organizations to securely connect AI Companion to their internal data sources and selected third-party applications. This enables AI outputs that better reflect an organization’s terminology, workflows, and business context. Zoom AI Companion continues to evolve to help teams accelerate work outcomes and adapt to the changing needs of the modern workplace.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Zoom Workplace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Meetings</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Zoom Meetings provides HD video, voice, chat, and content sharing across mobile devices, desktops, laptops, telephones, and conference room systems. Our architecture can support up to 1,000 video participants in a single meeting. Conversations can be one-to-one, one-to-many, or many-to-many. Zoom Meetings features a 49-person video gallery view, virtual backgrounds, MP4/M4A cloud/local recording with transcripts, video breakout rooms, screen sharing with annotation, and integrations with other powerful business applications to help teams get more done together. Zoom Meetings integrates with tools created by companies such as Atlassian, Box, Dropbox, Google, LinkedIn, Microsoft, Salesforce, ServiceNow, and Slack. Our meetings are a flexible tool for on-the-go employees who rely on their mobile devices or tablets throughout their business day.</w:t>
      </w:r>
    </w:p>
    <w:p>
      <w:pPr>
        <w:spacing w:after="0" w:line="73"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offer end-to-end encryption (“E2EE”) for meetings with up to 1000 participants. Zoom’s E2EE uses the same 256-bit AES GCM encryption that secures Zoom Meetings by default, but with Zoom’s E2EE, the meeting host generates encryption keys and uses public key cryptography to distribute these keys to the other meeting participants. Additionally, a customer-managed key (“CMK”) service allows organizations to provide and manage their own encryption keys for certain customer content stored at rest in the Zoom Cloud. The organization needs to manage the keys in the Amazon Web Services Key Management Service. This allows for encryption of applicable content stored in the Zoom Cloud using keys controlled by the organization. We believe Zoom was also the first UCaaS company to offer post-quantum E2EE solution for video conferencing. Post-quantum E2EE works across Zoom Workplace, and employs upgraded algorithms designed to withstand potential future threats from quantum computers.</w:t>
      </w:r>
    </w:p>
    <w:p>
      <w:pPr>
        <w:spacing w:after="0" w:line="7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Translated captions help to remove language barriers, connect people, and promote inclusivity in meetings and webinars. Zoom Meetings currently offers translated captions in 35 languages.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Phone</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Zoom Phone is a cloud phone system for businesses that provides private branch exchange (“PBX”) features, such as secure call routing, call queuing, call detail reports, call recording, call quality monitoring, voicemail, switch to video, and much more. Zoom Phone provides inbound and outbound calling via its support for native connectivity to the public switched telephone network (“PSTN”). Available stand-alone or as an optional add-on to Zoom Meetings, Zoom Phone is a core component of our modern UCaaS strategy that enables customers to replace their existing PBX solution and consolidate all of their business communications and collaboration requirements onto Zoom. As of January 31, 2026, Zoom Phone provided native PSTN connectivity in more than 45 countries and territories.</w:t>
      </w:r>
    </w:p>
    <w:p>
      <w:pPr>
        <w:spacing w:after="0" w:line="73"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Zoom Phone also supports Premises Peering and Cloud Peering, which provide customers with the flexibility to keep their current PSTN service providers by redirecting existing third-party voice circuits to the Zoom Phone Cloud. Hybrid connectivity is also supported, allowing customers to mix native Zoom Phone calling plans and third-party voice circuits. This unique capability enables customers to enjoy all the benefits and features of Zoom Phone while keeping their existing service provider contracts, phone numbers, and calling rates with their preferred carrier of record.</w:t>
      </w:r>
    </w:p>
    <w:p>
      <w:pPr>
        <w:spacing w:after="0" w:line="6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Zoom Phone Provider Exchange makes it easier for customers to choose their preferred PSTN provider partners, providing an improved way to connect with cloud peering partners, promote the discovery of new providers, and enable self-</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of phone numbers from selected partners. As of January 31, 2026, more than 90 countries and territories are included in the Provider Exchange program.</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Team Chat</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Zoom Team Chat, included in Zoom Workplace and Zoom Phone plans, enables organizations and teams to communicate and collaborate in groups, channels, or one-on-one conversations and to stay connected by instantly sharing messages, images, files, and other content across desktops, laptops, tablets, and mobile devices. With Zoom Team Chat, users can easily invite people outside their organization to a chat conversation and quickly switch from a chat to a phone call or video meeting during a conversation. Zoom Team Chat also features content storage for users who want discoverability and the ability to review their conversations or shared files. There are dozens of Zoom Team Chat-compatible applications available in the Zoom App Marketplace that provide notifications and improved workflow for other enterprise systems.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Docs</w:t>
      </w:r>
    </w:p>
    <w:p>
      <w:pPr>
        <w:spacing w:after="0" w:line="10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232333"/>
        </w:rPr>
        <w:t>Zoom Docs is a dedicated, modular workspace for efficient, dynamic hybrid collaboration. With Zoom Docs, users get a singular workspace designed to bring their teams together to share ideas and get more done, all powered by AI Companion. It helps tie together our collection of communication modalities, with online word processing now threaded throughout the Zoom platform.</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Whiteboard</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232333"/>
        </w:rPr>
        <w:t>Zoom Whiteboard is an interactive canvas that enables teams to collaborate and brainstorm using templates, drag-and-drop shapes and objects, text, diagramming tools, and integrations with third-party services. Zoom Whiteboard is a persistent collaboration tool that works across Zoom Meetings, Zoom Team Chat, Zoom Rooms for Touch, Zoom Workplace desktop and mobile apps, and web browsers. Whiteboards can be shared with internal and external participants.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Clips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232333"/>
        </w:rPr>
        <w:t>Zoom Clips is a convenient solution for capturing both video and screen content. Zoom Clips enables users to effortlessly and quickly record, edit, share, store, and analyze short video “clips,” as well as comment/react to other users’ clips, to keep the collaboration going. Clips are particularly valuable when demonstrating or showcasing product features or functionalities. Zoom Clips is included with Zoom Workspace paid plans.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Rooms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Zoom Rooms is our software-based conference room system that transforms every room – from executive offices, huddle rooms, and training rooms, to broadcast studios – into a collaboration space that is easy to use, simple to deploy, and low-effort to manage. Designed to enhance workforce collaboration across in-room and virtual participants, Zoom Rooms offers one-click-to-join meetings, wireless multi-sharing, interactive whiteboarding, intuitive room controls, scheduling enhancements, digital signage, and other features seamlessly integrated with the Zoom Meetings experience and hybrid work experience.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Workspace Reservation</w:t>
      </w:r>
    </w:p>
    <w:p>
      <w:pPr>
        <w:spacing w:after="0" w:line="121" w:lineRule="exact"/>
        <w:rPr>
          <w:sz w:val="20"/>
          <w:szCs w:val="20"/>
          <w:color w:val="auto"/>
        </w:rPr>
      </w:pPr>
    </w:p>
    <w:p>
      <w:pPr>
        <w:jc w:val="both"/>
        <w:ind w:firstLine="465"/>
        <w:spacing w:after="0" w:line="286" w:lineRule="auto"/>
        <w:rPr>
          <w:sz w:val="20"/>
          <w:szCs w:val="20"/>
          <w:color w:val="auto"/>
        </w:rPr>
      </w:pPr>
      <w:r>
        <w:rPr>
          <w:rFonts w:ascii="Times New Roman" w:cs="Times New Roman" w:eastAsia="Times New Roman" w:hAnsi="Times New Roman"/>
          <w:sz w:val="17"/>
          <w:szCs w:val="17"/>
          <w:color w:val="auto"/>
        </w:rPr>
        <w:t>Zoom Workspace Reservation is a service that enables the management of physical spaces, providing tools for customers to reserve and manage their workspace utilization by connecting users to workspaces. It enhances and streamlines hotdesking and hoteling experiences and can provide recommendations for a workspace location or time to reserve. Users can reserve a work location time and duration in advance or on demand by selecting a location on a floor plan. Administrators can learn more about the utilization of their workspaces to support the planning and optimization of their locations.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Zoom Business Services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Contact Center</w:t>
      </w:r>
    </w:p>
    <w:p>
      <w:pPr>
        <w:spacing w:after="0" w:line="121"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Zoom Contact Center is an omnichannel solution that helps empower and upskill agents, improve operational effectiveness, and strengthen customer relationships. Built on Zoom’s reliable and secure platform, Zoom Contact Center enriches customer engagement by delivering highly personalized and seamless customer journeys across all channels. The capabilities of Zoom Contact Center are further enhanced when integrated with Zoom Virtual Agent, our AI-powered, multimodal self-service solution that supports both chat and voice interactions, enabling intelligent, conversational engagement across digital and telephony channels, and Zoom's Workforce Engagement Management suite, including Workforce Management and Quality Management for Contact Center customers. With advanced conversational AI, natural language understanding, and seamless handoff to live agents, Zoom Virtual Agent helps organizations automate routine inquiries while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delivering human-like voice and messaging experiences at scale. Together, these solutions form an all-in-one, comprehensive contact center solution designed to elevate every aspect of the customer experience.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Revenue Accelerator</w:t>
      </w:r>
    </w:p>
    <w:p>
      <w:pPr>
        <w:spacing w:after="0" w:line="121" w:lineRule="exact"/>
        <w:rPr>
          <w:sz w:val="20"/>
          <w:szCs w:val="20"/>
          <w:color w:val="auto"/>
        </w:rPr>
      </w:pPr>
    </w:p>
    <w:p>
      <w:pPr>
        <w:jc w:val="both"/>
        <w:ind w:firstLine="465"/>
        <w:spacing w:after="0" w:line="281" w:lineRule="auto"/>
        <w:rPr>
          <w:sz w:val="20"/>
          <w:szCs w:val="20"/>
          <w:color w:val="auto"/>
        </w:rPr>
      </w:pPr>
      <w:r>
        <w:rPr>
          <w:rFonts w:ascii="Times New Roman" w:cs="Times New Roman" w:eastAsia="Times New Roman" w:hAnsi="Times New Roman"/>
          <w:sz w:val="17"/>
          <w:szCs w:val="17"/>
          <w:color w:val="auto"/>
        </w:rPr>
        <w:t>Zoom Revenue Accelerator is a conversation intelligence software solution for Zoom Meetings and Zoom Phone, providing sales teams with meaningful and actionable insights from their customer interactions to improve seller performance and enhance customer experiences by reconciling call analytics with CRM data.</w:t>
      </w: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Event</w:t>
      </w:r>
      <w:r>
        <w:rPr>
          <w:rFonts w:ascii="Times New Roman" w:cs="Times New Roman" w:eastAsia="Times New Roman" w:hAnsi="Times New Roman"/>
          <w:sz w:val="17"/>
          <w:szCs w:val="17"/>
          <w:color w:val="auto"/>
        </w:rPr>
        <w:t>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Built on Zoom’s reliable and secure video technology, Zoom Events allows event hosts to seamlessly create and manage virtual and hybrid events of any size. Zoom Events offers features such as event hubs, dedicated corporate event spaces, customizable registration and ticketing, attendee networking, expo floor, and event analytics. This comprehensive solution is designed to simplify how users manage, host, market, and report on all of their virtual and hybrid events.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Webinars Plus</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Zoom Webinars Plus allows customers to use the signature features of Zoom Events for a single-session event, including branded registration and event pages, live polling, surveys and chat, advanced reporting, and the ability to organize upcoming and past events in one place.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Webinars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Zoom Webinars support interactive video presentations to large audiences from almost anywhere in the world and from many devices. Zoom Webinars can scale up to 1 million attendees (with the expanded single-use license) and last up to 30 hours with 1,000 interactive video panelists. With webinars, customers have control over the video viewing experience, and attendees join to listen, learn, and interact using chat, Q&amp;A, live polling, and more. Our powerful third-party integrations help users maximize the use of their webinars and expand their capabilities with features such as paid registration, marketing automation, lead nurturing, and learning management.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Employee Experience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Workvivo</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Workvivo is an all-in-one employee experience platform ("EXP") designed to simplify internal communication, drive engagement, and foster a strong company culture. Workvivo combines internal tools for communication, employee recognition, and an intranet, into a single platform. Workvivo provides a new way for customers to keep their employees informed, engaged, and connected. Workvivo consists of a monthly subscription and optional add-on features for an additional fee.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Developer Ecosystem</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Developer Platform and App Marketplace</w:t>
      </w:r>
    </w:p>
    <w:p>
      <w:pPr>
        <w:spacing w:after="0" w:line="121"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The Zoom Developer Platform enables developers, platform integrators, service providers, and customers to easily build apps and integrations that use Zoom’s video-based communications solutions across video, phone, and chat, or integrate Zoom’s core technology into their products and services, with opportunities for co-marketing, discovery, and distribution. Our developer platform also allows Zoom customers to administer their accounts, including managing app requests and provisioning, as well as optimizing account usage with access to dashboards and usage metrics. With our SDKs, APIs, webhooks, and extensive developer resources, Zoom, third-party developers, and partners can build and publish applications on our App Marketplace that integrate our platform with other globally in-demand applications, platforms, websites, and services. Our customers also have access to tools and resources that enable them to develop private applications that integrate Zoom Workplace and Zoom technology into their workflows and systems.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Zoom Apps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Zoom Apps combine users’ favorite apps with the power of video communications, allowing users to access them directly within Zoom Meetings. Users can enrich their Zoom experience with a variety of apps that cater to various use cases, including whiteboarding, project management, note-taking, gaming, and more. Zoom Essential Apps, launched in January 2023, provides access to a curated list of apps at no cost for one year after app activation for Zoom Workplace Pro, Business, and Business Plus users to enhance their Zoom experience, such as through visual agendas, automated tools to keep meetings on track, and interactive activities to add energy and fun to meetings.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Technology and Infrastructure</w:t>
      </w:r>
    </w:p>
    <w:p>
      <w:pPr>
        <w:spacing w:after="0" w:line="119" w:lineRule="exact"/>
        <w:rPr>
          <w:sz w:val="20"/>
          <w:szCs w:val="20"/>
          <w:color w:val="auto"/>
        </w:rPr>
      </w:pPr>
    </w:p>
    <w:p>
      <w:pPr>
        <w:jc w:val="both"/>
        <w:ind w:firstLine="465"/>
        <w:spacing w:after="0" w:line="268" w:lineRule="auto"/>
        <w:rPr>
          <w:sz w:val="20"/>
          <w:szCs w:val="20"/>
          <w:color w:val="auto"/>
        </w:rPr>
      </w:pPr>
      <w:r>
        <w:rPr>
          <w:rFonts w:ascii="Times New Roman" w:cs="Times New Roman" w:eastAsia="Times New Roman" w:hAnsi="Times New Roman"/>
          <w:sz w:val="17"/>
          <w:szCs w:val="17"/>
          <w:color w:val="auto"/>
        </w:rPr>
        <w:t>Our unique technology and infrastructure enable best-in-class reliability, scalability, and performance. We designed our open, AI-first collaboration platform to help streamline the workday through effective communication and collaboration tools. Our federated AI approach leverages the best of both our proprietary AI and industry-leading models from partners like OpenAI and Anthropic. The right AI model is applied to each specific task to optimize performance and efficiency.</w:t>
      </w:r>
    </w:p>
    <w:p>
      <w:pPr>
        <w:spacing w:after="0" w:line="275"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Video communication presents its own unique set of challenges, requiring significant computing resources for encoding, decoding, multiplexing, and synchronization, along with high network bandwidth and performance. To address this, our platform separates video content processing from the transporting and mixing of streams. We allocate video content processing to intelligent agents that reside on client devices and dynamically encode and decode based on the performance of client technology, network performance, and bandwidth. Our next-generation multimedia router operates globally distributed cloud infrastructure to determine the optimal data centers to host a meeting and an optimal set of paths to connect the participants.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have customers of all sizes, from individuals to global Fortune 50 organizations. Our current customer base spans countries across the world and numerous industry categories, including education, entertainment/media, enterprise infrastructure, finance, government, health care, manufacturing, nonprofit/not-for-profit and social impact, retail/consumer products, and software/internet. No individual customer represented more than 10% of our total revenue in the fiscal year ended January 31,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sales model combines our online demand generation with a direct sales approach optimized for the size of each customer opportunity. Our sales force includes our field sales representatives as well as our product specialist teams, and it is organized by customer subscription size, region, and vertical. Our channel team works across a broad channel ecosystem, from resellers to global system integrators and service providers, as well as independent software vendors (ISVs), to build a strong ecosystem that broadens our reach. Our online channel supports high-volume, high-velocity, self-service sales.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Our marketing organization is focused on driving brand awareness, supporting customer acquisition and retention, and promoting adoption of our product portfolio. We invest in brand positioning, demand generation, and customer engagement initiatives across digital, social, content, and event-based channels.</w:t>
      </w:r>
    </w:p>
    <w:p>
      <w:pPr>
        <w:spacing w:after="0" w:line="4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Our marketing programs include targeted online advertising, out-of-home media placements, virtual and in-person events, content marketing, and customer advisory programs. We utilize a mix of online, in-person, and hybrid event formats to engage prospects and customers. Zoomtopia, our annual user conference, is delivered in a hybrid format and is attended by tens of thousands of in-person and virtual participants.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19" w:lineRule="exact"/>
        <w:rPr>
          <w:sz w:val="20"/>
          <w:szCs w:val="20"/>
          <w:color w:val="auto"/>
        </w:rPr>
      </w:pPr>
    </w:p>
    <w:p>
      <w:pPr>
        <w:jc w:val="both"/>
        <w:ind w:firstLine="465"/>
        <w:spacing w:after="0" w:line="210" w:lineRule="exact"/>
        <w:rPr>
          <w:sz w:val="20"/>
          <w:szCs w:val="20"/>
          <w:color w:val="auto"/>
        </w:rPr>
      </w:pPr>
      <w:r>
        <w:rPr>
          <w:rFonts w:ascii="Times New Roman" w:cs="Times New Roman" w:eastAsia="Times New Roman" w:hAnsi="Times New Roman"/>
          <w:sz w:val="17"/>
          <w:szCs w:val="17"/>
          <w:color w:val="auto"/>
        </w:rPr>
        <w:t>Zoom’s research and development efforts are focused on driving innovation in communication technology. With teams distributed across major regions, including Asia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Pacific, EMEA, and North America, our global presence supports a “follow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sun” development model that enables continuous innovation and efficient delivery of new capabilities. We prioritize advancements in Zoom AI Companion, Zoom Workplace, Zoom Business Services, security, video and audio quality, and seamless integrations, while continually enhancing performance across devices and networks and exploring emerging technologies to shape the future of the remote and hybrid workplace. For information on the risks associated with our international operations, see “Risks Related to Our Business and Our Industry” under “Item 1A -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Competition</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The markets in which we operate are highly competitive. We face competition from legacy web-based meeting services providers, including Cisco Webex and GoTo, bundled productivity suite providers with communications offerings, including Microsoft 365 (with Teams) and Google Workspace (with Meet), and UCaaS and legacy web-based meeting providers, including Avaya, RingCentral, 8x8, and in our Contact Center offerings, Five9, Inc., Genesys, and NICE inContact, as well as consumer-facing platforms that can support small- or medium-sized businesses, including Amazon, Apple, and Facebook.</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believe we compete favorably based on the following competitive factors:</w:t>
      </w:r>
    </w:p>
    <w:p>
      <w:pPr>
        <w:spacing w:after="0" w:line="115" w:lineRule="exact"/>
        <w:rPr>
          <w:sz w:val="20"/>
          <w:szCs w:val="20"/>
          <w:color w:val="auto"/>
        </w:rPr>
      </w:pPr>
    </w:p>
    <w:p>
      <w:pPr>
        <w:ind w:left="1080" w:hanging="611"/>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open, AI-first work platform;</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cloud-native architecture;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0" w:hanging="611"/>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functionality and scalability;</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and reliability;</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awareness and preference;</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utilize existing infrastructure, such as legacy conference room hardware; and</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 total cost of ownership.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rely on a combination of patents, trademarks, copyrights, trade secrets, and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spacing w:after="0" w:line="67"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or other intellectual property right, whether our own or licensed from third parties. For information on the risks associated with our intellectual property, see “Risks Related to Our Intellectual Property” under “Item 1A - Risk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“Risks Related to Laws and Regulations” under “Item 1A -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As of January 31, 2026, we had 7,438 full-time employees. Of these employees, 3,457 are in the United States and 3,981 are in our international locations. None of our U.S. employees are represented by a labor union. Employees in two of our non-U.S. subsidiaries have the benefit of a collective bargaining agreement and are represented by a workers’ council. We have not experienced interruptions of operations or any work stoppages due to labor disagreements.</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Our Culture of Care</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Our culture is built on care, belonging, and performance. We are committed to creating an environment where every employee feels valued, supported, and empowered to do their best work. Through our technology and our culture, we aim to strengthen human connection and enable people and businesses to thrive.</w:t>
      </w:r>
    </w:p>
    <w:p>
      <w:pPr>
        <w:spacing w:after="0" w:line="4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Our customers are at the heart of everything we do, and our culture of care extends to how we support one another, our communities, and ourselves. This shared sense of belonging and accountability fuels our performance and drives innovation across the company.</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culture is grounded in our mission, values, and nine culture principles that help us succeed:</w:t>
      </w:r>
    </w:p>
    <w:p>
      <w:pPr>
        <w:spacing w:after="0" w:line="343" w:lineRule="exact"/>
        <w:rPr>
          <w:sz w:val="20"/>
          <w:szCs w:val="20"/>
          <w:color w:val="auto"/>
        </w:rPr>
      </w:pPr>
    </w:p>
    <w:p>
      <w:pPr>
        <w:ind w:left="1080" w:hanging="611"/>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Mission: </w:t>
      </w:r>
      <w:r>
        <w:rPr>
          <w:rFonts w:ascii="Times New Roman" w:cs="Times New Roman" w:eastAsia="Times New Roman" w:hAnsi="Times New Roman"/>
          <w:sz w:val="17"/>
          <w:szCs w:val="17"/>
          <w:color w:val="auto"/>
        </w:rPr>
        <w:t>An AI-first work platform for human connection</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Values: </w:t>
      </w:r>
      <w:r>
        <w:rPr>
          <w:rFonts w:ascii="Times New Roman" w:cs="Times New Roman" w:eastAsia="Times New Roman" w:hAnsi="Times New Roman"/>
          <w:sz w:val="17"/>
          <w:szCs w:val="17"/>
          <w:color w:val="auto"/>
        </w:rPr>
        <w:t>We care for our customers, company, communities, teammates, and selves</w:t>
      </w:r>
    </w:p>
    <w:p>
      <w:pPr>
        <w:spacing w:after="0" w:line="114" w:lineRule="exact"/>
        <w:rPr>
          <w:rFonts w:ascii="Times New Roman" w:cs="Times New Roman" w:eastAsia="Times New Roman" w:hAnsi="Times New Roman"/>
          <w:sz w:val="17"/>
          <w:szCs w:val="17"/>
          <w:color w:val="auto"/>
        </w:rPr>
      </w:pPr>
    </w:p>
    <w:p>
      <w:pPr>
        <w:ind w:left="1080" w:hanging="611"/>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Culture Principles</w:t>
      </w:r>
      <w:r>
        <w:rPr>
          <w:rFonts w:ascii="Times New Roman" w:cs="Times New Roman" w:eastAsia="Times New Roman" w:hAnsi="Times New Roman"/>
          <w:sz w:val="17"/>
          <w:szCs w:val="17"/>
          <w:color w:val="auto"/>
        </w:rPr>
        <w:t>: Ways of working and collaborating that help every Zoomie thrive</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This culture of care, belonging, and performance is a key part of what makes Zoom a great place to work and a trusted partner to our customers. It continues to be a differentiator in attracting and retaining top talent. Zoom has been recognized 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Fortune’s “Most Admired Companies” list for five consecutive years, included in Fast Company’s 2025 “Most Innovative Companies” list, and named one of Forbes’ 2025 “America’s Best Midsize Employers.”</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Compensation and Benefits</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mental health benefits, fertility benefits, time off programs, a book reimbursement plan to support continuous learning, an Employee Stock Purchase Plan and charitable gift matching through our Zoom Cares program.</w:t>
      </w:r>
    </w:p>
    <w:p>
      <w:pPr>
        <w:spacing w:after="0" w:line="6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Over the past several years, we conducted a comprehensive employee survey with regular follow-ups and engaged in peer research to make thoughtful decisions on how to move forward in an evolving world of work. Two priorities were immediately clear: keeping our employees safe and supporting them through a meaningful employee experience. We believe maintaining a flexible working environment for our employees is a key priority.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9"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In November 2024, we changed our name back to Zoom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Communications,” and our other registered or common law trademarks, service marks, or trade names appearing in this Annual Report on Form 10-K are the property of Zoom Communications, Inc. Other trade names, trademarks, and service marks used in this Annual Report on Form 10-K are the property of their respective owners.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70"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announce material information to the public through a variety of means, including filings with the SEC, press releases, our newsroom (news.zoom.us), public conference calls, our website (www.zoom.com), and the investor relations section of our website (investors.zoom.us). We use these channels, as well as social media, including our blog (blog.zoom.us), our X (formerly Twitter) account (@zoom_us), our LinkedIn page (linkedin.com/company/zoom), our Instagram page (instagram.com/zoom), our TikTok page (tiktok.com/@zoom), and our Facebook page (facebook.com/zoom), to communicate with investors and the public about Zoom, our products and services, and other matters. Therefore, we encourage investors, the media, and others interested in Zoom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5" w:lineRule="exact"/>
        <w:rPr>
          <w:sz w:val="20"/>
          <w:szCs w:val="20"/>
          <w:color w:val="auto"/>
        </w:rPr>
      </w:pPr>
    </w:p>
    <w:p>
      <w:pPr>
        <w:jc w:val="both"/>
        <w:ind w:firstLine="465"/>
        <w:spacing w:after="0" w:line="263"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Risks Related to Our Business and Our Industry</w:t>
      </w:r>
    </w:p>
    <w:p>
      <w:pPr>
        <w:spacing w:after="0" w:line="216"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w:t>
      </w:r>
    </w:p>
    <w:p>
      <w:pPr>
        <w:spacing w:after="0" w:line="48"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Our business is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the composition of our customer base dissatisfaction with our products and support, a customer no longer having a need for our products, or a belief that a competitor’s product is better, more secure, or less expensive than our products and platform.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spacing w:after="0" w:line="73"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fluctuated in prior periods, and may decline in future periods.</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Our revenue growth has fluctuated in prior periods. You should not rely on the revenue growth of any prior quarterly or annual period as an indication of our future performance. There are no assurances we will be able to sustain our revenue growth in future periods, and our revenue growth rate may remain flat or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spacing w:after="0" w:line="1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spacing w:after="0" w:line="42"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currently serve our users from various co-located data centers located throughout the world. We also utilize cloud hosting services such as Amazon Web Services and Oracle Cloud for the hosting of certain critical aspects of our business and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(including cloud hosting)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spacing w:after="0" w:line="7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Additionally, if our data centers or cloud hosting services are unable to keep up with our increasing needs for capacity, customers may experience delays or interruptions in service as we seek to obtain additional capacity, which could result in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p>
    <w:p>
      <w:pPr>
        <w:spacing w:after="0" w:line="6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do not control, or in some cases have limited control over, the operation of the co-located data center facilities and cloud hosting services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or disruption of the cloud hosting services we use, it may take a significant period of time to achieve full resumption of our services and our disaster recovery planning may not account for all eventualities. Despite precautions taken at these data center facilities, the occurrence of a natural disaster, an act of terrorism, or other act of malfeasance, a decision to close the facilities without adequate notice or other unanticipated problems at the facilities would harm our business.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The market for communication and collaboration technologies platforms is competitive and rapidly changing and includes companies ranging from new market entrants to hyperscalers that provide technologies to improve communication and collaboration technologies platforms either as bundled solutions or standalone products. Given the range of companies in this space, maintaining an open and robust marketplace with fair competition is important. Certain features of our current platform compete in the communication and collaboration technologies market with products offered by:</w:t>
      </w:r>
    </w:p>
    <w:p>
      <w:pPr>
        <w:spacing w:after="0" w:line="320"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bundled productivity suite providers with communication offerings, including Microsoft 365 (with Teams) and Google Workspace (with Meet);</w:t>
      </w:r>
    </w:p>
    <w:p>
      <w:pPr>
        <w:spacing w:after="0" w:line="86" w:lineRule="exact"/>
        <w:rPr>
          <w:rFonts w:ascii="Arial" w:cs="Arial" w:eastAsia="Arial" w:hAnsi="Arial"/>
          <w:sz w:val="21"/>
          <w:szCs w:val="21"/>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web-based meeting providers, including Cisco Webex and GoTo;</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UCaaS and legacy PBX providers, including Avaya, RingCentral, and 8x8;</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Center providers, including Five9, Inc., Genesys, and NICE inContact;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consumer-facing platforms that can support small- or medium-sized businesses, including Amazon, Apple, and Facebook.</w:t>
      </w:r>
    </w:p>
    <w:p>
      <w:pPr>
        <w:spacing w:after="0" w:line="115"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continue to intensify.</w:t>
      </w:r>
    </w:p>
    <w:p>
      <w:pPr>
        <w:spacing w:after="0" w:line="48"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As we continue to build out our platform, we may face increased competition from companies that offer similar services and new competitors that may enter that market in the future. Our customers also include consumers or small and medium-sized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customers and partner relationships; more third-party integrations; greater accessibility across devices and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287"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In some cases, we have been forced to engage in price-cutting initiatives or other discounts to attract and retain customers in response to competitive pressures, and may have to do so in the future. We, on occasion, offer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customers a free period of time at the beginning of the subscription term that can result in deferred billings or long-term accounts receivable and increase the risk of loss on uncollected accounts receivable.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results have fluctuated and may in the future fluctuate significantly and may not fully reflect the underlying performance of our business.</w:t>
      </w:r>
    </w:p>
    <w:p>
      <w:pPr>
        <w:spacing w:after="0" w:line="121"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Fluctuations in our results may negatively impact the value of our securities. Factors that may cause fluctuations in our results of operations include, without limitation, those listed below:</w:t>
      </w:r>
    </w:p>
    <w:p>
      <w:pPr>
        <w:spacing w:after="0" w:line="281"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customers to higher-priced plans;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upgrade free users to one of our paid offerings;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employees, in particular those responsible for the selling or marketing of our platform;</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way we organize and compensate our sales teams;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and recognition of revenue;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sales to large organizations;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4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6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effectiveness of new sales and marketing initiatives;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experienced research and development personnel to design new products, features, and functionality that meet our privacy and security standards;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products, features, and functionality by us or our competitors;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or delays in our service, network outages, or actual, alleged, or perceived privacy violations or issues or security vulnerabilities, incidents, or breaches;</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regulatory actions or investigations, legislator scrutiny, or negative publicity arising from actual, alleged, or perceived privacy violations or issues or security vulnerabilities, incidents, or breaches;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any future acquisitions;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affected by changes in the economy, including any resulting effect on consumer or business spending.</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Our business may be significantly affected by changes in the economy, such as high inflation and the responses by central banking authorities to control such inflation, recessionary or uncertain environments, fluctuations in the foreign currency exchange rates and geopolitical tensions and military conflicts, and tariffs, the threat of new or increased tariffs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trade tensions, including the United States' ongoing trade disputes with China and other countries.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spacing w:after="0" w:line="172"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As we increase sales to large organizations, our sales cycles have and could continue to lengthen, and we could experience greater deployment challenges.</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invest significant resources into sales to large organizations.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some or all aspects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42"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64"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awareness of the communications and collaboration technologies category;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modes of communications and collaboration that may be developed in the future;</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customer information technology spending budgets, or a consolidation of spending budgets on our competitors' platforms, especially during periods of inflation or recessionary or uncertain economic environments;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reliability of our platform, including frequency of outages;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 support;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in the past, and there are no assurances we will be able to maintain or increase profitability in the future.</w:t>
      </w:r>
    </w:p>
    <w:p>
      <w:pPr>
        <w:spacing w:after="0" w:line="121"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be able to increase or maintain profitability in future periods. If we fail to grow our revenue sufficiently to keep pace with our investments and other expenses, our business would be harmed.</w:t>
      </w:r>
    </w:p>
    <w:p>
      <w:pPr>
        <w:spacing w:after="0" w:line="383"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60"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77"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7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requires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respond to rapid technological changes, extend our platform, or develop new features.</w:t>
      </w:r>
    </w:p>
    <w:p>
      <w:pPr>
        <w:spacing w:after="0" w:line="121"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spacing w:after="0" w:line="77"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use generative AI including in our products and services, which may result in operational challenges, legal liability, reputational concerns, competitive risks and regulatory concerns that could adversely affect our business and results of operations.</w:t>
      </w:r>
    </w:p>
    <w:p>
      <w:pPr>
        <w:spacing w:after="0" w:line="42"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use generative AI processes and algorithms, including by deploying generative AI features in our products and services, which may result in adverse effects to our operations, legal liability, reputation and competitive risks. The use of generative and agentic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for certain AI features of our products and if such third parties do not provide us those features (or do not do so on acceptable terms), experience interruptions, or cease operating, we may need to work with another provider, which may take time or may not be possible, and could result in the disruption of certain of our products or services, affect our reputation or brand, and negatively affect our financial results. We could also face claims from third parties claiming infringement of their intellectual property or other proprietary rights with respect to materials used or created by generative or agentic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We currently offer certain of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w:t>
      </w:r>
    </w:p>
    <w:p>
      <w:pPr>
        <w:spacing w:after="0" w:line="176"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spacing w:after="0" w:line="67"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w:t>
      </w:r>
    </w:p>
    <w:p>
      <w:pPr>
        <w:spacing w:after="0" w:line="164"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spacing w:after="0" w:line="42"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Unlike traditional communications and collaboration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75"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74"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On January 2, 2025, the U.S. Court of Appeals for the Sixth Circuit issued a decision overturning the FCC order. A petition for rehearing of the decision filed by proponents of network neutrality was denied on March 11, 2025. On August 8, 2025, the proponents of network neutrality announced that they would not seek Supreme Court review of the Sixth Circuit decision. On November 3, 2025, the FCC released a notice of proposed rulemaking that proposed changes to the rules for disclosure of information on broadband services provided to consumers. We cannot predict the impact of the Sixth Circuit decision, the reinstatement of the prior rules or the proposed changes to the rules on our operations or business.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In addition, a number of states have adopted or are adopting or considering legislation or executive actions that would regulate the conduct of broadband providers, including legislation to impose state-level network requirements in New York. After a federal court judge denied a request for a preliminary injunction against California’s state-specific network neutrality law, California began enforcing that law on March 25, 2021. Several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The FCC’s April 24 order, which, as described above, was overturned by the Sixth Circuit Court of Appeals, permits it to preempt any state-level network neutrality requirements that go beyond the requirements adopted in that order, but specifically held that the California law would not be preempted. We cannot predict whether the FCC order or other state initiatives will be enforced, modified, overturned, or vacated by legal action of the court, federal legislation, or the FCC. Under the FCC’s 2018 rules, which currently remain in effect,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w:t>
      </w:r>
    </w:p>
    <w:p>
      <w:pPr>
        <w:spacing w:after="0" w:line="75"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If there are changes to the regulatory structures in the United States or elsewhere that reduce investment in infrastructure by internet service providers, including a return of the network neutrality regulations that were overturned, any impacts of reduced investment that reduce network capacity or speed could have a negative effect on our business, operating results, and financial condition.</w:t>
      </w:r>
    </w:p>
    <w:p>
      <w:pPr>
        <w:spacing w:after="0" w:line="161" w:lineRule="exact"/>
        <w:rPr>
          <w:sz w:val="20"/>
          <w:szCs w:val="20"/>
          <w:color w:val="auto"/>
        </w:rPr>
      </w:pPr>
    </w:p>
    <w:p>
      <w:pPr>
        <w:jc w:val="both"/>
        <w:ind w:firstLine="465"/>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if our products and services are perceived as not being secure, this could result in customers and users curtailing or ceasing their use of our products, us incurring significant liabilities, and our business being harmed.</w:t>
      </w:r>
    </w:p>
    <w:p>
      <w:pPr>
        <w:spacing w:after="0" w:line="66"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We routinely investigate security incidents, which have occurred in the past and may occur in the future, that result in unauthorized access to, loss or unauthorized disclosure of, or inadvertent disclosure of confidential, proprietary, and sensitive information.</w:t>
      </w:r>
    </w:p>
    <w:p>
      <w:pPr>
        <w:spacing w:after="0" w:line="73"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are subject to a variety of evolving threats, including but not limited to social-engineering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Moreover, we and many similarly situated companies have been targeted by nation-state sponsored schemes intended to defraud companies through remote-work IT scams. While to date, these scams have not been successful, if they were to succeed, these scams could expose us to governmental and regulatory as well as market and media scrutiny regarding the actual or perceived integrity of our platform or data security, as well as other potential liability and consequences. Additionally, our platform, products, and services are relied on by a large number of companies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have discovered, and may in the future discover security issues that were not found during due diligence of such acquired or integrated entities, and it may be difficult to integrate companies into our information technology environment and security program.</w:t>
      </w:r>
    </w:p>
    <w:p>
      <w:pPr>
        <w:spacing w:after="0" w:line="67"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customers may place certain security obligations on us. For example,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spacing w:after="0" w:line="67"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In addition, our reliance on third parties has in the past and could continue to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spacing w:after="0" w:line="73"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If our security measures are compromised, as has occurred in the past,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w:t>
      </w:r>
    </w:p>
    <w:p>
      <w:pPr>
        <w:spacing w:after="0" w:line="77"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w:t>
      </w:r>
    </w:p>
    <w:p>
      <w:pPr>
        <w:spacing w:after="0" w:line="73"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w:t>
      </w:r>
    </w:p>
    <w:p>
      <w:pPr>
        <w:spacing w:after="0" w:line="67"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70"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expend significant resources or modify our business activities to try to protect against security incidents. Additionally, certain privacy, data protection, and information security obligations require us to implement and maintain certain security measures or industry-standard or reasonable security measures to protect our information technology systems and sensitive data.</w:t>
      </w:r>
    </w:p>
    <w:p>
      <w:pPr>
        <w:spacing w:after="0" w:line="73"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Many governments have enacted laws requiring companies to provide notice of data security incidents, including those recently promulgated by the SEC. These laws may also require us to take certain measures, such as providing credit monitoring to individuals. Such laws are inconsistent, compliance in the event of a widespread data breach is costly, and the disclosure or the failure to comply with such requirements could lead to adverse consequences. In addition, some of our customers require us to notify them of data security breaches.</w:t>
      </w:r>
    </w:p>
    <w:p>
      <w:pPr>
        <w:spacing w:after="0" w:line="67"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73"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w:t>
      </w:r>
    </w:p>
    <w:p>
      <w:pPr>
        <w:spacing w:after="0" w:line="64"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Increased usage of our services, novel uses of our services, and additional awareness of Zoom and our brand have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3"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6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45"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42"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workplace collaboration solution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growth effectively, our business, financial condition and results of operations may be harmed.</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While our employee headcount both in the United States and internationally has generally increased over time, we have undertaken, and may undertake from time to time in the future, restructuring actions to better align our financial model. For example, in February 2023, we commenced certain restructuring actions, designed to reduce operating costs and continue advancing our ongoing commitment to profitable growth.</w:t>
      </w:r>
    </w:p>
    <w:p>
      <w:pPr>
        <w:spacing w:after="0" w:line="64"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spacing w:after="0" w:line="3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could be harmed by real or perceived material defects or errors in our platform.</w:t>
      </w:r>
    </w:p>
    <w:p>
      <w:pPr>
        <w:spacing w:after="0" w:line="121"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64"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issue refunds to our customers or expose us to claims for damages;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lose existing customers and make it more difficult to attract new customers;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technical support costs;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12"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were to lose the services of our Chief Executive Officer or other members of our senior management team, we may not be able to execute our business strategy.</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42"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77"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76"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believe that a critical component to our success and our ability to retain our best people is our culture. As we continue to grow,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spacing w:after="0" w:line="164"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and expanding operations outside the United States, which may subject us to increased business, regulatory and economic risks that could harm our business.</w:t>
      </w:r>
    </w:p>
    <w:p>
      <w:pPr>
        <w:spacing w:after="0" w:line="42"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Our platform addresses the communications and collaboration needs of users worldwide, and we see international expansion as a major opportunity. Our revenue from APAC and EMEA collectively represented 27.9%, 28.2%, and 28.7% of our revenue for the fiscal years ended January 31, 2026, 2025, and 2024, respectively.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Operating internationally subjects us to new risks and increases risks that we currently face, including risks associated with:</w:t>
      </w:r>
    </w:p>
    <w:p>
      <w:pPr>
        <w:spacing w:after="0" w:line="115" w:lineRule="exact"/>
        <w:rPr>
          <w:sz w:val="20"/>
          <w:szCs w:val="20"/>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4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spacing w:after="0" w:line="6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foreign jurisdictions where the government may impede or interrupt our ability to provide our services or develop new products, features, and functionality;</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the United States;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to the same extent as the United States and the practical enforcement of such intellectual property rights outside of the United States;</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with partners outside of the United States;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and other political tensions between countries in which we do business;</w:t>
      </w:r>
    </w:p>
    <w:p>
      <w:pPr>
        <w:spacing w:after="0" w:line="114"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the continuing deterioration in diplomatic relations between the United States and China, or deterioration in diplomatic relations between the United States and countries with which the United States has traditionally enjoyed close ties and alliances, and ongoing military conflicts;</w:t>
      </w:r>
    </w:p>
    <w:p>
      <w:pPr>
        <w:spacing w:after="0" w:line="6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6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w:t>
      </w:r>
    </w:p>
    <w:p>
      <w:pPr>
        <w:spacing w:after="0" w:line="115"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7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68"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subject to various U.S. and international anti-corruption laws, and any failure to comply with such laws could harm our business, financial condition, and results of operations.</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Geopolitical tension between the United States and China, or between other economies, such as Taiwan, and China, may intensify and lead to increased scrutiny of our business operations in China.</w:t>
      </w:r>
    </w:p>
    <w:p>
      <w:pPr>
        <w:spacing w:after="0" w:line="42"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do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spacing w:after="0" w:line="67"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conducted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59" w:lineRule="exact"/>
        <w:rPr>
          <w:sz w:val="20"/>
          <w:szCs w:val="20"/>
          <w:color w:val="auto"/>
        </w:rPr>
      </w:pPr>
    </w:p>
    <w:p>
      <w:pPr>
        <w:jc w:val="both"/>
        <w:ind w:firstLine="46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56"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who increase their use of our platform or upgrade to a higher-priced plan must be recognized over the applicable subscription term.</w:t>
      </w:r>
    </w:p>
    <w:p>
      <w:pPr>
        <w:spacing w:after="0" w:line="170"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support for our customers and users may harm our relationships with our customers and users and, consequently, our business.</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spacing w:after="0" w:line="1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42"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offerings and processes requires significant time and resources. For resellers in certain emerging markets, we may be unable to effectively oversee and quality-check certain processes, such as customer due diligence, which has and may continue to impact such resellers’ ability to implement robust customer verification protocols and mitigate fraud risk.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spacing w:after="0" w:line="171" w:lineRule="exact"/>
        <w:rPr>
          <w:sz w:val="20"/>
          <w:szCs w:val="20"/>
          <w:color w:val="auto"/>
        </w:rPr>
      </w:pPr>
    </w:p>
    <w:p>
      <w:pPr>
        <w:jc w:val="both"/>
        <w:ind w:firstLine="465"/>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305"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fiscal years ended January 31, 2026, 2025, and 2024, 19.7%, 19.3%, and 19.3% of our revenue, respectively, and 21.7%, 16.4%, and 13.7%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fiscal year ended January 31, 2026, our total revenue was lower than anticipated in part due to the strengthening of the U.S. dollar. We do not currently maintain a program to hedge exposures to non-U.S. dollar currencies.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sales to government entities and other government contractors are subject to a number of additional challenges and risks.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67" w:lineRule="exact"/>
        <w:rPr>
          <w:sz w:val="20"/>
          <w:szCs w:val="20"/>
          <w:color w:val="auto"/>
        </w:rPr>
      </w:pPr>
    </w:p>
    <w:p>
      <w:pPr>
        <w:ind w:left="620" w:hanging="307"/>
        <w:spacing w:after="0" w:line="28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governmental entities are subject to termination for the convenience of the customer;</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4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spacing w:after="0" w:line="63" w:lineRule="exact"/>
        <w:rPr>
          <w:rFonts w:ascii="Times New Roman" w:cs="Times New Roman" w:eastAsia="Times New Roman" w:hAnsi="Times New Roman"/>
          <w:sz w:val="17"/>
          <w:szCs w:val="17"/>
          <w:color w:val="auto"/>
        </w:rPr>
      </w:pPr>
    </w:p>
    <w:p>
      <w:pPr>
        <w:jc w:val="both"/>
        <w:ind w:left="620" w:hanging="307"/>
        <w:spacing w:after="0" w:line="26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275"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U.S. government contractor, we may be subject to executive orders and regulatory changes affecting various aspects of our operations, including compliance with nondiscrimination plans, and any required elimination or modification of such plans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spacing w:after="0" w:line="70"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demand and payment for our products may be influenced, among other things, by public sector budgetary cycles and funding authorizations, with funding reductions or delays having an adverse impact on public sector demand for our products.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4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Additionally, foreign government initiatives intended to reduce reliance on non-domestic technology may cause foreign governmental agency customers to stop using our solutions, decrease the profitability of sales to such customers, or make it less likely that we are able to sell our solutions to other foreign governmental agencies.</w:t>
      </w:r>
    </w:p>
    <w:p>
      <w:pPr>
        <w:spacing w:after="0" w:line="6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7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January 2025, the current administration began issuing Executive Orders identifying new government policy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spacing w:after="0" w:line="164"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spacing w:after="0" w:line="60"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who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74"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spacing w:after="0" w:line="42"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harm our business.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spacing w:after="0" w:line="67"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The provision for taxes on our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70"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While the One Big Beautiful Bill Act (“OBBBA”) did not result in our being subject to the Corporate Alternative Minimum Tax (“CAMT”) for the current year, future changes in our financial results, business operations, or the interpretation and application of OBBBA provisions could cause us to become subject to CAMT in subsequent periods, which may materially increase our effective tax rate. In addition, on February 18, 2026, the U.S. Department of the Treasury and the Internal Revenue Service released guidance addressing adjustments to adjusted financial statement income (AFSI) under CAMT related to domestic research and development expenditures capitalized under Section 174. We believe the guidance is intended to mitigate certain book-tax timing differences associated with the capitalization and amortization of domestic research and development expenditures. Although the guidance does not impact the current fiscal year, it could affect our CAMT calculations in future periods, and we are evaluating its potential impact.</w:t>
      </w:r>
    </w:p>
    <w:p>
      <w:pPr>
        <w:spacing w:after="0" w:line="74"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76"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The OECD has also been working on a Base Erosion and Profits Shifting project that, upon implementation, would change various aspects of the existing framework under which our tax obligations are determined in many of the countries in which we operate. In this regard, the OECD has proposed policies aiming to modernize global tax systems, including a country-by-country 15% minimum effective tax rate (“Pillar Two”) for multinational companies. Numerous countries have enacted, or are in the process of enacting, legislation to implement the Pillar Two model rules with a subset of the rules having become effective during our fiscal year ended January 31, 2025, and the remaining rules becoming effective for our fiscal year ending January 31, 2026, or in later periods. Further, on June 28, 2025, the G7 released a joint statement that it had reached an understanding to modify the approach to Pillar Two, aiming to simplify administration of the rules. On January 5, 2026, the OECD issued administrative guidance outlining a framework under which U.S.-parented groups may be excluded from the application of the OECD’s global minimum tax rules. Each member jurisdiction will need to adopt this guidance into local law, and the timing and manner of adoption may vary. As these rules continue to evolve with new legislation and guidance, we will continue to monitor and account for the enactment of Pillar Two rules in the countries where we operate, and the potential impacts such rules may have on our effective tax rate and cash flows in future years.</w:t>
      </w:r>
    </w:p>
    <w:p>
      <w:pPr>
        <w:spacing w:after="0" w:line="175"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6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at the current scale of our business, which makes it difficult to evaluate our prospects and future results of operations.</w:t>
      </w:r>
    </w:p>
    <w:p>
      <w:pPr>
        <w:spacing w:after="0" w:line="42"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Additionally,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72"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42"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67" w:lineRule="exact"/>
        <w:rPr>
          <w:sz w:val="20"/>
          <w:szCs w:val="20"/>
          <w:color w:val="auto"/>
        </w:rPr>
      </w:pPr>
    </w:p>
    <w:p>
      <w:pPr>
        <w:jc w:val="both"/>
        <w:ind w:firstLine="465"/>
        <w:spacing w:after="0" w:line="264" w:lineRule="auto"/>
        <w:rPr>
          <w:sz w:val="20"/>
          <w:szCs w:val="20"/>
          <w:color w:val="auto"/>
        </w:rPr>
      </w:pPr>
      <w:r>
        <w:rPr>
          <w:rFonts w:ascii="Times New Roman" w:cs="Times New Roman" w:eastAsia="Times New Roman" w:hAnsi="Times New Roman"/>
          <w:sz w:val="17"/>
          <w:szCs w:val="17"/>
          <w:color w:val="auto"/>
        </w:rPr>
        <w:t>We are continually seeking to improve our ability to measure our key business metrics, and regularly review our processes to assess potential improvements.</w:t>
      </w: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Risks Related to Laws and Regulations</w:t>
      </w:r>
    </w:p>
    <w:p>
      <w:pPr>
        <w:spacing w:after="0" w:line="216"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and subject us to significant fines and liability.</w:t>
      </w:r>
    </w:p>
    <w:p>
      <w:pPr>
        <w:spacing w:after="0" w:line="60"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and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Laws in the United States</w:t>
      </w:r>
    </w:p>
    <w:p>
      <w:pPr>
        <w:spacing w:after="0" w:line="119"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Similar laws have been enacted and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are required to obtain certain consents to process personal information. For example, some of our data processing practices may be challenged under wiretapping laws when we obtain consumer information from third parties through various methods, including AI features, chatbot and session replay providers, or via third-party marketing pixels. These practices are subject to increased challenges by class action plaintiffs. Several states and foreign jurisdictions have enacted statutes imposing obligations on businesses collecting or processing biometric information. For example, Illinois’ Biometric Information Privacy Act (“BIPA”) regulates the collection, use, safeguarding, and storage of biometric information and provides for substantial penalties and statutory damages. The Federal Trade Commission (“FTC”), has indicated that use of biometric technologies (including facial recognition technologies) may be subject to additional scrutiny. Our inability or failure to obtain consent for these practices could result in adverse consequences, including class action litigation, mass arbitration demands, and regulatory attention.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Laws Outside of the United States</w:t>
      </w:r>
    </w:p>
    <w:p>
      <w:pPr>
        <w:spacing w:after="0" w:line="119"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w:t>
      </w:r>
    </w:p>
    <w:p>
      <w:pPr>
        <w:spacing w:after="0" w:line="65"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We also market to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75"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jurisdictions have in the past and may continue to adopt similarly stringent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70"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w:t>
      </w:r>
    </w:p>
    <w:p>
      <w:pPr>
        <w:spacing w:after="0" w:line="7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Artificial Intelligence</w:t>
      </w:r>
    </w:p>
    <w:p>
      <w:pPr>
        <w:spacing w:after="0" w:line="119"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Our development and use of AI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technology featuring AI.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Obligations on AI may make it harder for us to conduct our business using, or build products incorporating, AI, require us to change our business practices, require us to retrain our algorithms, require us to disclose or provide greater transparency regarding the nature of our AI tools and the data we have employed to train them, or prevent or limit our use of AI. For example, the FTC has required other companies to turn over (or disgorge) valuable insights or trainings generated through the use of AI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 If we do not develop or incorporate AI in a manner consistent with these factors, and consistent with customer expectations, it has in the past and may in the future result in an adverse impact to our reputation, our business may be less efficient, or we may be at a competitive disadvantage. Similarly, if customers and users do not widely adopt our new product AI experiences, features, and capabilities, or they do not perform as expected, we may not be able to realize a return on our investment.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Laws Relating to Minors</w:t>
      </w:r>
    </w:p>
    <w:p>
      <w:pPr>
        <w:spacing w:after="0" w:line="119"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and in some cases already have been subject to legal challenges and changing interpretations which may further complicate our efforts to comply with laws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Consumer Preferences and Protection</w:t>
      </w:r>
    </w:p>
    <w:p>
      <w:pPr>
        <w:spacing w:after="0" w:line="119"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29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scheduled to take effect in 2027 that require video conferencing services to include features 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Industry Standards</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In addition to privacy, data protection and information security laws, we are contractually subject to certain industry standards adopted by industry groups and may become subject to additional such obligations in the future. We also have certain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standards or cannot comply with such contractual obligations, our reputation and business may be harmed. We also publish privacy policies,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marketing materials, whitepapers and other statements, such as compliance with certain certifications or self-regulatory principles, regarding privacy, data protection, artificial intelligence and information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Government Inquiries and Investigations</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for additional information.</w:t>
      </w:r>
    </w:p>
    <w:p>
      <w:pPr>
        <w:spacing w:after="0" w:line="70"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On July 30, 2025, the SEC informed us that its investigation has concluded and they do not intend to recommend an enforcement action. The EDNY and NDCA investigations are ongoing, and a negative outcome in any or all of these matters could cause us to incur substantial fines, penalties, or other financial exposure, as well as material reputational harm, a loss of customer and user confidence and business, additional expenses, and other harm to our business. We do not know when the EDNY and NDCA matters will be completed, which facts we will ultimately discover as a result of the investigations, or what actions the government may or may not take.</w:t>
      </w:r>
    </w:p>
    <w:p>
      <w:pPr>
        <w:spacing w:after="0" w:line="80"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Consents</w:t>
      </w:r>
    </w:p>
    <w:p>
      <w:pPr>
        <w:spacing w:after="0" w:line="119"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Public Perception</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Failure to Comply with our Obligations</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and may continue to necessitate changes to our services, information technologies, systems, and practices and to those of any third parties that process personal information on our behalf.</w:t>
      </w:r>
    </w:p>
    <w:p>
      <w:pPr>
        <w:spacing w:after="0" w:line="70"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79"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trade policies, including the imposition of tariffs and export restrictions, could limit our ability to sell our products to certain customers, which may have a material adverse effect on our sales and results of operations.</w:t>
      </w:r>
    </w:p>
    <w:p>
      <w:pPr>
        <w:spacing w:after="0" w:line="42"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The U.S. or foreign governments have taken and may in the future take administrative, legislative, or regulatory action, including imposing tariffs, that could materially interfere with our ability to sell products in certain countries, and the recent announcements of substantial new tariffs and other restrictive trade policies have created a dynamic and unpredictable trade landscape, which may adversely impact our business.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current administration or future administrations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80"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Further, the U.S. Government has expressed concerns with the security of information and communications technology and services (“ICTS”) sourced from providers in China, Russia, and other jurisdictions. In May 2019, an executive order was issued invoking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additional liabilities on past sales for taxes, surcharges, and fees.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70"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spacing w:after="0" w:line="7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7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64"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60"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processes,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72"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law or policy could compel us or limit our ability to engage in content moderation, or otherwise limit the ability of users to engage in inappropriate or harmful behavior, and could expose us to liability.</w:t>
      </w:r>
    </w:p>
    <w:p>
      <w:pPr>
        <w:spacing w:after="0" w:line="4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There have been various Congressional and executive efforts to eliminate or modify Section 230 of the Communications Act of 1934, enacted as part of the Communications Decency Act of 1996. Section 230 provides protection for providers of online service from liability for content produced by third parties and protects the right to engage in moderation of user content. The current administration and many members of Congress from both parties support the reform or repeal of Section 230, so the possibility of Congressional action remains. In addition, the FCC is considering a petition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that, if successful, would greatly limit the scope of Section 230. The U.S. Supreme Court recently declined to limit the applicability of Section</w:t>
      </w:r>
    </w:p>
    <w:p>
      <w:pPr>
        <w:spacing w:after="0" w:line="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230 in certain circumstances, but future cases may not yield the same results and 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7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it would review both the Florida and Texas decisions, and on July 1, 2024, the Court issued a decision returning both cases to the trial courts for additional analysis. The district court in Texas, on August 29, 2024, issued a decision staying some portions of the Texas law and allowing others to go into effect, relying on analysis under both Section 230 and the First Amendment. On November 18, 2024, the Fifth Circuit issued an order setting parameters for the district court's consideration of the issues raised by the Supreme Court. On January 31, 2025, the plaintiffs refiled their complaint with revisions to reflect the Supreme Court decision. The August 2024 decision is subject to a pending appeal. The district court in Florida denied a motion to dismiss the suit in that state on May 22, 2025. Florida amended its statute in an effort to address issues that led the court to issue the stay.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becomes the speech of the company, reversing a trial court decision that immunized the company under Section 230. We cannot predict whether any such state legislation will be adopted, enforced, modified, overturned, or vacated.</w:t>
      </w:r>
    </w:p>
    <w:p>
      <w:pPr>
        <w:spacing w:after="0" w:line="48" w:lineRule="exact"/>
        <w:rPr>
          <w:sz w:val="20"/>
          <w:szCs w:val="20"/>
          <w:color w:val="auto"/>
        </w:rPr>
      </w:pPr>
    </w:p>
    <w:p>
      <w:pPr>
        <w:jc w:val="both"/>
        <w:ind w:firstLine="620"/>
        <w:spacing w:after="0" w:line="210" w:lineRule="exact"/>
        <w:rPr>
          <w:sz w:val="20"/>
          <w:szCs w:val="20"/>
          <w:color w:val="auto"/>
        </w:rPr>
      </w:pPr>
      <w:r>
        <w:rPr>
          <w:rFonts w:ascii="Times New Roman" w:cs="Times New Roman" w:eastAsia="Times New Roman" w:hAnsi="Times New Roman"/>
          <w:sz w:val="17"/>
          <w:szCs w:val="17"/>
          <w:color w:val="auto"/>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spacing w:after="0" w:line="185"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Federal Regulation</w:t>
      </w:r>
    </w:p>
    <w:p>
      <w:pPr>
        <w:spacing w:after="0" w:line="119"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In June 2025, the Supreme Court rejected a challenge to the USF contribution rules. However, a new lawsuit has been filed seeking to invalidate the system on other grounds in the U.S. Court of Appeals for the Fifth Circuit on October 1, 2025. Congress or the FCC may expand the scope of Zoom Phone’s regulatory obligations at any time. On October 29, 2025, the FCC released a notice of proposed rulemaking that could result in substantial changes in the regulatory regime governing interconnection among providers of voice service.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As described above, the FCC reinstated its prior network neutrality regulations in 2024, but the FCC order was reversed by the Sixth Circuit Court of Appeals.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7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The initial appeal of the rules was denied in August 2025, but the parties requested review by the full court, and the court granted an FCC request to hold the appeal in abeyance while it considers whether to revise or revoke the rules. We cannot predict the impact of the new rules on our operations or business or whether they will be overturned in court.</w:t>
      </w:r>
    </w:p>
    <w:p>
      <w:pPr>
        <w:spacing w:after="0" w:line="7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the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 On May 27, 2025, the FCC released a notice of proposed rulemaking that proposes requiring companies holding FCC licenses or authorizations to certify whether they are owned, controlled, or subject to the authority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foreign adversaries and, if so, to disclose their ownership. We cannot predict if or when the FCC will adopt the proposed rules or similar rules and any impact on our operations or business.</w:t>
      </w:r>
    </w:p>
    <w:p>
      <w:pPr>
        <w:spacing w:after="0" w:line="48"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On March 12, 2025, the FCC opened a proceeding to begin the process of identifying FCC rules, regulations, and guidance documents for elimination or modification to alleviate unnecessary regulatory burdens and eliminating or modifying such rules. This proceeding could result in substantial changes to the FCC’s rules, including the elimination or modification of rules that impose burdens on us and rules that benefit us, including those that prevent anticompetitive behavior by competitors. We cannot predict which rules will be affected by this initiative, when the FCC will act, or the impact of any elimination or modification of existing FCC rules on our operations or business.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State Regulation</w:t>
      </w:r>
    </w:p>
    <w:p>
      <w:pPr>
        <w:spacing w:after="0" w:line="119"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has adopted an order requiring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spacing w:after="0" w:line="76"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International Regulation</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6"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which, if resolved adversely, could harm our business.</w:t>
      </w:r>
    </w:p>
    <w:p>
      <w:pPr>
        <w:spacing w:after="0" w:line="42"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proprietary rights of others. Some companies, including some of our competitors, own large numbers of patents, as well as valuable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use of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121"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We primarily rely and expect to continue to rely on a combination of patent, trademark and domain name protection, trade secret and copyright laws, confidentiality and invention assignment agreements with our employees and consultants, as well as licenses with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diminished or impaired, which could harm our brand and our business. Third parties may knowingly or unknowingly infringe our intellectual property or proprietary rights; third parties may challenge our intellectual property or proprietary rights;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develop similar technologies or processes, or independently discover our trade secrets, in which case we would not be able to assert our trade secret rights. Further, the laws of certain foreign countries do not provide the same level of intellectual property protection of corporate proprietary information and assets such as rights to patents, copyrights,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78"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use of third-party open source software could negatively affect our ability to offer and sell subscriptions to our platform and subject us to possible litigation.</w:t>
      </w:r>
    </w:p>
    <w:p>
      <w:pPr>
        <w:spacing w:after="0" w:line="42"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have incorporated, and may in the future incorporate, third-party open source software (including our open source AI models)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substantial time and resources to re-engineer some of our software. Any of the foregoing could disrupt and harm our business. Furthermore, with respect to our use of third-party open source AI models, some licenses to third-party open source AI models contain additional use restrictions pertaining to research-only limitations or, in some cases, vague notions of responsible uses for the AI models, which may not in all instances comport with our business practices.</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64"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 and</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social, economic and market conditions, in both domestic and our foreign markets, including effects of increased interest rates and inflationary pressures.</w:t>
      </w:r>
    </w:p>
    <w:p>
      <w:pPr>
        <w:spacing w:after="0" w:line="48"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result in substantial costs and divert our management’s time and attention from other business concerns, which could harm our business. We may be the target of additional litigation of this type in the future as well.</w:t>
      </w:r>
    </w:p>
    <w:p>
      <w:pPr>
        <w:spacing w:after="0" w:line="145"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60"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has one vote per share. As of January 31, 2026, the holders of our outstanding Class B common stock held 51.8% of the voting power of our outstanding capital stock, with our directors, executive officers and 5% stockholders and their respective affiliates holding 45.8% of such voting power in the aggregate. As of January 31, 2026, our founder, President and Chief Executive Officer, Eric S. Yuan, together with his affiliates, held approximately 7.1% of our outstanding capital stock but controlled approximately 37.7%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7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64"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7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42"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64"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Substantial future sales of shares of our Class A common stock and Class B common stock could cause the market price of our Class A common stock to decline.</w:t>
      </w:r>
    </w:p>
    <w:p>
      <w:pPr>
        <w:spacing w:after="0" w:line="42"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48"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6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42"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charter documents also contain other provisions that could have an anti-takeover effect, such as:</w:t>
      </w:r>
    </w:p>
    <w:p>
      <w:pPr>
        <w:spacing w:after="0" w:line="115" w:lineRule="exact"/>
        <w:rPr>
          <w:sz w:val="20"/>
          <w:szCs w:val="20"/>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classified board of directors so that not all members of our board of directors are elected at one time;</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the board of directors to establish the number of directors and fill any vacancies and newly created directorships;</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directors may only be removed for cause;</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cumulative voting for directors;</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super-majority voting to amend some provisions in our certificate of incorporation and bylaws;</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of “blank check” preferred stock that our board of directors could use to implement a stockholder rights plan;</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eliminating the ability of stockholders to call special meetings of stockholders;</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which requires all stockholder actions to be taken at a meeting of our stockholders; and</w:t>
      </w:r>
    </w:p>
    <w:p>
      <w:pPr>
        <w:spacing w:after="0" w:line="114" w:lineRule="exact"/>
        <w:rPr>
          <w:rFonts w:ascii="Times New Roman" w:cs="Times New Roman" w:eastAsia="Times New Roman" w:hAnsi="Times New Roman"/>
          <w:sz w:val="17"/>
          <w:szCs w:val="17"/>
          <w:color w:val="auto"/>
        </w:rPr>
      </w:pPr>
    </w:p>
    <w:p>
      <w:pPr>
        <w:ind w:left="1240" w:hanging="461"/>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common stock structure as described above.</w:t>
      </w:r>
    </w:p>
    <w:p>
      <w:pPr>
        <w:spacing w:after="0" w:line="115"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71" w:lineRule="exact"/>
        <w:rPr>
          <w:sz w:val="20"/>
          <w:szCs w:val="20"/>
          <w:color w:val="auto"/>
        </w:rPr>
      </w:pPr>
    </w:p>
    <w:p>
      <w:pPr>
        <w:jc w:val="both"/>
        <w:ind w:firstLine="465"/>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60"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6"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42"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76"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61"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42"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w:t>
      </w:r>
    </w:p>
    <w:p>
      <w:pPr>
        <w:spacing w:after="0" w:line="280"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record all fair value adjustments of our publicly traded and privately held non-marketable securities through the consolidated statement of operations. As a result, we may experience additional volatility to our statements of operations due to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3"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spacing w:after="0" w:line="74"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76"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violation, which significantly increases the enforcement risk faced by us and other public companies for any weaknesses in disclosure controls and internal control over financial reporting.</w:t>
      </w:r>
    </w:p>
    <w:p>
      <w:pPr>
        <w:spacing w:after="0" w:line="48"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67"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64"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42"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67"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incur costs and demands upon management as a result of complying with the laws and regulations affecting public companies in the United States, which may harm our business.</w:t>
      </w:r>
    </w:p>
    <w:p>
      <w:pPr>
        <w:spacing w:after="0" w:line="42"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7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64" w:lineRule="exact"/>
        <w:rPr>
          <w:sz w:val="20"/>
          <w:szCs w:val="20"/>
          <w:color w:val="auto"/>
        </w:rPr>
      </w:pPr>
    </w:p>
    <w:p>
      <w:pPr>
        <w:jc w:val="both"/>
        <w:ind w:firstLine="465"/>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Regulators', investors’ and other stakeholders’ expectations of our performance relating to environmental, social and governance factors may impose additional costs and expose us to new risks.</w:t>
      </w:r>
    </w:p>
    <w:p>
      <w:pPr>
        <w:spacing w:after="0" w:line="42"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There is an increasing focus from regulators, investors, customers and other stakeholders concerning environmental, social and governance matters. To the extent we share information about our practices in this area, we could be criticized for the accuracy, adequacy, or completeness of such disclosures. In addition, we may communicate related goals or initiatives from time to time, which can be costly to achieve and difficult to implement. There is no assurance that we will achieve any of these goals, that our initiatives will achieve their intended outcome, and our ability to implement these initiatives or achieve these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Climate change may have an impact on our business.</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There are inherent climate-related risks wherever business is conducted. We have a global workforce, and operate in leased office spaces and data centers, and the short, medium and long term climate impacts to our business are unclear.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Changing market dynamics, global policy developments and the increasing frequency and impact of extreme weather events to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have designed and implemented an information security program that is tailored to our operations and infrastructure, the nature of our products and services, and the sensitivity of data. Our information security program consists of processes that are designed to identify, assess, and manage material risks from cybersecurity threats.</w:t>
      </w:r>
    </w:p>
    <w:p>
      <w:pPr>
        <w:spacing w:after="0" w:line="64"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have implemented cybersecurity risk management processes that include, for example, vulnerability assessments, application security assessments, penetration testing, third party security assessments, security audits, and ongoing risk assessments. In addition, we have implemented certain technical, physical, and organizational safeguards designed to mitigate material risks from cybersecurity threats, including, for example, depending on the environment or system: information security policies and standards, data protection policies and standards, security training and awareness campaigns, information protection processes, and systems monitoring for cybersecurity threats. We have also implemented an Incident Response Plan and procedures that provide us with a framework for responding to cybersecurity incidents. The Incident Response Plan and procedures provide protocols for incident evaluation, including the use of third-party service providers, processes for notification, and internal escalation of information to our senior management and the appropriate Board committee(s), all as appropriate depending on the nature of the incident. The Incident Response Plan is reviewed and updated, as necessary, under the leadership of Zoom’s Chief Information Security Officer (“CISO”).</w:t>
      </w:r>
    </w:p>
    <w:p>
      <w:pPr>
        <w:spacing w:after="0" w:line="73"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Further, our assessment and management of material risks from cybersecurity threats are an important element of our overall enterprise risk management program and included in our annual enterprise risk assessment which we provide to senior management and the Board.</w:t>
      </w:r>
    </w:p>
    <w:p>
      <w:pPr>
        <w:spacing w:after="0" w:line="4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use third-party service providers to assist us from time to time to identify, assess, and manage material risks from cybersecurity threats, including for example: professional services firms (including legal counsel), threat intelligence service providers, cybersecurity consultants, cybersecurity software and managed service providers, penetration testing firms, and forensic investigators.</w:t>
      </w:r>
    </w:p>
    <w:p>
      <w:pPr>
        <w:spacing w:after="0" w:line="64" w:lineRule="exact"/>
        <w:rPr>
          <w:sz w:val="20"/>
          <w:szCs w:val="20"/>
          <w:color w:val="auto"/>
        </w:rPr>
      </w:pPr>
    </w:p>
    <w:p>
      <w:pPr>
        <w:jc w:val="both"/>
        <w:ind w:firstLine="465"/>
        <w:spacing w:after="0" w:line="268" w:lineRule="auto"/>
        <w:rPr>
          <w:sz w:val="20"/>
          <w:szCs w:val="20"/>
          <w:color w:val="auto"/>
        </w:rPr>
      </w:pPr>
      <w:r>
        <w:rPr>
          <w:rFonts w:ascii="Times New Roman" w:cs="Times New Roman" w:eastAsia="Times New Roman" w:hAnsi="Times New Roman"/>
          <w:sz w:val="17"/>
          <w:szCs w:val="17"/>
          <w:color w:val="auto"/>
        </w:rPr>
        <w:t>We have a third party risk management program designed to oversee, identify, and mitigate material risks from cybersecurity threats associated with our use of third-party service providers. We perform risk-based due diligence and ongoing monitoring of third parties, which may include, for example: reviewing the third party’s relevant security audits and assessments, conducting our own security assessments, and imposing contractual obligations related to information security.</w:t>
      </w:r>
    </w:p>
    <w:p>
      <w:pPr>
        <w:spacing w:after="0" w:line="275"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As of the date of this Annual Report on Form 10-K, we do not believe any risks from cybersecurity threats have materially affected or are reasonably likely to materially affect us, including our business strategy, results of operations or financial condition. For a description of the risks from cybersecurity threats that may materially affect us and how they may do so, see the risk factor titled "Our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 in Part I, Item 1A. Risk Factors of this Annual Report on Form 10-K.</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Our Board addresses our cybersecurity risk management as part of its general oversight function. As outlined in its committee charter, the Cybersecurity Risk Management Committee of the Board (“Cybersecurity Risk Committee”) assists the Board in fulfilling its oversight responsibility. Our CISO, Sandra McLeod, leads the team responsible for implementing and maintaining our information security program and reports directly to the Chief Operating Officer (“COO”), who reports directly to our Chief Executive Officer (“CEO”). Ms. McLeod holds a B.S. in Computer Science from California State Polytechnic University-Pomona and a Master’s Degree in Computer Science from the University of Tennessee, Knoxville. She brings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nearly 25 years of experience, including over ten years conducting security research and leading security initiatives at Cisco. Prior to Ms. McLeod, Michael Adams served as Zoom’s CISO.</w:t>
      </w:r>
    </w:p>
    <w:p>
      <w:pPr>
        <w:spacing w:after="0" w:line="4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CISO provides regular briefings to our senior management and the Cybersecurity Risk Committee concerning relevant cybersecurity risks and the processes we have implemented to address them. The Cybersecurity Risk Committee and the Board also receive various reports, summaries, and presentations related to cybersecurity threats, risks, and mitigations.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Our corporate headquarters is located in San Jose, California, where we lease approximately 103,000 square feet of commercial space pursuant to operating leases that expire in the fiscal year ending January 31, 2030. In addition, we maintain offices in the United States and internationally in APAC and EMEA.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Information with respect to this item may be found in Note 9 - “Commitments and Contingencies” in the accompanying notes to the consolidated financial statements included in Part II, Item 8, “Financial Statements and Supplementary Data” of this Annual Report on Form 10-K, under “Legal Proceedings.”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9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Class A common stock is listed on the Nasdaq Global Select Market under the symbol “ZM.”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As of January 31, 2026, we had 47 holders of record of our Class A common stock and 8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subject to applicable laws, and will depend on a number of factors, including our financial condition, results of operations, capital requirements, contractual restrictions, general business conditions, and other factors that our Board may deem relevant.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15" w:lineRule="exact"/>
        <w:rPr>
          <w:sz w:val="20"/>
          <w:szCs w:val="20"/>
          <w:color w:val="auto"/>
        </w:rPr>
      </w:pPr>
    </w:p>
    <w:p>
      <w:pPr>
        <w:jc w:val="both"/>
        <w:ind w:firstLine="465"/>
        <w:spacing w:after="0" w:line="293" w:lineRule="auto"/>
        <w:rPr>
          <w:sz w:val="20"/>
          <w:szCs w:val="20"/>
          <w:color w:val="auto"/>
        </w:rPr>
      </w:pPr>
      <w:r>
        <w:rPr>
          <w:rFonts w:ascii="Times New Roman" w:cs="Times New Roman" w:eastAsia="Times New Roman" w:hAnsi="Times New Roman"/>
          <w:sz w:val="17"/>
          <w:szCs w:val="17"/>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44"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The following graph compares (i) the cumulative total stockholder return on our Class A common stock from January 29, 2021 through January 30, 2026 with (ii) the cumulative total return of the Russell 2000 Index (“RUT”) and the Nasdaq Computer Index (“IXCO”) over the same period, assuming the investment of $100 in our Class A common stock and in both of the other indices as of January 29, 2021, with the reinvestment of dividends. The graph uses the closing market price on January 29, 2021 of $372.07 per share as the initial value of our Class A common stock. As discussed above, we have never declared or paid a cash dividend on our Class A common stock and do not currently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419735</wp:posOffset>
            </wp:positionV>
            <wp:extent cx="4955540" cy="3306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5540" cy="330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our repurchases of Class A common stock during the three months ended January 31,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Period</w:t>
            </w:r>
          </w:p>
        </w:tc>
        <w:tc>
          <w:tcPr>
            <w:tcW w:w="2220" w:type="dxa"/>
            <w:vAlign w:val="bottom"/>
          </w:tcPr>
          <w:p>
            <w:pPr>
              <w:jc w:val="right"/>
              <w:ind w:right="303"/>
              <w:spacing w:after="0"/>
              <w:rPr>
                <w:sz w:val="20"/>
                <w:szCs w:val="20"/>
                <w:color w:val="auto"/>
              </w:rPr>
            </w:pPr>
            <w:r>
              <w:rPr>
                <w:rFonts w:ascii="Times New Roman" w:cs="Times New Roman" w:eastAsia="Times New Roman" w:hAnsi="Times New Roman"/>
                <w:sz w:val="16"/>
                <w:szCs w:val="16"/>
                <w:color w:val="auto"/>
              </w:rPr>
              <w:t>Total Number of Shares</w:t>
            </w:r>
          </w:p>
        </w:tc>
        <w:tc>
          <w:tcPr>
            <w:tcW w:w="140" w:type="dxa"/>
            <w:vAlign w:val="bottom"/>
          </w:tcPr>
          <w:p>
            <w:pPr>
              <w:spacing w:after="0"/>
              <w:rPr>
                <w:sz w:val="16"/>
                <w:szCs w:val="16"/>
                <w:color w:val="auto"/>
              </w:rPr>
            </w:pPr>
          </w:p>
        </w:tc>
        <w:tc>
          <w:tcPr>
            <w:tcW w:w="2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8"/>
              </w:rPr>
              <w:t>Average Price Paid per Share</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Total Number of Shares Purchased</w:t>
            </w:r>
          </w:p>
        </w:tc>
        <w:tc>
          <w:tcPr>
            <w:tcW w:w="160" w:type="dxa"/>
            <w:vAlign w:val="bottom"/>
          </w:tcPr>
          <w:p>
            <w:pPr>
              <w:spacing w:after="0"/>
              <w:rPr>
                <w:sz w:val="16"/>
                <w:szCs w:val="16"/>
                <w:color w:val="auto"/>
              </w:rPr>
            </w:pPr>
          </w:p>
        </w:tc>
        <w:tc>
          <w:tcPr>
            <w:tcW w:w="206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6"/>
              </w:rPr>
              <w:t>Approximate Dollar Value of</w:t>
            </w:r>
          </w:p>
        </w:tc>
      </w:tr>
      <w:tr>
        <w:trPr>
          <w:trHeight w:val="168"/>
        </w:trPr>
        <w:tc>
          <w:tcPr>
            <w:tcW w:w="2360" w:type="dxa"/>
            <w:vAlign w:val="bottom"/>
          </w:tcPr>
          <w:p>
            <w:pPr>
              <w:spacing w:after="0"/>
              <w:rPr>
                <w:sz w:val="14"/>
                <w:szCs w:val="14"/>
                <w:color w:val="auto"/>
              </w:rPr>
            </w:pPr>
          </w:p>
        </w:tc>
        <w:tc>
          <w:tcPr>
            <w:tcW w:w="2220" w:type="dxa"/>
            <w:vAlign w:val="bottom"/>
          </w:tcPr>
          <w:p>
            <w:pPr>
              <w:jc w:val="right"/>
              <w:ind w:right="663"/>
              <w:spacing w:after="0" w:line="168" w:lineRule="exact"/>
              <w:rPr>
                <w:sz w:val="20"/>
                <w:szCs w:val="20"/>
                <w:color w:val="auto"/>
              </w:rPr>
            </w:pPr>
            <w:r>
              <w:rPr>
                <w:rFonts w:ascii="Times New Roman" w:cs="Times New Roman" w:eastAsia="Times New Roman" w:hAnsi="Times New Roman"/>
                <w:sz w:val="15"/>
                <w:szCs w:val="15"/>
                <w:color w:val="auto"/>
              </w:rPr>
              <w:t>Purchased</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as Part of Publicly Announced</w:t>
            </w:r>
          </w:p>
        </w:tc>
        <w:tc>
          <w:tcPr>
            <w:tcW w:w="22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Shares that May Yet Be Purchased</w:t>
            </w:r>
          </w:p>
        </w:tc>
      </w:tr>
      <w:tr>
        <w:trPr>
          <w:trHeight w:val="168"/>
        </w:trPr>
        <w:tc>
          <w:tcPr>
            <w:tcW w:w="2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2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w w:val="99"/>
              </w:rPr>
              <w:t>Program</w:t>
            </w:r>
            <w:r>
              <w:rPr>
                <w:rFonts w:ascii="Times New Roman" w:cs="Times New Roman" w:eastAsia="Times New Roman" w:hAnsi="Times New Roman"/>
                <w:sz w:val="19"/>
                <w:szCs w:val="19"/>
                <w:color w:val="auto"/>
                <w:w w:val="99"/>
                <w:vertAlign w:val="superscript"/>
              </w:rPr>
              <w:t>(1)</w:t>
            </w:r>
          </w:p>
        </w:tc>
        <w:tc>
          <w:tcPr>
            <w:tcW w:w="160" w:type="dxa"/>
            <w:vAlign w:val="bottom"/>
          </w:tcPr>
          <w:p>
            <w:pPr>
              <w:spacing w:after="0"/>
              <w:rPr>
                <w:sz w:val="14"/>
                <w:szCs w:val="14"/>
                <w:color w:val="auto"/>
              </w:rPr>
            </w:pPr>
          </w:p>
        </w:tc>
        <w:tc>
          <w:tcPr>
            <w:tcW w:w="2060" w:type="dxa"/>
            <w:vAlign w:val="bottom"/>
          </w:tcPr>
          <w:p>
            <w:pPr>
              <w:jc w:val="center"/>
              <w:ind w:right="82"/>
              <w:spacing w:after="0" w:line="168" w:lineRule="exact"/>
              <w:rPr>
                <w:sz w:val="20"/>
                <w:szCs w:val="20"/>
                <w:color w:val="auto"/>
              </w:rPr>
            </w:pPr>
            <w:r>
              <w:rPr>
                <w:rFonts w:ascii="Times New Roman" w:cs="Times New Roman" w:eastAsia="Times New Roman" w:hAnsi="Times New Roman"/>
                <w:sz w:val="16"/>
                <w:szCs w:val="16"/>
                <w:color w:val="auto"/>
                <w:w w:val="97"/>
              </w:rPr>
              <w:t>Under Publicly Announced</w:t>
            </w:r>
          </w:p>
        </w:tc>
      </w:tr>
      <w:tr>
        <w:trPr>
          <w:trHeight w:val="219"/>
        </w:trPr>
        <w:tc>
          <w:tcPr>
            <w:tcW w:w="2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jc w:val="center"/>
              <w:ind w:right="82"/>
              <w:spacing w:after="0" w:line="219" w:lineRule="exact"/>
              <w:rPr>
                <w:sz w:val="20"/>
                <w:szCs w:val="20"/>
                <w:color w:val="auto"/>
              </w:rPr>
            </w:pPr>
            <w:r>
              <w:rPr>
                <w:rFonts w:ascii="Times New Roman" w:cs="Times New Roman" w:eastAsia="Times New Roman" w:hAnsi="Times New Roman"/>
                <w:sz w:val="16"/>
                <w:szCs w:val="16"/>
                <w:color w:val="auto"/>
                <w:w w:val="95"/>
              </w:rPr>
              <w:t>Program (in thousands)</w:t>
            </w:r>
            <w:r>
              <w:rPr>
                <w:rFonts w:ascii="Times New Roman" w:cs="Times New Roman" w:eastAsia="Times New Roman" w:hAnsi="Times New Roman"/>
                <w:sz w:val="20"/>
                <w:szCs w:val="20"/>
                <w:color w:val="auto"/>
                <w:w w:val="95"/>
                <w:vertAlign w:val="superscript"/>
              </w:rPr>
              <w:t>(1)</w:t>
            </w:r>
          </w:p>
        </w:tc>
      </w:tr>
      <w:tr>
        <w:trPr>
          <w:trHeight w:val="22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1 - 30, 2025</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1,232,255</w:t>
            </w:r>
          </w:p>
        </w:tc>
      </w:tr>
      <w:tr>
        <w:trPr>
          <w:trHeight w:val="217"/>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1 – 31, 2025</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999,124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88.05</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999,124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1,144,278</w:t>
            </w:r>
          </w:p>
        </w:tc>
      </w:tr>
      <w:tr>
        <w:trPr>
          <w:trHeight w:val="22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31, 2026</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1,830,784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1,830,784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986,672</w:t>
            </w:r>
          </w:p>
        </w:tc>
      </w:tr>
      <w:tr>
        <w:trPr>
          <w:trHeight w:val="200"/>
        </w:trPr>
        <w:tc>
          <w:tcPr>
            <w:tcW w:w="23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3,761,055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3,761,055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986,672</w:t>
            </w:r>
          </w:p>
        </w:tc>
      </w:tr>
      <w:tr>
        <w:trPr>
          <w:trHeight w:val="20"/>
        </w:trPr>
        <w:tc>
          <w:tcPr>
            <w:tcW w:w="23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84" w:lineRule="exact"/>
        <w:rPr>
          <w:sz w:val="20"/>
          <w:szCs w:val="20"/>
          <w:color w:val="auto"/>
        </w:rPr>
      </w:pPr>
    </w:p>
    <w:p>
      <w:pPr>
        <w:jc w:val="both"/>
        <w:ind w:firstLine="3"/>
        <w:spacing w:after="0" w:line="222" w:lineRule="auto"/>
        <w:tabs>
          <w:tab w:leader="none" w:pos="184"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In November 2025, our Board of Directors authorized another $1.0 billion in repurchases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repurchase program does not obligate us to acquire any particular amount of Class A common stock, and the repurchase program may be suspended or discontinued at any time at our discretion. See Note 10 "Stockholders’ Equity and Equity Incentive Plans" of this Annual Report on Form 10-K for additional information related to share repurchases.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5" w:lineRule="exact"/>
        <w:rPr>
          <w:sz w:val="20"/>
          <w:szCs w:val="20"/>
          <w:color w:val="auto"/>
        </w:rPr>
      </w:pPr>
    </w:p>
    <w:p>
      <w:pPr>
        <w:jc w:val="both"/>
        <w:ind w:firstLine="465"/>
        <w:spacing w:after="0" w:line="26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Zoom provides the AI-first, open work platform built for human connection and purposefully designed to move conversations to completion. Zoom enables customers to seamlessly collaborate, communicate, and drive outcomes across meetings, chat, phone, contact center, events, and more — all with the built-in assistance of Zoom AI Companion.</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strive to simplify the workday with AI-first tools that drive meaningful team collaboration and customer engagement. Zoom Workplace supports businesses by providing a secure, scalable solution for communication and collaboration. In addition, Zoom is further helping businesses foster stronger customer and employee relationships through Zoom Business Services, which includes Zoom Contact Center, Zoom Revenue Accelerator, as well as Zoom Events, which empowers sales, marketing, and customer experience teams.</w:t>
      </w:r>
    </w:p>
    <w:p>
      <w:pPr>
        <w:spacing w:after="0" w:line="67"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AI is core to Zoom’s product innovation. During fiscal year 2026, Zoom has continued to invest in AI, expanding its agentic AI skills, agents, and models, focusing on three key areas: supporting individual productivity, powering better collaboration, and helping customer-facing teams get more done, do better work, and strengthen relationships with AI Companion. Our federated approach to AI dynamically leverages multiple Large Language Models (“LLMs”) (including those from OpenAI, Anthropic, and Meta), as well as Small Language Models (“SLMs”), making AI more accessible and affordable so that more people can incorporate it in their day-to-day workflows. In line with our commitment to responsible AI, Zoom does not use customer audio, video, chat, screen sharing, attachments, or other communications-like customer content (such as poll results, whiteboard, and reactions) to train Zoom’s or its third-party AI models.</w:t>
      </w:r>
    </w:p>
    <w:p>
      <w:pPr>
        <w:spacing w:after="0" w:line="73"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Zoom’s platform prioritizes security and privacy, with 20 co-located data centers globally as of January 31, 2026 and robust encryption options. We are committed to delivering high-quality, real-time video, even in low-bandwidth conditions, while safeguarding our customers' data.</w:t>
      </w:r>
    </w:p>
    <w:p>
      <w:pPr>
        <w:spacing w:after="0" w:line="48"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Revenue is driven by subscriptions to Zoom Workplace and Zoom Business Services. Our core offerings include Zoom Workplace Pro, Business, and Enterprise bundles, with vertical-specific plans for Education, Healthcare, and Government. We also offer Zoom Phone, with regional and global calling plans, and Zoom Contact Center, providing advanced customer experience solutions designed to meet diverse customer needs.</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revenue was $4,868.8 million, $4,665.4 million, and $4,527.2 million for the fiscal years ended January 31, 2026, 2025, and 2024, respectively, representing year-over-year growth of 4.4% and 3.1%, respectively. We had net income of $1,900.1 million, $1,010.2 million, and $637.5 million for the fiscal years ended January 31, 2026, 2025, and 2024, respectively. Net cash provided by operating activities was $1,989.0 million, $1,945.3 million, and $1,598.8 million for the fiscal years ended January 31, 2026, 2025, and 2024,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Conditions and Other Factors</w:t>
      </w:r>
    </w:p>
    <w:p>
      <w:pPr>
        <w:spacing w:after="0" w:line="119"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The macroeconomic environment, including geopolitical and trade uncertainties, changing monetary policy, and ongoing foreign currency exchange rate volatility, has created and may continue to create uncertainty in demand for subscriptions to our open work platform. Although headline inflation in many major economies has moderated compared with prior years and moved closer to central bank targets, cost pressures remain uneven across regions, and uncertainties around interest rates, policy actions, and global growth continue to influence corporate spending patterns. These dynamics, together with shifts in customers’ internal priorities, including budget realignment toward digital transformation and AI initiatives, have contributed to elongated sales cycles and continued caution in enterprise spending, potentially affecting customer upsell, downsell, or renewal activity.</w:t>
      </w:r>
    </w:p>
    <w:p>
      <w:pPr>
        <w:spacing w:after="0" w:line="73"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continue to monitor the potential effects of these circumstances as well as the overall global economy and geopolitical landscape on our business and financial results. The implications of macroeconomic conditions on our business, results of operations, and overall financial position, particularly over the long term, remain uncertain.</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introducing several significant corporate income tax provisions, including the option to immediately deduct domestic research and development expenses or continue to capitalize and amortize such expenses for tax years beginning after December 31, 2024, the permanent extension of 100% bonus depreciation for qualified property placed in service after January 19, 2025, and modifications to international tax rules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such as future changes to the calculation of Global Intangible Low-Taxed Income (GILTI) and the Foreign-Derived Intangible Income (FDII) deduction. The impacts of OBBBA on our financial statements for the fiscal year ended January 31, 2026 were not material; however, OBBBA resulted in a favorable impact on cash taxes and an increase in our effective tax rate. As our business operations or financial results change, or as additional regulations and administrative guidance are issued, we will evaluate any further impacts to our consolidated financial statements.</w:t>
      </w:r>
    </w:p>
    <w:p>
      <w:pPr>
        <w:spacing w:after="0" w:line="6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Refer to “Part I, Item 1A. Risk Factors” of this Annual Report on Form 10-K for further discussions of the potential impacts of the current macroeconomic conditions on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 and Factors Affecting Our Performance</w:t>
      </w:r>
    </w:p>
    <w:p>
      <w:pPr>
        <w:spacing w:after="0" w:line="119"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review the following key business metrics and strategic factors to measure our performance, identify trends, formulate financial projections, and make strategic decisions, including evaluating our ability to grow the number of customers who use Zoom Workplace and Zoom Business Services.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Large Enterprise Customers - Customers Contributing More Than $100,000 of Trailing 12 Months Revenue</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focus on growing the number of customers who contribute more than $100,000 of trailing 12 months revenue since it is a measure of our ability to scale with our customers and attract larger organizations to Zoom. Revenue from these customers represented 32.8%, 31.0%, and 29.2% of total revenue for the fiscal years ended January 31, 2026, 2025, and 2024, respectively. As of January 31, 2026, 2025, and 2024, we had 4,468, 4,088, and 3,810 customers, respectively, that contributed more than $100,000 of trailing 12 months revenue, demonstrating our penetration of larger organizations, including enterprises. These customers are a subset of Enterprise customers, as defined in the following section.</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Expansion of Zoom Across Existing Enterprise Customers - Net Dollar Expansion Rate</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believe that there is a large opportunity for growth with many of our existing customers. Historically, customers have increased the size of their subscriptions as they have expanded their use of our platform across their operations. Over the past few years, macroeconomic headwinds have resulted in slower hiring and higher seat count downsells from our existing Enterprise customers in key markets, which have impacted the rate of expansion and have caused our net dollar expansion rate for Enterprise customers to drop below one hundred percent. Despite the decline, we believe there are still opportunities for future growth with our existing customers as we innovate our platform with additional product offerings and the use of AI. This expansion in the use of our platform also provides us with opportunities to market and sell additional products to our customers, such as Zoom Phone, Zoom Contact Center, and Workvivo.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76"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60.3%, 59.0% and 57.9% of total revenue for the fiscal years ended January 31, 2026, 2025, and 2024,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contractions,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 month net dollar expansion rate for Enterprise customers was 98%, 98%, and 101% as of January 31, 2026, 2025, and 2024,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Retention of Online Customers - Average Monthly Churn Rate &amp; Percentage of MRR from ≥16-Month Customers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In addition to Enterprise customers, we also have a significant number of customers who subscribe to our services directly through our website (“Online customers” or “Online business”). Online customers represent a diverse customer base, ranging from individual consumers to solopreneurs to small and medium-size businesses. We continue to focus on acquisition and retention of our Online customer base through various strategies to improve the features and functionalities of our products and services. Revenue from Online customers represented 39.7%, 41.0%, and 42.1% of total revenue for the fiscal years ended January 31, 2026, 2025, and 2024, respectively. The ability to retain these Online customers will have an impact on our future revenue. The online monthly average churn for our Online customers was 2.8%, 2.9%, and 3.1% per month for the fiscal years ended January 31, 2026, 2025, and 2024, respectively. One of the dynamics in the Online portion of our business is the MRR contribution from customers who have retained Zoom services for a certain portion of time as these customers tend to maintain their subscriptions and contribute meaningfully to the Online business. As of January 31, 2026, 2025, and 2024 the percentage of total Online MRR from Online customers with a continual term of service of at least 16 months was 74.9%, 75.1% and 74.2% respectively.</w:t>
      </w:r>
    </w:p>
    <w:p>
      <w:pPr>
        <w:spacing w:after="0" w:line="73"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divided that amount by three to calculate the Online average monthly churn for the applicable quarter.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Innovation and Expansion of Our Platform</w:t>
      </w:r>
    </w:p>
    <w:p>
      <w:pPr>
        <w:spacing w:after="0" w:line="10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continue to invest and enhance the capabilities of Zoom Workplace and Zoom Business Services, including ongoing investments in AI, with a focus on expanding agentic AI skills, agents, and models.</w:t>
      </w:r>
    </w:p>
    <w:p>
      <w:pPr>
        <w:spacing w:after="0" w:line="48"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During fiscal year 2026, we launched several new products and enhancements across Zoom Workplace and Zoom Business Services. These included Zoom Tasks, which helps users manage and complete tasks; Zoom Workplace for Frontline Workers, an AI-first mobile solution to improve on-shift communication and task management; Zoom Workplace for Clinicians, which automates clinical workflows and reduces documentation overhead; and a next-generation Zoom Virtual Agent, which uses agentic AI to autonomously handle customer support issues across chat and voice channels. These offerings expand our agentic AI capabilities across collaboration, customer support, recruiting, and industry-specific workflows through new integrations and platform enhancements. We also acquired BrightHire, Inc. to strengthen recruiting and candidate engagement capabilities.</w:t>
      </w:r>
    </w:p>
    <w:p>
      <w:pPr>
        <w:spacing w:after="0" w:line="73"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At Zoomtopia 2025, our annual user conference held in September, we announced several strategic platform innovations, including AI Companion 3.0, which we launched in December 2025 for all paid Zoom Workplace users at no additional cost. AI Companion 3.0 introduces more proactive assistance with tasks, such as meeting prioritization, agenda creation, and “catch me up” summaries, along with unified, context-aware search across internal and external data sources, enhanced report generation and research tools, and an expanded workspace designed to improve productivity.</w:t>
      </w:r>
    </w:p>
    <w:p>
      <w:pPr>
        <w:spacing w:after="0" w:line="6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also enhanced the Custom AI Companion add-on, enabling users to create and deploy custom AI assistants with broader context and integration across applications. The add-on provides low-code tools, templates, and libraries to help organizations build tailored AI workflows. In addition, Zoom Business Services announced updates to Zoom Virtual Agent, featuring new use cases and branded voice customization to support more consistent customer interactions.</w:t>
      </w:r>
    </w:p>
    <w:p>
      <w:pPr>
        <w:spacing w:after="0" w:line="64"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Zoom is an open platform, and third-party developers are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International Opportunity</w:t>
      </w:r>
    </w:p>
    <w:p>
      <w:pPr>
        <w:spacing w:after="0" w:line="121"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Our platform addresses the communications and collaboration needs of users worldwide, and international expansion remains a meaningful component of our long-term growth strategy. Our revenue outside of the Americas (APAC and EMEA) represented 27.9%, 28.2%, and 28.7% of our total revenue for the fiscal years ended January 31, 2026, 2025, and 2024, respectively.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that free cash flow (“FCF”) is a non-GAAP financial measure that is useful in evaluating our liquidity.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73"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 following table presents a summary of our cash flows for the fiscal years presented and a reconciliation of FCF to net cash provided by operating activities, the most directly comparable financial measure calculated in accordance with GAAP:</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1,989,048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1,945,308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1,598,836</w:t>
            </w:r>
          </w:p>
        </w:tc>
        <w:tc>
          <w:tcPr>
            <w:tcW w:w="0" w:type="dxa"/>
            <w:vAlign w:val="bottom"/>
          </w:tcPr>
          <w:p>
            <w:pPr>
              <w:spacing w:after="0"/>
              <w:rPr>
                <w:sz w:val="1"/>
                <w:szCs w:val="1"/>
                <w:color w:val="auto"/>
              </w:rPr>
            </w:pPr>
          </w:p>
        </w:tc>
      </w:tr>
      <w:tr>
        <w:trPr>
          <w:trHeight w:val="22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(64,961)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(136,560)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(126,953)</w:t>
            </w: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Free cash flow (non-GAAP)</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1,924,087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1,808,748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1,471,883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20" w:type="dxa"/>
            <w:vAlign w:val="bottom"/>
            <w:vMerge w:val="continue"/>
          </w:tcPr>
          <w:p>
            <w:pPr>
              <w:spacing w:after="0"/>
              <w:rPr>
                <w:sz w:val="16"/>
                <w:szCs w:val="16"/>
                <w:color w:val="auto"/>
              </w:rPr>
            </w:pPr>
          </w:p>
        </w:tc>
        <w:tc>
          <w:tcPr>
            <w:tcW w:w="400" w:type="dxa"/>
            <w:vAlign w:val="bottom"/>
            <w:tcBorders>
              <w:bottom w:val="single" w:sz="8" w:color="auto"/>
            </w:tcBorders>
          </w:tcPr>
          <w:p>
            <w:pPr>
              <w:jc w:val="right"/>
              <w:ind w:right="19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(278,898)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(1,106,024)</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(1,183,689)</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(1,805,358)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(1,028,077)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60,186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derive our revenue from subscription agreements with customers for access to our AI-first, open work platform. Our customers generally do not have the ability to take possession of our software. We also provide services, which include professional services, consulting services, and online event hosting, which are generally considered distinct from the access to our AI-first, open work platform. The amount of revenue recognized reflects the consideration that we expect to receive in exchange for these services over the contract term, which can include a free period discount.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Cost of revenue primarily consists of costs related to hosting our AI-first, open work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19"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primarily consist of personnel-related expenses associated with our finance, legal, and other organizations; professional fees for external legal, accounting, and other consulting services; expected credit losses; insurance; certain indirect taxes; litigation settlements; corporate security and regulatory expenses; and allocated overhead.</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Gains on Strategic Investments,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Gains on strategic investments, net consist primarily of remeasurement gains or losses on our equity investments.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Other income, net consists primarily of interest income and net accretion on our marketable securities and effect of changes in foreign currency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following tables set forth selected consolidated statements of operations data and such data as a percentage of revenue for each of the fiscal years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6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6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6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4,868,769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4,527,224</w:t>
            </w:r>
          </w:p>
        </w:tc>
      </w:tr>
      <w:tr>
        <w:trPr>
          <w:trHeight w:val="220"/>
        </w:trPr>
        <w:tc>
          <w:tcPr>
            <w:tcW w:w="614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1,119,036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1,129,627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1,077,801</w:t>
            </w:r>
          </w:p>
        </w:tc>
      </w:tr>
      <w:tr>
        <w:trPr>
          <w:trHeight w:val="21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3,749,733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3,535,806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3,449,423</w:t>
            </w:r>
          </w:p>
        </w:tc>
      </w:tr>
      <w:tr>
        <w:trPr>
          <w:trHeight w:val="20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0"/>
        </w:trPr>
        <w:tc>
          <w:tcPr>
            <w:tcW w:w="614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Research and development </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803,187</w:t>
            </w:r>
          </w:p>
        </w:tc>
      </w:tr>
      <w:tr>
        <w:trPr>
          <w:trHeight w:val="220"/>
        </w:trPr>
        <w:tc>
          <w:tcPr>
            <w:tcW w:w="614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Sales and marketing </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1,388,297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1,427,384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1,541,307</w:t>
            </w:r>
          </w:p>
        </w:tc>
      </w:tr>
      <w:tr>
        <w:trPr>
          <w:trHeight w:val="220"/>
        </w:trPr>
        <w:tc>
          <w:tcPr>
            <w:tcW w:w="614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General and administrative </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579,650</w:t>
            </w:r>
          </w:p>
        </w:tc>
      </w:tr>
      <w:tr>
        <w:trPr>
          <w:trHeight w:val="213"/>
        </w:trPr>
        <w:tc>
          <w:tcPr>
            <w:tcW w:w="61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2,626,100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2,722,511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2,924,144</w:t>
            </w:r>
          </w:p>
        </w:tc>
      </w:tr>
      <w:tr>
        <w:trPr>
          <w:trHeight w:val="21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1,123,633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813,295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525,279</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969,822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109,770</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328,830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325,147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197,263</w:t>
            </w: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1,315,584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832,312</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522,137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194,850</w:t>
            </w:r>
          </w:p>
        </w:tc>
      </w:tr>
      <w:tr>
        <w:trPr>
          <w:trHeight w:val="213"/>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1,900,148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1,010,238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637,462</w:t>
            </w:r>
          </w:p>
        </w:tc>
      </w:tr>
      <w:tr>
        <w:trPr>
          <w:trHeight w:val="20"/>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00" w:hanging="179"/>
        <w:spacing w:after="0"/>
        <w:tabs>
          <w:tab w:leader="none" w:pos="20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80" w:type="dxa"/>
            <w:vAlign w:val="bottom"/>
            <w:gridSpan w:val="3"/>
            <w:shd w:val="clear" w:color="auto" w:fill="CFF0FC"/>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96,273</w:t>
            </w:r>
          </w:p>
        </w:tc>
        <w:tc>
          <w:tcPr>
            <w:tcW w:w="42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124,561</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143,798</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287,172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333,767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336,309</w:t>
            </w:r>
          </w:p>
        </w:tc>
        <w:tc>
          <w:tcPr>
            <w:tcW w:w="0" w:type="dxa"/>
            <w:vAlign w:val="bottom"/>
          </w:tcPr>
          <w:p>
            <w:pPr>
              <w:spacing w:after="0"/>
              <w:rPr>
                <w:sz w:val="1"/>
                <w:szCs w:val="1"/>
                <w:color w:val="auto"/>
              </w:rPr>
            </w:pPr>
          </w:p>
        </w:tc>
      </w:tr>
      <w:tr>
        <w:trPr>
          <w:trHeight w:val="22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254,976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319,631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381,298</w:t>
            </w:r>
          </w:p>
        </w:tc>
        <w:tc>
          <w:tcPr>
            <w:tcW w:w="0" w:type="dxa"/>
            <w:vAlign w:val="bottom"/>
          </w:tcPr>
          <w:p>
            <w:pPr>
              <w:spacing w:after="0"/>
              <w:rPr>
                <w:sz w:val="1"/>
                <w:szCs w:val="1"/>
                <w:color w:val="auto"/>
              </w:rPr>
            </w:pPr>
          </w:p>
        </w:tc>
      </w:tr>
      <w:tr>
        <w:trPr>
          <w:trHeight w:val="220"/>
        </w:trPr>
        <w:tc>
          <w:tcPr>
            <w:tcW w:w="42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122,355</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153,350</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195,756</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6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6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760,776</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931,309</w:t>
            </w: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1,057,161</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23.8 %</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77.0 %</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75.8 %</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76.2 %</w:t>
            </w: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0" w:type="dxa"/>
            <w:vAlign w:val="bottom"/>
          </w:tcPr>
          <w:p>
            <w:pPr>
              <w:spacing w:after="0"/>
              <w:rPr>
                <w:sz w:val="1"/>
                <w:szCs w:val="1"/>
                <w:color w:val="auto"/>
              </w:rPr>
            </w:pPr>
          </w:p>
        </w:tc>
      </w:tr>
      <w:tr>
        <w:trPr>
          <w:trHeight w:val="220"/>
        </w:trPr>
        <w:tc>
          <w:tcPr>
            <w:tcW w:w="4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53.9 %</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58.4 %</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64.6 %</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0" w:type="dxa"/>
            <w:vAlign w:val="bottom"/>
          </w:tcPr>
          <w:p>
            <w:pPr>
              <w:spacing w:after="0"/>
              <w:rPr>
                <w:sz w:val="1"/>
                <w:szCs w:val="1"/>
                <w:color w:val="auto"/>
              </w:rPr>
            </w:pPr>
          </w:p>
        </w:tc>
      </w:tr>
      <w:tr>
        <w:trPr>
          <w:trHeight w:val="220"/>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19.9 %</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18.4 %</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39.0 %</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2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42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2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Fiscal Years Ended January 31, 2026 and 2025</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540" w:type="dxa"/>
            <w:vAlign w:val="bottom"/>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540" w:type="dxa"/>
            <w:vAlign w:val="bottom"/>
          </w:tcPr>
          <w:p>
            <w:pPr>
              <w:spacing w:after="0"/>
              <w:rPr>
                <w:sz w:val="18"/>
                <w:szCs w:val="18"/>
                <w:color w:val="auto"/>
              </w:rPr>
            </w:pPr>
          </w:p>
        </w:tc>
      </w:tr>
      <w:tr>
        <w:trPr>
          <w:trHeight w:val="23"/>
        </w:trPr>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4,868,769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203,336</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4.4 %</w:t>
            </w:r>
          </w:p>
        </w:tc>
      </w:tr>
    </w:tbl>
    <w:p>
      <w:pPr>
        <w:spacing w:after="0" w:line="28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Revenue for the fiscal year ended January 31, 2026 increased by $203.3 million, or 4.4%, compared to the fiscal year ended January 31, 2025. The increase primarily reflects higher product expansion and usage among existing Enterprise customers and continued growth of our customer base. Revenue from Enterprise subscription services grew 6.5% year over year, with 68.4% of the increase attributable to existing customers and 31.6% to new customers. Revenue from Online customers increased by 1.2%.</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500" w:type="dxa"/>
            <w:vAlign w:val="bottom"/>
          </w:tcPr>
          <w:p>
            <w:pPr>
              <w:spacing w:after="0"/>
              <w:rPr>
                <w:sz w:val="15"/>
                <w:szCs w:val="15"/>
                <w:color w:val="auto"/>
              </w:rPr>
            </w:pPr>
          </w:p>
        </w:tc>
      </w:tr>
      <w:tr>
        <w:trPr>
          <w:trHeight w:val="23"/>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1"/>
        </w:trPr>
        <w:tc>
          <w:tcPr>
            <w:tcW w:w="5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500" w:type="dxa"/>
            <w:vAlign w:val="bottom"/>
          </w:tcPr>
          <w:p>
            <w:pPr>
              <w:spacing w:after="0"/>
              <w:rPr>
                <w:sz w:val="18"/>
                <w:szCs w:val="18"/>
                <w:color w:val="auto"/>
              </w:rPr>
            </w:pPr>
          </w:p>
        </w:tc>
      </w:tr>
      <w:tr>
        <w:trPr>
          <w:trHeight w:val="23"/>
        </w:trPr>
        <w:tc>
          <w:tcPr>
            <w:tcW w:w="5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7"/>
                <w:szCs w:val="17"/>
                <w:color w:val="auto"/>
              </w:rPr>
              <w:t>1,119,036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7"/>
                <w:szCs w:val="17"/>
                <w:color w:val="auto"/>
              </w:rPr>
              <w:t>1,129,627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w w:val="99"/>
              </w:rPr>
              <w:t>(10,591)</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0"/>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9"/>
                <w:szCs w:val="19"/>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3,749,733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7"/>
                <w:szCs w:val="17"/>
                <w:color w:val="auto"/>
              </w:rPr>
              <w:t>3,535,806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213,927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2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77.0 %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75.8 %</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bl>
    <w:p>
      <w:pPr>
        <w:spacing w:after="0" w:line="1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 xml:space="preserve">Cost of revenue for the fiscal year ended January 31, 2026, decreased by $10.6 million, or 0.9%, compared to the fiscal year ended January 31, 2025. The decline primarily reflects </w:t>
      </w:r>
      <w:r>
        <w:rPr>
          <w:rFonts w:ascii="Times New Roman" w:cs="Times New Roman" w:eastAsia="Times New Roman" w:hAnsi="Times New Roman"/>
          <w:sz w:val="17"/>
          <w:szCs w:val="17"/>
          <w:color w:val="231F20"/>
        </w:rPr>
        <w:t>a</w:t>
      </w:r>
      <w:r>
        <w:rPr>
          <w:rFonts w:ascii="Times New Roman" w:cs="Times New Roman" w:eastAsia="Times New Roman" w:hAnsi="Times New Roman"/>
          <w:sz w:val="17"/>
          <w:szCs w:val="17"/>
          <w:color w:val="auto"/>
        </w:rPr>
        <w:t xml:space="preserve"> $28.3 million reduction </w:t>
      </w:r>
      <w:r>
        <w:rPr>
          <w:rFonts w:ascii="Times New Roman" w:cs="Times New Roman" w:eastAsia="Times New Roman" w:hAnsi="Times New Roman"/>
          <w:sz w:val="17"/>
          <w:szCs w:val="17"/>
          <w:color w:val="231F20"/>
        </w:rPr>
        <w:t>in stock-based compensation, partially offset by</w:t>
      </w:r>
      <w:r>
        <w:rPr>
          <w:rFonts w:ascii="Times New Roman" w:cs="Times New Roman" w:eastAsia="Times New Roman" w:hAnsi="Times New Roman"/>
          <w:sz w:val="17"/>
          <w:szCs w:val="17"/>
          <w:color w:val="auto"/>
        </w:rPr>
        <w:t xml:space="preserve"> $18.2 million </w:t>
      </w:r>
      <w:r>
        <w:rPr>
          <w:rFonts w:ascii="Times New Roman" w:cs="Times New Roman" w:eastAsia="Times New Roman" w:hAnsi="Times New Roman"/>
          <w:sz w:val="17"/>
          <w:szCs w:val="17"/>
          <w:color w:val="231F20"/>
        </w:rPr>
        <w:t>in asset impairments. The decrease in stock-based compensation resulted from changes to our equity program.</w:t>
      </w:r>
    </w:p>
    <w:p>
      <w:pPr>
        <w:spacing w:after="0" w:line="6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 xml:space="preserve">Gross margin increased to 77.0% for the fiscal year ended January 31, 2026 from 75.8% for the fiscal year ended January 31, 2025. The increase in gross margin was driven by the decrease in stock-based compensation </w:t>
      </w:r>
      <w:r>
        <w:rPr>
          <w:rFonts w:ascii="Times New Roman" w:cs="Times New Roman" w:eastAsia="Times New Roman" w:hAnsi="Times New Roman"/>
          <w:sz w:val="17"/>
          <w:szCs w:val="17"/>
          <w:color w:val="231F20"/>
        </w:rPr>
        <w:t>as well as other operational efficiencies.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5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
        </w:trPr>
        <w:tc>
          <w:tcPr>
            <w:tcW w:w="5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844,875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852,415</w:t>
            </w:r>
          </w:p>
        </w:tc>
        <w:tc>
          <w:tcPr>
            <w:tcW w:w="80" w:type="dxa"/>
            <w:vAlign w:val="bottom"/>
            <w:shd w:val="clear" w:color="auto" w:fill="CFF0FC"/>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w:t>
            </w:r>
          </w:p>
        </w:tc>
      </w:tr>
    </w:tbl>
    <w:p>
      <w:pPr>
        <w:spacing w:after="0" w:line="28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Research and development expense for the fiscal year ended January 31, 2026, decreased by $7.5 million, or 0.9%, compared to the fiscal year ended January 31, 2025. The decrease primarily reflects a $46.6 million reduction in stock-based compensation resulting from changes to our equity programs, largely offset by continued investment in AI innovation. The offsetting increase was driven by an additional $33.4 million of personnel-related expenses from higher headcount and costs associated with AI-focused software and facilities.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540" w:type="dxa"/>
            <w:vAlign w:val="bottom"/>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540" w:type="dxa"/>
            <w:vAlign w:val="bottom"/>
          </w:tcPr>
          <w:p>
            <w:pPr>
              <w:spacing w:after="0"/>
              <w:rPr>
                <w:sz w:val="18"/>
                <w:szCs w:val="18"/>
                <w:color w:val="auto"/>
              </w:rPr>
            </w:pPr>
          </w:p>
        </w:tc>
      </w:tr>
      <w:tr>
        <w:trPr>
          <w:trHeight w:val="23"/>
        </w:trPr>
        <w:tc>
          <w:tcPr>
            <w:tcW w:w="5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1,388,297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1,427,384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(39,087)</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281"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Sales and marketing expense for the fiscal year ended January 31, 2026, decreased by $39.1 million, or 2.7%, compared to the fiscal year ended January 31, 2025. The decrease was primarily driven by a $64.7 million decrease in stock-based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compensation resulting from changes in our equity programs, partially offset by continued investments supporting customer acquisition, retention, and expansion initiatives.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540" w:type="dxa"/>
            <w:vAlign w:val="bottom"/>
          </w:tcPr>
          <w:p>
            <w:pPr>
              <w:spacing w:after="0"/>
              <w:rPr>
                <w:sz w:val="15"/>
                <w:szCs w:val="15"/>
                <w:color w:val="auto"/>
              </w:rPr>
            </w:pPr>
          </w:p>
        </w:tc>
      </w:tr>
      <w:tr>
        <w:trPr>
          <w:trHeight w:val="23"/>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5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8"/>
                <w:szCs w:val="18"/>
                <w:color w:val="auto"/>
              </w:rPr>
            </w:pPr>
          </w:p>
        </w:tc>
      </w:tr>
      <w:tr>
        <w:trPr>
          <w:trHeight w:val="23"/>
        </w:trPr>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0"/>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392,928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442,712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(49,784)</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w:t>
            </w:r>
          </w:p>
        </w:tc>
      </w:tr>
    </w:tbl>
    <w:p>
      <w:pPr>
        <w:spacing w:after="0" w:line="28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 for the fiscal year ended January 31, 2026, decreased by $49.8 million, or 11.2%, compared to the fiscal year ended January 31, 2025. The decrease primarily reflects a $36.0 million change related to an SEC investigation accrual recorded in the prior year and reversed in the current year, along with a $31.0 million reduction in stock-based compensation resulting from changes in our equity programs. These decreases were partially offset by a $20.9 million expense for the charitable donation of shares contributed to a donor advised fund.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Gains on Strategic Investments, Net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Year Ended January 31,</w:t>
            </w:r>
          </w:p>
        </w:tc>
        <w:tc>
          <w:tcPr>
            <w:tcW w:w="1420" w:type="dxa"/>
            <w:vAlign w:val="bottom"/>
          </w:tcPr>
          <w:p>
            <w:pPr>
              <w:spacing w:after="0"/>
              <w:rPr>
                <w:sz w:val="15"/>
                <w:szCs w:val="15"/>
                <w:color w:val="auto"/>
              </w:rPr>
            </w:pPr>
          </w:p>
        </w:tc>
      </w:tr>
      <w:tr>
        <w:trPr>
          <w:trHeight w:val="23"/>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208"/>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420" w:type="dxa"/>
            <w:vAlign w:val="bottom"/>
          </w:tcPr>
          <w:p>
            <w:pPr>
              <w:spacing w:after="0"/>
              <w:rPr>
                <w:sz w:val="18"/>
                <w:szCs w:val="18"/>
                <w:color w:val="auto"/>
              </w:rPr>
            </w:pPr>
          </w:p>
        </w:tc>
      </w:tr>
      <w:tr>
        <w:trPr>
          <w:trHeight w:val="23"/>
        </w:trPr>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969,822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177,142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792,680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NM</w:t>
            </w:r>
          </w:p>
        </w:tc>
      </w:tr>
    </w:tbl>
    <w:p>
      <w:pPr>
        <w:spacing w:after="0" w:line="26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 xml:space="preserve">Gains on strategic investments, net, were $969.8 million and $177.1 million for the fiscal years ended January 31, 2026 and 2025, respectively, which </w:t>
      </w:r>
      <w:r>
        <w:rPr>
          <w:rFonts w:ascii="Times New Roman" w:cs="Times New Roman" w:eastAsia="Times New Roman" w:hAnsi="Times New Roman"/>
          <w:sz w:val="17"/>
          <w:szCs w:val="17"/>
          <w:color w:val="231F20"/>
        </w:rPr>
        <w:t>were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both primarily driven by changes in the fair value of our privately held securities.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560" w:type="dxa"/>
            <w:vAlign w:val="bottom"/>
          </w:tcPr>
          <w:p>
            <w:pPr>
              <w:spacing w:after="0"/>
              <w:rPr>
                <w:sz w:val="15"/>
                <w:szCs w:val="15"/>
                <w:color w:val="auto"/>
              </w:rPr>
            </w:pPr>
          </w:p>
        </w:tc>
      </w:tr>
      <w:tr>
        <w:trPr>
          <w:trHeight w:val="23"/>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1"/>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560" w:type="dxa"/>
            <w:vAlign w:val="bottom"/>
          </w:tcPr>
          <w:p>
            <w:pPr>
              <w:spacing w:after="0"/>
              <w:rPr>
                <w:sz w:val="18"/>
                <w:szCs w:val="18"/>
                <w:color w:val="auto"/>
              </w:rPr>
            </w:pPr>
          </w:p>
        </w:tc>
      </w:tr>
      <w:tr>
        <w:trPr>
          <w:trHeight w:val="23"/>
        </w:trPr>
        <w:tc>
          <w:tcPr>
            <w:tcW w:w="5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328,830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7"/>
                <w:szCs w:val="17"/>
                <w:color w:val="auto"/>
              </w:rPr>
              <w:t>325,147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3,683</w:t>
            </w: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1.1 %</w:t>
            </w:r>
          </w:p>
        </w:tc>
      </w:tr>
    </w:tbl>
    <w:p>
      <w:pPr>
        <w:spacing w:after="0" w:line="28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Other income, net for the fiscal year ended January 31, 2026 increased by $3.7 million, or 1.1%, compared to the fiscal year ended January 31, 2025. The increase was mainly driven by a $23.8 million favorable impact from changes in foreign currency exchange rates, largely offset by a $23.4 million decrease in interest income from cash and marketable securities.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540" w:type="dxa"/>
            <w:vAlign w:val="bottom"/>
          </w:tcPr>
          <w:p>
            <w:pPr>
              <w:spacing w:after="0"/>
              <w:rPr>
                <w:sz w:val="15"/>
                <w:szCs w:val="15"/>
                <w:color w:val="auto"/>
              </w:rPr>
            </w:pPr>
          </w:p>
        </w:tc>
      </w:tr>
      <w:tr>
        <w:trPr>
          <w:trHeight w:val="23"/>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8"/>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540" w:type="dxa"/>
            <w:vAlign w:val="bottom"/>
          </w:tcPr>
          <w:p>
            <w:pPr>
              <w:spacing w:after="0"/>
              <w:rPr>
                <w:sz w:val="18"/>
                <w:szCs w:val="18"/>
                <w:color w:val="auto"/>
              </w:rPr>
            </w:pPr>
          </w:p>
        </w:tc>
      </w:tr>
      <w:tr>
        <w:trPr>
          <w:trHeight w:val="23"/>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20"/>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522,137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305,346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216,791</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71.0 %</w:t>
            </w:r>
          </w:p>
        </w:tc>
      </w:tr>
    </w:tbl>
    <w:p>
      <w:pPr>
        <w:spacing w:after="0" w:line="177"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Provision for income taxes for the fiscal year ended January 31, 2026 increased by $216.8 million, or 71.0%, compared to the fiscal year ended January 31, 2025. The change in income taxes was primarily due to an increase in income before taxes partially offset by a decrease in tax shortfalls and an increase in tax benefits on stock-based compensation for the fiscal year ended January 31, 2026. See Part II, Item 8, Note 11 “Income Taxes” to the consolidated financial statements in this Annual Report for further information.</w:t>
      </w:r>
    </w:p>
    <w:p>
      <w:pPr>
        <w:spacing w:after="0" w:line="170" w:lineRule="exact"/>
        <w:rPr>
          <w:sz w:val="20"/>
          <w:szCs w:val="20"/>
          <w:color w:val="auto"/>
        </w:rPr>
      </w:pPr>
    </w:p>
    <w:p>
      <w:pPr>
        <w:jc w:val="both"/>
        <w:ind w:firstLine="465"/>
        <w:spacing w:after="0" w:line="281" w:lineRule="auto"/>
        <w:rPr>
          <w:sz w:val="20"/>
          <w:szCs w:val="20"/>
          <w:color w:val="auto"/>
        </w:rPr>
      </w:pPr>
      <w:r>
        <w:rPr>
          <w:rFonts w:ascii="Times New Roman" w:cs="Times New Roman" w:eastAsia="Times New Roman" w:hAnsi="Times New Roman"/>
          <w:sz w:val="17"/>
          <w:szCs w:val="17"/>
          <w:color w:val="auto"/>
        </w:rPr>
        <w:t>For a discussion of the fiscal year ended January 31, 2025 compared to the fiscal year ended January 31, 2024, please refer to Part II, Item 7, “Management’s Discussion and Analysis of Financial Condition and Results of Operations” in our Annual Report on Form 10-K for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ind w:right="100" w:firstLine="465"/>
        <w:spacing w:after="0" w:line="270" w:lineRule="auto"/>
        <w:rPr>
          <w:sz w:val="20"/>
          <w:szCs w:val="20"/>
          <w:color w:val="auto"/>
        </w:rPr>
      </w:pPr>
      <w:r>
        <w:rPr>
          <w:rFonts w:ascii="Times New Roman" w:cs="Times New Roman" w:eastAsia="Times New Roman" w:hAnsi="Times New Roman"/>
          <w:sz w:val="17"/>
          <w:szCs w:val="17"/>
          <w:color w:val="auto"/>
        </w:rPr>
        <w:t>As of January 31, 2026, our principal sources of liquidity were cash, cash equivalents, and marketable securities of $7.8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64" w:lineRule="exact"/>
        <w:rPr>
          <w:sz w:val="20"/>
          <w:szCs w:val="20"/>
          <w:color w:val="auto"/>
        </w:rPr>
      </w:pPr>
    </w:p>
    <w:p>
      <w:pPr>
        <w:jc w:val="both"/>
        <w:ind w:right="100" w:firstLine="465"/>
        <w:spacing w:after="0" w:line="256" w:lineRule="auto"/>
        <w:rPr>
          <w:sz w:val="20"/>
          <w:szCs w:val="20"/>
          <w:color w:val="auto"/>
        </w:rPr>
      </w:pPr>
      <w:r>
        <w:rPr>
          <w:rFonts w:ascii="Times New Roman" w:cs="Times New Roman" w:eastAsia="Times New Roman" w:hAnsi="Times New Roman"/>
          <w:sz w:val="17"/>
          <w:szCs w:val="17"/>
          <w:color w:val="auto"/>
        </w:rPr>
        <w:t>We finance our operations primarily through income from operations. Cash from operations may also be affected by various risks and uncertainties, including, but not limited to, macroeconomic factors, such as geopolitical conflicts, tariffs and trade tensions, inflationary pressures, interest rate fluctuations, and the fluctuations in foreign currency exchange rates. These factors and other risks detailed in Part I, Item 1A, “Risk Factors” of this Annual Report on Form 10-K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enter into debt agreements on terms acceptable to us or at all. If we are unable to raise additional capital when desired, our business, results of operations, and financial condition would be materially and adversely affected.</w:t>
      </w:r>
    </w:p>
    <w:p>
      <w:pPr>
        <w:spacing w:after="0" w:line="80" w:lineRule="exact"/>
        <w:rPr>
          <w:sz w:val="20"/>
          <w:szCs w:val="20"/>
          <w:color w:val="auto"/>
        </w:rPr>
      </w:pPr>
    </w:p>
    <w:p>
      <w:pPr>
        <w:jc w:val="both"/>
        <w:ind w:right="100" w:firstLine="465"/>
        <w:spacing w:after="0" w:line="288" w:lineRule="auto"/>
        <w:rPr>
          <w:sz w:val="20"/>
          <w:szCs w:val="20"/>
          <w:color w:val="auto"/>
        </w:rPr>
      </w:pPr>
      <w:r>
        <w:rPr>
          <w:rFonts w:ascii="Times New Roman" w:cs="Times New Roman" w:eastAsia="Times New Roman" w:hAnsi="Times New Roman"/>
          <w:sz w:val="17"/>
          <w:szCs w:val="17"/>
          <w:color w:val="auto"/>
        </w:rPr>
        <w:t>Our material cash requirements from known contractual and other obligations primarily relate to our leases for office space and equipment, as well as non-cancelable purchase obligations. Expected timing of those payments are as follows:</w:t>
      </w:r>
    </w:p>
    <w:p>
      <w:pPr>
        <w:spacing w:after="0" w:line="78"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80" w:type="dxa"/>
            <w:vAlign w:val="bottom"/>
          </w:tcPr>
          <w:p>
            <w:pPr>
              <w:spacing w:after="0"/>
              <w:rPr>
                <w:sz w:val="10"/>
                <w:szCs w:val="10"/>
                <w:color w:val="auto"/>
              </w:rPr>
            </w:pPr>
          </w:p>
        </w:tc>
        <w:tc>
          <w:tcPr>
            <w:tcW w:w="12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1 – 3</w:t>
            </w:r>
          </w:p>
        </w:tc>
        <w:tc>
          <w:tcPr>
            <w:tcW w:w="300" w:type="dxa"/>
            <w:vAlign w:val="bottom"/>
          </w:tcPr>
          <w:p>
            <w:pPr>
              <w:spacing w:after="0"/>
              <w:rPr>
                <w:sz w:val="10"/>
                <w:szCs w:val="10"/>
                <w:color w:val="auto"/>
              </w:rPr>
            </w:pPr>
          </w:p>
        </w:tc>
        <w:tc>
          <w:tcPr>
            <w:tcW w:w="11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3 – 5</w:t>
            </w:r>
          </w:p>
        </w:tc>
        <w:tc>
          <w:tcPr>
            <w:tcW w:w="104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31,303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4,431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Non-cancelable purchase obligations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444,193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241,268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144,730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58,195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contractual obligations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506,512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267,853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176,033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62,626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100" w:firstLine="465"/>
        <w:spacing w:after="0" w:line="265" w:lineRule="auto"/>
        <w:rPr>
          <w:sz w:val="20"/>
          <w:szCs w:val="20"/>
          <w:color w:val="auto"/>
        </w:rPr>
      </w:pPr>
      <w:r>
        <w:rPr>
          <w:rFonts w:ascii="Times New Roman" w:cs="Times New Roman" w:eastAsia="Times New Roman" w:hAnsi="Times New Roman"/>
          <w:sz w:val="17"/>
          <w:szCs w:val="17"/>
          <w:color w:val="auto"/>
        </w:rPr>
        <w:t>The contractual commitment amounts in the table above are associated with agreements that are enforceable and legally binding. Obligations under contracts that we can cancel without a significant penalty are not included in the table above. Refer to the “Future minimum lease payments” table in Note 7, “Operating Leases” and “Non-cancelable Purchase Obligations” in Note 9, “Commitments and Contingencies” to the consolidated financial statements included in Part II, Item 8 of this Annual Report on Form 10-K for more details.</w:t>
      </w:r>
    </w:p>
    <w:p>
      <w:pPr>
        <w:spacing w:after="0" w:line="67" w:lineRule="exact"/>
        <w:rPr>
          <w:sz w:val="20"/>
          <w:szCs w:val="20"/>
          <w:color w:val="auto"/>
        </w:rPr>
      </w:pPr>
    </w:p>
    <w:p>
      <w:pPr>
        <w:jc w:val="both"/>
        <w:ind w:right="100" w:firstLine="465"/>
        <w:spacing w:after="0" w:line="288" w:lineRule="auto"/>
        <w:rPr>
          <w:sz w:val="20"/>
          <w:szCs w:val="20"/>
          <w:color w:val="auto"/>
        </w:rPr>
      </w:pPr>
      <w:r>
        <w:rPr>
          <w:rFonts w:ascii="Times New Roman" w:cs="Times New Roman" w:eastAsia="Times New Roman" w:hAnsi="Times New Roman"/>
          <w:sz w:val="17"/>
          <w:szCs w:val="17"/>
          <w:color w:val="auto"/>
        </w:rPr>
        <w:t>We have not provided a detailed estimate of the payment timing of unrecognized tax benefits due to the uncertainty of when the related tax settlements will become due. See Part II, Item 8, Note 11, “Income Taxes” to the consolidated financial statements in this Annual Report for a discussion of income taxes.</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6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6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1,989,048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ind w:left="623"/>
              <w:spacing w:after="0"/>
              <w:rPr>
                <w:sz w:val="20"/>
                <w:szCs w:val="20"/>
                <w:color w:val="auto"/>
              </w:rPr>
            </w:pPr>
            <w:r>
              <w:rPr>
                <w:rFonts w:ascii="Times New Roman" w:cs="Times New Roman" w:eastAsia="Times New Roman" w:hAnsi="Times New Roman"/>
                <w:sz w:val="17"/>
                <w:szCs w:val="17"/>
                <w:color w:val="auto"/>
                <w:w w:val="99"/>
              </w:rPr>
              <w:t>1,945,308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1,598,836</w:t>
            </w: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(278,898)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center"/>
              <w:ind w:left="583"/>
              <w:spacing w:after="0"/>
              <w:rPr>
                <w:sz w:val="20"/>
                <w:szCs w:val="20"/>
                <w:color w:val="auto"/>
              </w:rPr>
            </w:pPr>
            <w:r>
              <w:rPr>
                <w:rFonts w:ascii="Times New Roman" w:cs="Times New Roman" w:eastAsia="Times New Roman" w:hAnsi="Times New Roman"/>
                <w:sz w:val="17"/>
                <w:szCs w:val="17"/>
                <w:color w:val="auto"/>
              </w:rPr>
              <w:t>(1,106,024)</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(1,183,689)</w:t>
            </w:r>
          </w:p>
        </w:tc>
      </w:tr>
      <w:tr>
        <w:trPr>
          <w:trHeight w:val="22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(1,805,358)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ind w:left="583"/>
              <w:spacing w:after="0"/>
              <w:rPr>
                <w:sz w:val="20"/>
                <w:szCs w:val="20"/>
                <w:color w:val="auto"/>
              </w:rPr>
            </w:pPr>
            <w:r>
              <w:rPr>
                <w:rFonts w:ascii="Times New Roman" w:cs="Times New Roman" w:eastAsia="Times New Roman" w:hAnsi="Times New Roman"/>
                <w:sz w:val="17"/>
                <w:szCs w:val="17"/>
                <w:color w:val="auto"/>
              </w:rPr>
              <w:t>(1,028,077)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60,186</w:t>
            </w:r>
          </w:p>
        </w:tc>
      </w:tr>
    </w:tbl>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customers for subscriptions to our AI-first, open work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6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Net cash provided by operating activities was $1,989.0 million for the fiscal year ended January 31, 2026, compared to $1,945.3 million for the fiscal year ended January 31, 2025. The increase in operating cash flow was mainly due to higher collections driven by revenue growth.</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of $278.9 million for the fiscal year ended January 31, 2026 was primarily due to cash paid for acquisitions, net of cash acquired, of $119.8 million, net purchases of marketable securities of $75.8 million, purchases of property and equipment of $65.0 million, and purchases of strategic investments of $98.2 million, partially offset by proceeds from the sale of strategic investments of $80.4 million.</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of $1,106.0 million for the fiscal year ended January 31, 2025 was due to net purchases of marketable securities of $964.3 million, purchases of property and equipment of $136.6 million, and purchases of strategic investments of $18.5 million, partially offset by proceeds from the sale of strategic investments of $13.4 million.</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of $1,805.4 million for the fiscal year ended January 31, 2026 was primarily due to cash paid for repurchases of common stock of $1,620.7 million and taxes paid related to net share settlement of equity awards of $247.8 million, partially offset by proceeds from issuance of common stock pursuant to our employee stock purchase plan (“ESPP”) of $61.2 million and proceeds from the exercise of stock options of $2.5 million.</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of $1,028.1 million for the fiscal year ended January 31, 2025 was due to cash paid for repurchases of common stock of $1,093.9 million, partially offset by proceeds from issuance of common stock pursuant to our ESPP of $54.0 million, proceeds from employee equity transactions to be remitted to employees and tax authorities, net, of $7.2 million, and proceeds from the exercise of stock options of $4.6 million.</w:t>
      </w:r>
    </w:p>
    <w:p>
      <w:pPr>
        <w:spacing w:after="0" w:line="6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For a discussion of the fiscal year ended January 31, 2024, please refer to Part II, Item 7, “Management’s Discussion and Analysis of Financial Condition and Results of Operations” in our Annual Report on Form 10-K for the fiscal year ended January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Repurchase Program</w:t>
      </w:r>
    </w:p>
    <w:p>
      <w:pPr>
        <w:spacing w:after="0" w:line="106" w:lineRule="exact"/>
        <w:rPr>
          <w:sz w:val="20"/>
          <w:szCs w:val="20"/>
          <w:color w:val="auto"/>
        </w:rPr>
      </w:pPr>
    </w:p>
    <w:p>
      <w:pPr>
        <w:jc w:val="both"/>
        <w:ind w:firstLine="465"/>
        <w:spacing w:after="0" w:line="232" w:lineRule="auto"/>
        <w:rPr>
          <w:sz w:val="20"/>
          <w:szCs w:val="20"/>
          <w:color w:val="auto"/>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In November 2025, our Board of Directors authorized the repurchase of an additional $1.0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w:t>
      </w:r>
    </w:p>
    <w:p>
      <w:pPr>
        <w:spacing w:after="0" w:line="7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does not obligate us to acquire any particular amount of Class A common stock, and the repurchase program may be suspended or discontinued at any time at our discretion.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fiscal year ended January 31, 2026, we repurchased and subsequently retired 20,385,361 shares of our Class A common stock for an aggregate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$1.6 billion. As of January 31, 2026, $1.0 billion of the repurchase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authorization remained available.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0"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believe that of our significant accounting policies, which are described in Part II, Item 8, Note 1 “Summary of Business and Significant Accounting Policies” to the consolidated financial statements in this Annual Report, the following critical estimates involve a greater degree of judgment and complexity.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apply judgment during the identification of a contract to determine the customer’s ability and intent to pay, which is based on a variety of factors, including the customer’s historical payment experience or, in the case of a new customer, credit and financial information pertaining to the customer. 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to Obtain a Contract</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64"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Sales commissions paid upon the initial acquisition of a customer contract were historically amortized over an estimated period of benefit of three years. Significant judgment is required in arriving at this estimated period of benefit.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Sales commission is generally not paid upon contract renewal. Amortization is recognized on a straight-line basis commensurate with the pattern of revenue recognition.</w:t>
      </w:r>
    </w:p>
    <w:p>
      <w:pPr>
        <w:spacing w:after="0" w:line="70"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periodically review these deferred contract acquisition costs to determine whether events or changes in circumstances have occurred that could impact the period of benefit. At the end of fiscal 2026, we completed a re-assessment of the estimated period of benefit for deferred contract acquisition costs and determined that we should increase the amortization period from three years to five years. The impact of the change in the accounting estimate is reflected in the consolidated balance sheet as of January 31, 2026, and is accounted for prospectively from that date. The change in amortization period did not impact sales and marketing expenses for the fiscal year ended January 31, 2026. The change in estimate will impact future periods, with an estimated reduction in sales and marketing expenses in the range of $90.0 million to $95.0 million for the fiscal year ending January 31, 2027.</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 and Valuation of Goodwill and Intangible Assets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Significant judgment is required, including assumptions about future cash flows, discount rates, and customer attrition. Our estimates of fair value are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70"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Goodwill amounts are not amortized, but rather tested for impairment at least annually, in the fourth quarter of each fiscal year, or more often if circumstances indicate that the carrying value may not be recoverable. Indicators of potential impairment may include adverse market or economic conditions or deterioration in operating performance. As of January 31, 2026, no impairment of goodwill has been identified.</w:t>
      </w:r>
    </w:p>
    <w:p>
      <w:pPr>
        <w:spacing w:after="0" w:line="64"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We also consider potential changes in market or competitive conditions that could affect recoverability.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Strategic Investments</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Accounting for strategic investments in privately held debt and equity securities in which we do not have a controlling interest or significant influence requires us to make significant estimates and assumptions.</w:t>
      </w:r>
    </w:p>
    <w:p>
      <w:pPr>
        <w:spacing w:after="0" w:line="48"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Valuations of privately held securities are inherently complex and require judgment due to the lack of readily available market data. Privately held debt and equity securities are valued using significant unobservable inputs or data in an inactive market. The valuation requires our judgment due to the absence of market prices and inherent lack of liquidity. The carrying values of our privately held equity securities are adjusted if there are observable price changes in a same or similar security from the same issuer or if there are identified events or changes in circumstances that may indicate impairment, as discussed below. In determining the estimated fair value of our strategic investments in privately held companies, we utilize the most recent data available, as adjusted to reflect the specific rights and preferences of those securities we hold.</w:t>
      </w:r>
    </w:p>
    <w:p>
      <w:pPr>
        <w:spacing w:after="0" w:line="73"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We assess our privately held debt and equity securities strategic investment portfolio quarterly for indicators of impairment. Our impairment analysis encompasses a qualitative assessment that evaluates key factors including but not limited to the investee’s financial metrics, market acceptance of the product or technology, and the rate at which the investee is using its cash. If the investment is considered to be impaired, we record the investment at fair value by recognizing an impairment through the consolidated statement of operations and establishing a new carrying value for the investment.</w:t>
      </w:r>
    </w:p>
    <w:p>
      <w:pPr>
        <w:spacing w:after="0" w:line="6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privately held debt and equity securities we hold, and their rights and preferences relative to those of other securities within the capital structure, may impact the magnitude by which our investment value moves in relation to movement of the total enterprise value of the company. As a result, our investment value in a specific company may move by more or less than any change in the value of that overall company.</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Under this method, income tax expense is recognized based on the amount of taxes payable or refundable for the current year and deferred tax liabilities and assets for the future tax consequences of events that have been recognized in our consolidated financial statements or tax returns. We make assumptions, judgments and estimates to determine the current income tax provision (benefit), deferred tax assets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76"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Critical accounting estimates and the related assumptions are evaluated periodically as conditions warrant, and changes to such estimates are recorded as new information or changed conditions require.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“Summary of Business and Significant Accounting Policies” in Note 1 to our consolidated financial statements included in Part II, Item 8 of this 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QUALITATIVE AND QUANTITATIVE DISCLOSURES ABOUT MARKET RISK</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and Exchange Risk</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The majority of our cash generated from revenue is denominated in U.S. dollars, with a portion in amounts denominated in foreign currencies. Our expenses are generally denominated in the currencies of the jurisdictions in which we conduct our operations, which are primarily in Australia, China, Europe and the United States. Our results of current and future operations and cash flows are, therefore, subject to fluctuations due to changes in foreign currency exchange rates. For the fiscal year ending January 31, 2026, 2025, and 2024, 19.7%, 19.3%, and 19.3% of our revenue, respectively, and 21.7%, 16.4%, and 13.7% of our expenses, respectively, were denominated in currencies other than the U.S. dollar. The effect of a hypothetical 10% change in foreign currency exchange rates applicable to our business would not have had a material impact on our historical consolidated financial statements for the fiscal years ended January 31, 2026, 2025, and 2024.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had cash and cash equivalents of $1.3 billion and marketable securities of $6.5 billion as of January 31, 2026.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2026, 2025, and 2024.</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9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962"/>
        </w:trPr>
        <w:tc>
          <w:tcPr>
            <w:tcW w:w="900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40" w:type="dxa"/>
            <w:vAlign w:val="bottom"/>
          </w:tcPr>
          <w:p>
            <w:pPr>
              <w:jc w:val="center"/>
              <w:ind w:right="1714"/>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60" w:type="dxa"/>
            <w:vAlign w:val="bottom"/>
            <w:gridSpan w:val="4"/>
          </w:tcPr>
          <w:p>
            <w:pPr>
              <w:jc w:val="center"/>
              <w:ind w:right="71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8"/>
        </w:trPr>
        <w:tc>
          <w:tcPr>
            <w:tcW w:w="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94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4040" w:type="dxa"/>
            <w:vAlign w:val="bottom"/>
            <w:tcBorders>
              <w:bottom w:val="single" w:sz="8" w:color="0000FF"/>
            </w:tcBorders>
            <w:gridSpan w:val="7"/>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4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0000FF"/>
              </w:rPr>
              <w:t>67</w:t>
            </w:r>
          </w:p>
        </w:tc>
        <w:tc>
          <w:tcPr>
            <w:tcW w:w="1020" w:type="dxa"/>
            <w:vAlign w:val="bottom"/>
            <w:tcBorders>
              <w:bottom w:val="single" w:sz="8" w:color="CCEEFF"/>
            </w:tcBorders>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00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Consolidated Balance Sheets</w:t>
            </w:r>
          </w:p>
        </w:tc>
        <w:tc>
          <w:tcPr>
            <w:tcW w:w="6980" w:type="dxa"/>
            <w:vAlign w:val="bottom"/>
            <w:gridSpan w:val="6"/>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7"/>
                <w:szCs w:val="17"/>
                <w:color w:val="0000FF"/>
              </w:rPr>
              <w:t>69</w:t>
            </w:r>
          </w:p>
        </w:tc>
        <w:tc>
          <w:tcPr>
            <w:tcW w:w="1020" w:type="dxa"/>
            <w:vAlign w:val="bottom"/>
          </w:tcPr>
          <w:p>
            <w:pPr>
              <w:spacing w:after="0"/>
              <w:rPr>
                <w:sz w:val="16"/>
                <w:szCs w:val="16"/>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0000FF"/>
              <w:right w:val="single" w:sz="8" w:color="CCEE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Consolidated Statements of Operations</w:t>
            </w:r>
          </w:p>
        </w:tc>
        <w:tc>
          <w:tcPr>
            <w:tcW w:w="6240" w:type="dxa"/>
            <w:vAlign w:val="bottom"/>
            <w:tcBorders>
              <w:bottom w:val="single" w:sz="8" w:color="CCEEFF"/>
            </w:tcBorders>
            <w:gridSpan w:val="5"/>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rPr>
              <w:t>70</w:t>
            </w:r>
          </w:p>
        </w:tc>
        <w:tc>
          <w:tcPr>
            <w:tcW w:w="1020" w:type="dxa"/>
            <w:vAlign w:val="bottom"/>
            <w:tcBorders>
              <w:bottom w:val="single" w:sz="8" w:color="CCEEFF"/>
            </w:tcBorders>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3580" w:type="dxa"/>
            <w:vAlign w:val="bottom"/>
            <w:tcBorders>
              <w:bottom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540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7"/>
                <w:szCs w:val="17"/>
                <w:color w:val="0000FF"/>
              </w:rPr>
              <w:t>71</w:t>
            </w:r>
          </w:p>
        </w:tc>
        <w:tc>
          <w:tcPr>
            <w:tcW w:w="1020" w:type="dxa"/>
            <w:vAlign w:val="bottom"/>
          </w:tcPr>
          <w:p>
            <w:pPr>
              <w:spacing w:after="0"/>
              <w:rPr>
                <w:sz w:val="16"/>
                <w:szCs w:val="16"/>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400" w:type="dxa"/>
            <w:vAlign w:val="bottom"/>
            <w:tcBorders>
              <w:bottom w:val="single" w:sz="8" w:color="0000FF"/>
            </w:tcBorders>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5580" w:type="dxa"/>
            <w:vAlign w:val="bottom"/>
            <w:tcBorders>
              <w:bottom w:val="single" w:sz="8" w:color="CCEEFF"/>
            </w:tcBorders>
            <w:gridSpan w:val="3"/>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rPr>
              <w:t>72</w:t>
            </w:r>
          </w:p>
        </w:tc>
        <w:tc>
          <w:tcPr>
            <w:tcW w:w="1020" w:type="dxa"/>
            <w:vAlign w:val="bottom"/>
            <w:tcBorders>
              <w:bottom w:val="single" w:sz="8" w:color="CCEEFF"/>
            </w:tcBorders>
            <w:shd w:val="clear" w:color="auto" w:fill="CCEEFF"/>
          </w:tcPr>
          <w:p>
            <w:pPr>
              <w:spacing w:after="0"/>
              <w:rPr>
                <w:sz w:val="18"/>
                <w:szCs w:val="18"/>
                <w:color w:val="auto"/>
              </w:rPr>
            </w:pPr>
          </w:p>
        </w:tc>
      </w:tr>
      <w:tr>
        <w:trPr>
          <w:trHeight w:val="181"/>
        </w:trPr>
        <w:tc>
          <w:tcPr>
            <w:tcW w:w="20" w:type="dxa"/>
            <w:vAlign w:val="bottom"/>
          </w:tcPr>
          <w:p>
            <w:pPr>
              <w:spacing w:after="0"/>
              <w:rPr>
                <w:sz w:val="15"/>
                <w:szCs w:val="15"/>
                <w:color w:val="auto"/>
              </w:rPr>
            </w:pPr>
          </w:p>
        </w:tc>
        <w:tc>
          <w:tcPr>
            <w:tcW w:w="8980" w:type="dxa"/>
            <w:vAlign w:val="bottom"/>
            <w:gridSpan w:val="8"/>
          </w:tcPr>
          <w:p>
            <w:pPr>
              <w:spacing w:after="0" w:line="181" w:lineRule="exact"/>
              <w:rPr>
                <w:sz w:val="20"/>
                <w:szCs w:val="20"/>
                <w:color w:val="auto"/>
              </w:rPr>
            </w:pPr>
            <w:r>
              <w:rPr>
                <w:rFonts w:ascii="Times New Roman" w:cs="Times New Roman" w:eastAsia="Times New Roman" w:hAnsi="Times New Roman"/>
                <w:sz w:val="17"/>
                <w:szCs w:val="17"/>
                <w:color w:val="0000FF"/>
              </w:rPr>
              <w:t>Consolidated Statements of Cash Flows</w:t>
            </w:r>
          </w:p>
        </w:tc>
        <w:tc>
          <w:tcPr>
            <w:tcW w:w="224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7"/>
                <w:szCs w:val="17"/>
                <w:color w:val="0000FF"/>
              </w:rPr>
              <w:t>73</w:t>
            </w:r>
          </w:p>
        </w:tc>
      </w:tr>
      <w:tr>
        <w:trPr>
          <w:trHeight w:val="29"/>
        </w:trPr>
        <w:tc>
          <w:tcPr>
            <w:tcW w:w="2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5960" w:type="dxa"/>
            <w:vAlign w:val="bottom"/>
            <w:tcBorders>
              <w:bottom w:val="single" w:sz="8" w:color="CCEEFF"/>
            </w:tcBorders>
            <w:gridSpan w:val="4"/>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0000FF"/>
              </w:rPr>
              <w:t>75</w:t>
            </w:r>
          </w:p>
        </w:tc>
        <w:tc>
          <w:tcPr>
            <w:tcW w:w="102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Zoom Communications,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Consolidated Financial Statements and Internal Control Over Financial Reporting</w:t>
      </w:r>
    </w:p>
    <w:p>
      <w:pPr>
        <w:spacing w:after="0" w:line="25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Zoom Communications, Inc. and subsidiaries (the Company) as of January 31, 2026 and 2025, the related consolidated statements of operations, comprehensive income, stockholders’ equity, and cash flows for each of the years in the three-year period ended January 31, 2026, and the related notes and financial statement schedule II: valuation and qualifying accounts (collectively, the consolidated financial statements). We also have audited the Company’s internal control over financial reporting as of January 31, 2026, based on criteria established in Internal Control – Integrated Framework (2013) issued by the Committee of Sponsoring Organizations of the Treadway Commission.</w:t>
      </w:r>
    </w:p>
    <w:p>
      <w:pPr>
        <w:spacing w:after="0" w:line="19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January 31, 2026 and 2025, and the results of its operations and its cash flows for each of the years in the three-year period ended January 31, 2026, in conformity with U.S. generally accepted accounting principles. Also in our opinion, the Company maintained, in all material respects, effective internal control over financial reporting as of January 31, 2026 based on criteria established in Internal Control – Integrated Framework (2013) issued by the Committee of Sponsoring Organizations of the Treadway Commission.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3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w:t>
      </w:r>
    </w:p>
    <w:p>
      <w:pPr>
        <w:spacing w:after="0" w:line="25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u w:val="single" w:color="auto"/>
          <w:color w:val="auto"/>
        </w:rPr>
        <w:t>Sufficiency of Audit Evidence Over Revenue</w:t>
      </w:r>
    </w:p>
    <w:p>
      <w:pPr>
        <w:spacing w:after="0" w:line="248" w:lineRule="exact"/>
        <w:rPr>
          <w:sz w:val="20"/>
          <w:szCs w:val="20"/>
          <w:color w:val="auto"/>
        </w:rPr>
      </w:pPr>
    </w:p>
    <w:p>
      <w:pPr>
        <w:jc w:val="both"/>
        <w:ind w:left="620" w:firstLine="620"/>
        <w:spacing w:after="0" w:line="288" w:lineRule="auto"/>
        <w:rPr>
          <w:sz w:val="20"/>
          <w:szCs w:val="20"/>
          <w:color w:val="auto"/>
        </w:rPr>
      </w:pPr>
      <w:r>
        <w:rPr>
          <w:rFonts w:ascii="Times New Roman" w:cs="Times New Roman" w:eastAsia="Times New Roman" w:hAnsi="Times New Roman"/>
          <w:sz w:val="17"/>
          <w:szCs w:val="17"/>
          <w:color w:val="auto"/>
        </w:rPr>
        <w:t>As discussed in Notes 1 and 2 to the consolidated financial statements, the Company’s revenue is principally derived from the sale of subscriptions to the Company’s video communications platform. The Company recorded $4,869 million of revenue for the year ended January 31, 2026.</w:t>
      </w:r>
    </w:p>
    <w:p>
      <w:pPr>
        <w:spacing w:after="0" w:line="177" w:lineRule="exact"/>
        <w:rPr>
          <w:sz w:val="20"/>
          <w:szCs w:val="20"/>
          <w:color w:val="auto"/>
        </w:rPr>
      </w:pPr>
    </w:p>
    <w:p>
      <w:pPr>
        <w:jc w:val="both"/>
        <w:ind w:left="620" w:firstLine="620"/>
        <w:spacing w:after="0" w:line="265" w:lineRule="auto"/>
        <w:rPr>
          <w:sz w:val="20"/>
          <w:szCs w:val="20"/>
          <w:color w:val="auto"/>
        </w:rPr>
      </w:pPr>
      <w:r>
        <w:rPr>
          <w:rFonts w:ascii="Times New Roman" w:cs="Times New Roman" w:eastAsia="Times New Roman" w:hAnsi="Times New Roman"/>
          <w:sz w:val="17"/>
          <w:szCs w:val="17"/>
          <w:color w:val="auto"/>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spacing w:after="0" w:line="196" w:lineRule="exact"/>
        <w:rPr>
          <w:sz w:val="20"/>
          <w:szCs w:val="20"/>
          <w:color w:val="auto"/>
        </w:rPr>
      </w:pPr>
    </w:p>
    <w:p>
      <w:pPr>
        <w:jc w:val="both"/>
        <w:ind w:left="620" w:firstLine="620"/>
        <w:spacing w:after="0" w:line="25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Additionally, for the same sample of transactions, we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1,272,877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1,349,380</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6,544,031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6,442,329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$18,348 and $22,078 as of January 31, 2026 and 2025, respectively</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497,339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495,228</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contract acquisition costs, current</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108,856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188,358</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234,856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200,679</w:t>
            </w:r>
          </w:p>
        </w:tc>
        <w:tc>
          <w:tcPr>
            <w:tcW w:w="0" w:type="dxa"/>
            <w:vAlign w:val="bottom"/>
          </w:tcPr>
          <w:p>
            <w:pPr>
              <w:spacing w:after="0"/>
              <w:rPr>
                <w:sz w:val="1"/>
                <w:szCs w:val="1"/>
                <w:color w:val="auto"/>
              </w:rPr>
            </w:pPr>
          </w:p>
        </w:tc>
      </w:tr>
      <w:tr>
        <w:trPr>
          <w:trHeight w:val="197"/>
        </w:trPr>
        <w:tc>
          <w:tcPr>
            <w:tcW w:w="7820" w:type="dxa"/>
            <w:vAlign w:val="bottom"/>
          </w:tcPr>
          <w:p>
            <w:pPr>
              <w:ind w:left="46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8,657,959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8,675,974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215,533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123,464</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264,525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330,475</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52,423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55,900</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investments</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1,578,611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591,481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400,392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307,295</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646,640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749,759</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144,333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154,073</w:t>
            </w: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11,960,416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10,988,421</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581,773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558,562</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1,411,149</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1,336,387</w:t>
            </w:r>
          </w:p>
        </w:tc>
        <w:tc>
          <w:tcPr>
            <w:tcW w:w="0" w:type="dxa"/>
            <w:vAlign w:val="bottom"/>
          </w:tcPr>
          <w:p>
            <w:pPr>
              <w:spacing w:after="0"/>
              <w:rPr>
                <w:sz w:val="1"/>
                <w:szCs w:val="1"/>
                <w:color w:val="auto"/>
              </w:rPr>
            </w:pPr>
          </w:p>
        </w:tc>
      </w:tr>
      <w:tr>
        <w:trPr>
          <w:trHeight w:val="197"/>
        </w:trPr>
        <w:tc>
          <w:tcPr>
            <w:tcW w:w="7820" w:type="dxa"/>
            <w:vAlign w:val="bottom"/>
          </w:tcPr>
          <w:p>
            <w:pPr>
              <w:ind w:left="46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1,999,190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1,903,294</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w:t>
            </w: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30,710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109,063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95,363</w:t>
            </w:r>
          </w:p>
        </w:tc>
        <w:tc>
          <w:tcPr>
            <w:tcW w:w="0" w:type="dxa"/>
            <w:vAlign w:val="bottom"/>
          </w:tcPr>
          <w:p>
            <w:pPr>
              <w:spacing w:after="0"/>
              <w:rPr>
                <w:sz w:val="1"/>
                <w:szCs w:val="1"/>
                <w:color w:val="auto"/>
              </w:rPr>
            </w:pPr>
          </w:p>
        </w:tc>
      </w:tr>
      <w:tr>
        <w:trPr>
          <w:trHeight w:val="197"/>
        </w:trPr>
        <w:tc>
          <w:tcPr>
            <w:tcW w:w="78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2,152,158</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2,053,337</w:t>
            </w:r>
          </w:p>
        </w:tc>
        <w:tc>
          <w:tcPr>
            <w:tcW w:w="0" w:type="dxa"/>
            <w:vAlign w:val="bottom"/>
          </w:tcPr>
          <w:p>
            <w:pPr>
              <w:spacing w:after="0"/>
              <w:rPr>
                <w:sz w:val="1"/>
                <w:szCs w:val="1"/>
                <w:color w:val="auto"/>
              </w:rPr>
            </w:pPr>
          </w:p>
        </w:tc>
      </w:tr>
      <w:tr>
        <w:trPr>
          <w:trHeight w:val="19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82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6"/>
                <w:szCs w:val="16"/>
                <w:color w:val="auto"/>
                <w:w w:val="99"/>
              </w:rPr>
              <w:t>Common stock, $0.001 par value per share, 2,000,000,000 Class A shares authorized as of January 31, 2026 and 2025;</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EFF"/>
          </w:tcPr>
          <w:p>
            <w:pPr>
              <w:ind w:left="240"/>
              <w:spacing w:after="0" w:line="155" w:lineRule="exact"/>
              <w:rPr>
                <w:sz w:val="20"/>
                <w:szCs w:val="20"/>
                <w:color w:val="auto"/>
              </w:rPr>
            </w:pPr>
            <w:r>
              <w:rPr>
                <w:rFonts w:ascii="Times New Roman" w:cs="Times New Roman" w:eastAsia="Times New Roman" w:hAnsi="Times New Roman"/>
                <w:sz w:val="16"/>
                <w:szCs w:val="16"/>
                <w:color w:val="auto"/>
                <w:w w:val="98"/>
              </w:rPr>
              <w:t>266,805,638 and 263,113,866 shares issued and outstanding as of January 31, 2026 and 2025, respectively; 300,000,000</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EFF"/>
          </w:tcPr>
          <w:p>
            <w:pPr>
              <w:ind w:left="240"/>
              <w:spacing w:after="0" w:line="155" w:lineRule="exact"/>
              <w:rPr>
                <w:sz w:val="20"/>
                <w:szCs w:val="20"/>
                <w:color w:val="auto"/>
              </w:rPr>
            </w:pPr>
            <w:r>
              <w:rPr>
                <w:rFonts w:ascii="Times New Roman" w:cs="Times New Roman" w:eastAsia="Times New Roman" w:hAnsi="Times New Roman"/>
                <w:sz w:val="16"/>
                <w:szCs w:val="16"/>
                <w:color w:val="auto"/>
                <w:w w:val="98"/>
              </w:rPr>
              <w:t>Class B shares authorized as of January 31, 2026 and 2025; 28,721,770 and 42,626,998 shares issued and outstanding as</w:t>
            </w:r>
          </w:p>
        </w:tc>
        <w:tc>
          <w:tcPr>
            <w:tcW w:w="4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of January 31, 2026 and 2025, respectively</w:t>
            </w:r>
          </w:p>
        </w:tc>
        <w:tc>
          <w:tcPr>
            <w:tcW w:w="4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4,099,753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5,130,271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0" w:type="dxa"/>
            <w:vAlign w:val="bottom"/>
          </w:tcPr>
          <w:p>
            <w:pPr>
              <w:spacing w:after="0"/>
              <w:rPr>
                <w:sz w:val="1"/>
                <w:szCs w:val="1"/>
                <w:color w:val="auto"/>
              </w:rPr>
            </w:pPr>
          </w:p>
        </w:tc>
      </w:tr>
      <w:tr>
        <w:trPr>
          <w:trHeight w:val="204"/>
        </w:trPr>
        <w:tc>
          <w:tcPr>
            <w:tcW w:w="7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5,699,666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3,799,518</w:t>
            </w: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9,808,258</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8,935,084</w:t>
            </w:r>
          </w:p>
        </w:tc>
        <w:tc>
          <w:tcPr>
            <w:tcW w:w="0" w:type="dxa"/>
            <w:vAlign w:val="bottom"/>
          </w:tcPr>
          <w:p>
            <w:pPr>
              <w:spacing w:after="0"/>
              <w:rPr>
                <w:sz w:val="1"/>
                <w:szCs w:val="1"/>
                <w:color w:val="auto"/>
              </w:rPr>
            </w:pPr>
          </w:p>
        </w:tc>
      </w:tr>
      <w:tr>
        <w:trPr>
          <w:trHeight w:val="197"/>
        </w:trPr>
        <w:tc>
          <w:tcPr>
            <w:tcW w:w="782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11,960,416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10,988,421</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7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4,527,224</w:t>
            </w:r>
          </w:p>
        </w:tc>
        <w:tc>
          <w:tcPr>
            <w:tcW w:w="0" w:type="dxa"/>
            <w:vAlign w:val="bottom"/>
          </w:tcPr>
          <w:p>
            <w:pPr>
              <w:spacing w:after="0"/>
              <w:rPr>
                <w:sz w:val="1"/>
                <w:szCs w:val="1"/>
                <w:color w:val="auto"/>
              </w:rPr>
            </w:pPr>
          </w:p>
        </w:tc>
      </w:tr>
      <w:tr>
        <w:trPr>
          <w:trHeight w:val="22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1,119,036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1,129,627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1,077,801</w:t>
            </w: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3,749,733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3,535,806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3,449,423</w:t>
            </w:r>
          </w:p>
        </w:tc>
        <w:tc>
          <w:tcPr>
            <w:tcW w:w="0" w:type="dxa"/>
            <w:vAlign w:val="bottom"/>
          </w:tcPr>
          <w:p>
            <w:pPr>
              <w:spacing w:after="0"/>
              <w:rPr>
                <w:sz w:val="1"/>
                <w:szCs w:val="1"/>
                <w:color w:val="auto"/>
              </w:rPr>
            </w:pPr>
          </w:p>
        </w:tc>
      </w:tr>
      <w:tr>
        <w:trPr>
          <w:trHeight w:val="20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852,415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803,187</w:t>
            </w:r>
          </w:p>
        </w:tc>
        <w:tc>
          <w:tcPr>
            <w:tcW w:w="0" w:type="dxa"/>
            <w:vAlign w:val="bottom"/>
          </w:tcPr>
          <w:p>
            <w:pPr>
              <w:spacing w:after="0"/>
              <w:rPr>
                <w:sz w:val="1"/>
                <w:szCs w:val="1"/>
                <w:color w:val="auto"/>
              </w:rPr>
            </w:pPr>
          </w:p>
        </w:tc>
      </w:tr>
      <w:tr>
        <w:trPr>
          <w:trHeight w:val="220"/>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1,388,297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1,427,384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1,541,307</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579,650</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2,626,100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2,722,511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2,924,144</w:t>
            </w: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1,123,633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813,295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525,279</w:t>
            </w:r>
          </w:p>
        </w:tc>
        <w:tc>
          <w:tcPr>
            <w:tcW w:w="0" w:type="dxa"/>
            <w:vAlign w:val="bottom"/>
          </w:tcPr>
          <w:p>
            <w:pPr>
              <w:spacing w:after="0"/>
              <w:rPr>
                <w:sz w:val="1"/>
                <w:szCs w:val="1"/>
                <w:color w:val="auto"/>
              </w:rPr>
            </w:pP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969,822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109,770</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325,147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197,263</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2,422,285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1,315,584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832,312</w:t>
            </w:r>
          </w:p>
        </w:tc>
        <w:tc>
          <w:tcPr>
            <w:tcW w:w="0" w:type="dxa"/>
            <w:vAlign w:val="bottom"/>
          </w:tcPr>
          <w:p>
            <w:pPr>
              <w:spacing w:after="0"/>
              <w:rPr>
                <w:sz w:val="1"/>
                <w:szCs w:val="1"/>
                <w:color w:val="auto"/>
              </w:rPr>
            </w:pP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305,346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194,850</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1,900,148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1,010,238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637,462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Net income per share: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7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300,503,787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307,981,971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300,748,162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8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307,333,185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315,069,582</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308,519,897</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57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1,010,238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637,462</w:t>
            </w: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68"/>
        </w:trPr>
        <w:tc>
          <w:tcPr>
            <w:tcW w:w="57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Unrealized gain on available-for-sale marketable securities, net of income tax</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7"/>
        </w:trPr>
        <w:tc>
          <w:tcPr>
            <w:tcW w:w="578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auto"/>
              </w:rPr>
              <w:t>expense of $1,154, $1,205, and $15,501 during the fiscal years ended</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3"/>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January 31, 2026, 2025 and 2024, respectively</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3,927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51,448</w:t>
            </w:r>
          </w:p>
        </w:tc>
      </w:tr>
      <w:tr>
        <w:trPr>
          <w:trHeight w:val="213"/>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1,903,702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1,014,165</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688,910</w:t>
            </w: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4120" w:type="dxa"/>
            <w:vAlign w:val="bottom"/>
          </w:tcPr>
          <w:p>
            <w:pPr>
              <w:spacing w:after="0"/>
              <w:rPr>
                <w:sz w:val="12"/>
                <w:szCs w:val="12"/>
                <w:color w:val="auto"/>
              </w:rPr>
            </w:pP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12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111"/>
              <w:spacing w:after="0" w:line="123"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(Loss) Income</w:t>
            </w: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293,822,850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4,104,880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(50,385)</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2,151,818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6,206,607</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11,349,453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921,892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54,097</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1,059,597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1,059,597</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51,448</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637,462</w:t>
            </w:r>
          </w:p>
        </w:tc>
        <w:tc>
          <w:tcPr>
            <w:tcW w:w="0" w:type="dxa"/>
            <w:vAlign w:val="bottom"/>
          </w:tcPr>
          <w:p>
            <w:pPr>
              <w:spacing w:after="0"/>
              <w:rPr>
                <w:sz w:val="1"/>
                <w:szCs w:val="1"/>
                <w:color w:val="auto"/>
              </w:rPr>
            </w:pPr>
          </w:p>
        </w:tc>
      </w:tr>
      <w:tr>
        <w:trPr>
          <w:trHeight w:val="17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2024</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307,558,353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5,228,756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5"/>
                <w:szCs w:val="15"/>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2,789,280</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8,019,406</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12,095,006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(15,888,316)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(1,095,102)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(1,095,118)</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1,066,977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54,008</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938,004</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1,010,238</w:t>
            </w:r>
          </w:p>
        </w:tc>
        <w:tc>
          <w:tcPr>
            <w:tcW w:w="0" w:type="dxa"/>
            <w:vAlign w:val="bottom"/>
          </w:tcPr>
          <w:p>
            <w:pPr>
              <w:spacing w:after="0"/>
              <w:rPr>
                <w:sz w:val="1"/>
                <w:szCs w:val="1"/>
                <w:color w:val="auto"/>
              </w:rPr>
            </w:pPr>
          </w:p>
        </w:tc>
      </w:tr>
      <w:tr>
        <w:trPr>
          <w:trHeight w:val="17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305,740,864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5,130,271</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tcPr>
          <w:p>
            <w:pPr>
              <w:spacing w:after="0"/>
              <w:rPr>
                <w:sz w:val="15"/>
                <w:szCs w:val="15"/>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3,799,518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8,935,084</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11,309,015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 of equity 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(3,180,420)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(247,832)</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 including excise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(20,385,361)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(1,628,078)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(1,628,098)</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61,206</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Charitable donation of common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20,904</w:t>
            </w:r>
          </w:p>
        </w:tc>
        <w:tc>
          <w:tcPr>
            <w:tcW w:w="0" w:type="dxa"/>
            <w:vAlign w:val="bottom"/>
          </w:tcPr>
          <w:p>
            <w:pPr>
              <w:spacing w:after="0"/>
              <w:rPr>
                <w:sz w:val="1"/>
                <w:szCs w:val="1"/>
                <w:color w:val="auto"/>
              </w:rPr>
            </w:pPr>
          </w:p>
        </w:tc>
      </w:tr>
      <w:tr>
        <w:trPr>
          <w:trHeight w:val="20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760,810</w:t>
            </w:r>
          </w:p>
        </w:tc>
        <w:tc>
          <w:tcPr>
            <w:tcW w:w="0" w:type="dxa"/>
            <w:vAlign w:val="bottom"/>
          </w:tcPr>
          <w:p>
            <w:pPr>
              <w:spacing w:after="0"/>
              <w:rPr>
                <w:sz w:val="1"/>
                <w:szCs w:val="1"/>
                <w:color w:val="auto"/>
              </w:rPr>
            </w:pPr>
          </w:p>
        </w:tc>
      </w:tr>
      <w:tr>
        <w:trPr>
          <w:trHeight w:val="18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1,900,148</w:t>
            </w:r>
          </w:p>
        </w:tc>
        <w:tc>
          <w:tcPr>
            <w:tcW w:w="0" w:type="dxa"/>
            <w:vAlign w:val="bottom"/>
          </w:tcPr>
          <w:p>
            <w:pPr>
              <w:spacing w:after="0"/>
              <w:rPr>
                <w:sz w:val="1"/>
                <w:szCs w:val="1"/>
                <w:color w:val="auto"/>
              </w:rPr>
            </w:pPr>
          </w:p>
        </w:tc>
      </w:tr>
      <w:tr>
        <w:trPr>
          <w:trHeight w:val="19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2026</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295,527,408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4,099,753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5,699,666</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9,808,258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4"/>
              </w:rPr>
              <w:t>Year Ended January 31,</w:t>
            </w:r>
          </w:p>
        </w:tc>
        <w:tc>
          <w:tcPr>
            <w:tcW w:w="1060" w:type="dxa"/>
            <w:vAlign w:val="bottom"/>
            <w:tcBorders>
              <w:bottom w:val="single" w:sz="8" w:color="auto"/>
            </w:tcBorders>
          </w:tcPr>
          <w:p>
            <w:pPr>
              <w:spacing w:after="0"/>
              <w:rPr>
                <w:sz w:val="18"/>
                <w:szCs w:val="18"/>
                <w:color w:val="auto"/>
              </w:rPr>
            </w:pPr>
          </w:p>
        </w:tc>
      </w:tr>
      <w:tr>
        <w:trPr>
          <w:trHeight w:val="201"/>
        </w:trPr>
        <w:tc>
          <w:tcPr>
            <w:tcW w:w="6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1,900,148</w:t>
            </w: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1,010,238</w:t>
            </w:r>
          </w:p>
        </w:tc>
        <w:tc>
          <w:tcPr>
            <w:tcW w:w="10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637,462</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760,776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931,309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1,057,161</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(116,679)</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270,701</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on strategic investments,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(969,822)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(109,770)</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104,451</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35,244</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12,259</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21,066</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Charitable donation of common stock</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(50,770)</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(7,670)</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4"/>
        </w:trPr>
        <w:tc>
          <w:tcPr>
            <w:tcW w:w="6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53,270</w:t>
            </w:r>
          </w:p>
        </w:tc>
      </w:tr>
      <w:tr>
        <w:trPr>
          <w:trHeight w:val="210"/>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(71,247)</w:t>
            </w:r>
          </w:p>
        </w:tc>
      </w:tr>
      <w:tr>
        <w:trPr>
          <w:trHeight w:val="204"/>
        </w:trPr>
        <w:tc>
          <w:tcPr>
            <w:tcW w:w="6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(214,657)</w:t>
            </w:r>
          </w:p>
        </w:tc>
      </w:tr>
      <w:tr>
        <w:trPr>
          <w:trHeight w:val="210"/>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w:t>
            </w:r>
          </w:p>
        </w:tc>
      </w:tr>
      <w:tr>
        <w:trPr>
          <w:trHeight w:val="204"/>
        </w:trPr>
        <w:tc>
          <w:tcPr>
            <w:tcW w:w="69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51,974</w:t>
            </w:r>
          </w:p>
        </w:tc>
      </w:tr>
      <w:tr>
        <w:trPr>
          <w:trHeight w:val="210"/>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(46,719)</w:t>
            </w:r>
          </w:p>
        </w:tc>
      </w:tr>
      <w:tr>
        <w:trPr>
          <w:trHeight w:val="204"/>
        </w:trPr>
        <w:tc>
          <w:tcPr>
            <w:tcW w:w="6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(22,824)</w:t>
            </w:r>
          </w:p>
        </w:tc>
      </w:tr>
      <w:tr>
        <w:trPr>
          <w:trHeight w:val="202"/>
        </w:trPr>
        <w:tc>
          <w:tcPr>
            <w:tcW w:w="69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1,989,048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1,598,836</w:t>
            </w:r>
          </w:p>
        </w:tc>
      </w:tr>
      <w:tr>
        <w:trPr>
          <w:trHeight w:val="205"/>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(4,824,598)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(4,622,104)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(4,083,968)</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4,064,393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3,610,274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3,131,419</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(126,953)</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(70,527)</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strategic investments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170,067</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(204,918)</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980" w:type="dxa"/>
            <w:vAlign w:val="bottom"/>
            <w:tcBorders>
              <w:top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(278,898)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(1,106,024)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(1,183,689)</w:t>
            </w:r>
          </w:p>
        </w:tc>
      </w:tr>
      <w:tr>
        <w:trPr>
          <w:trHeight w:val="205"/>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8"/>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 including excise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(1,620,691)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(1,093,878)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for employee stock purchase plan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54,097</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Proceeds from employee equity transactions (remitted) to be remitted to employees and tax authorities, net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6980" w:type="dxa"/>
            <w:vAlign w:val="bottom"/>
            <w:tcBorders>
              <w:bottom w:val="single" w:sz="8" w:color="CCEEFF"/>
            </w:tcBorders>
          </w:tcPr>
          <w:p>
            <w:pPr>
              <w:ind w:left="960"/>
              <w:spacing w:after="0" w:line="181" w:lineRule="exact"/>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(1,805,358)</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(1,028,077)</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60,186</w:t>
            </w:r>
          </w:p>
        </w:tc>
      </w:tr>
      <w:tr>
        <w:trPr>
          <w:trHeight w:val="20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w:t>
            </w:r>
          </w:p>
        </w:tc>
      </w:tr>
      <w:tr>
        <w:trPr>
          <w:trHeight w:val="197"/>
        </w:trPr>
        <w:tc>
          <w:tcPr>
            <w:tcW w:w="69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465,137</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1,361,417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1,100,243</w:t>
            </w:r>
          </w:p>
        </w:tc>
      </w:tr>
      <w:tr>
        <w:trPr>
          <w:trHeight w:val="197"/>
        </w:trPr>
        <w:tc>
          <w:tcPr>
            <w:tcW w:w="69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Cash, cash equivalents, and restricted cash—end of year</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1,283,781</w:t>
            </w: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1,361,417</w:t>
            </w:r>
          </w:p>
        </w:tc>
        <w:tc>
          <w:tcPr>
            <w:tcW w:w="10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1,565,380</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equipment during the period included in accounts payable and accrued expenses</w:t>
            </w: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0"/>
        </w:trPr>
        <w:tc>
          <w:tcPr>
            <w:tcW w:w="6980" w:type="dxa"/>
            <w:vAlign w:val="bottom"/>
            <w:tcBorders>
              <w:bottom w:val="single" w:sz="8" w:color="CCEEFF"/>
            </w:tcBorders>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Excise tax on share repurchases included in accrued expenses</w:t>
            </w:r>
          </w:p>
        </w:tc>
        <w:tc>
          <w:tcPr>
            <w:tcW w:w="380" w:type="dxa"/>
            <w:vAlign w:val="bottom"/>
            <w:tcBorders>
              <w:bottom w:val="single" w:sz="8" w:color="auto"/>
            </w:tcBorders>
            <w:shd w:val="clear" w:color="auto" w:fill="CCEEFF"/>
          </w:tcPr>
          <w:p>
            <w:pPr>
              <w:jc w:val="right"/>
              <w:ind w:right="202"/>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8,648</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2"/>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2"/>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5"/>
        </w:trPr>
        <w:tc>
          <w:tcPr>
            <w:tcW w:w="69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Reconciliation of cash, cash equivalents, and restricted cash within the consolidated balance sheets to the</w:t>
            </w: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0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amounts shown in the consolidated statements of cash flows above:</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1,272,877</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1,349,380</w:t>
            </w:r>
          </w:p>
        </w:tc>
        <w:tc>
          <w:tcPr>
            <w:tcW w:w="100" w:type="dxa"/>
            <w:vAlign w:val="bottom"/>
          </w:tcPr>
          <w:p>
            <w:pPr>
              <w:spacing w:after="0"/>
              <w:rPr>
                <w:sz w:val="17"/>
                <w:szCs w:val="17"/>
                <w:color w:val="auto"/>
              </w:rPr>
            </w:pP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1,558,252</w:t>
            </w:r>
          </w:p>
        </w:tc>
      </w:tr>
      <w:tr>
        <w:trPr>
          <w:trHeight w:val="21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 current included in prepaid expenses and other current assets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w:t>
            </w:r>
          </w:p>
        </w:tc>
      </w:tr>
      <w:tr>
        <w:trPr>
          <w:trHeight w:val="204"/>
        </w:trPr>
        <w:tc>
          <w:tcPr>
            <w:tcW w:w="6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 noncurrent included in other assets, noncurrent</w:t>
            </w:r>
          </w:p>
        </w:tc>
        <w:tc>
          <w:tcPr>
            <w:tcW w:w="3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25"/>
        </w:trPr>
        <w:tc>
          <w:tcPr>
            <w:tcW w:w="6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1,283,781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1,565,380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7" w:lineRule="exact"/>
        <w:rPr>
          <w:sz w:val="20"/>
          <w:szCs w:val="20"/>
          <w:color w:val="auto"/>
        </w:rPr>
      </w:pPr>
    </w:p>
    <w:p>
      <w:pPr>
        <w:ind w:left="620" w:hanging="617"/>
        <w:spacing w:after="0"/>
        <w:tabs>
          <w:tab w:leader="none" w:pos="6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Business and Significant Accounting Policies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Zoom provides the AI-first, open work platform built for human connection and purposefully designed to move conversations to completion. Zoom enables customers to seamlessly collaborate, communicate, and drive outcomes across meetings, chat, phone, contact center, events, and more — all with the built-in assistance of Zoom AI Companion. We were incorporated in the state of Delaware in April 2011, and are headquartered in San Jose, California.</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Fiscal Year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fiscal year ends on January 31. References to fiscal year 2026, for example, refer to the fiscal year ended January 31, 2026.</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generally accepted accounting principles in the United States of America (“GAAP”) and include the accounts of Zoom Communications, Inc., its subsidiaries, and a variable interest entity for which we are the primary beneficiary. All intercompany balances and transactions have been eliminated in consolidation.</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fair value of marketable securities, acquired intangible assets and goodwill, the recognition and measurement of revenue, including estimates of variable consideration and the customer’s ability and intent to pay, the valuation of deferred income tax assets and uncertain tax positions, and accruals and contingencies. Actual results could materially differ from those estimates.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Risks</w:t>
      </w:r>
    </w:p>
    <w:p>
      <w:pPr>
        <w:spacing w:after="0" w:line="121" w:lineRule="exact"/>
        <w:rPr>
          <w:sz w:val="20"/>
          <w:szCs w:val="20"/>
          <w:color w:val="auto"/>
        </w:rPr>
      </w:pPr>
    </w:p>
    <w:p>
      <w:pPr>
        <w:jc w:val="both"/>
        <w:ind w:firstLine="465"/>
        <w:spacing w:after="0" w:line="268" w:lineRule="auto"/>
        <w:rPr>
          <w:sz w:val="20"/>
          <w:szCs w:val="20"/>
          <w:color w:val="auto"/>
        </w:rPr>
      </w:pPr>
      <w:r>
        <w:rPr>
          <w:rFonts w:ascii="Times New Roman" w:cs="Times New Roman" w:eastAsia="Times New Roman" w:hAnsi="Times New Roman"/>
          <w:sz w:val="17"/>
          <w:szCs w:val="17"/>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The majority of our cash balances are with U.S. banks and are insured to the extent defined by the Federal Deposit Insurance Corporation.</w:t>
      </w:r>
    </w:p>
    <w:p>
      <w:pPr>
        <w:spacing w:after="0" w:line="275"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No single customer accounted for more than 10% of accounts receivable at January 31, 2026 or 2025. No single customer accounted for 10% or more of total revenue during the fiscal years ended January 31, 2026, 2025, or 2024.</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Cash and cash equivalents consist of cash in banks and highly liquid investments, primarily money market funds, purchased with an original maturity of three months or less.</w:t>
      </w:r>
    </w:p>
    <w:p>
      <w:pPr>
        <w:spacing w:after="0" w:line="4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Restricted cash consists of certificates of deposit collateralizing our operating leases and cash from proceeds from international employees’ sales of our common stock, and is included in prepaid expenses and other current assets in the consolidated balance sheets.</w:t>
      </w:r>
    </w:p>
    <w:p>
      <w:pPr>
        <w:spacing w:after="0" w:line="48"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As of January 31, 2026 and 2025, we had $10.9 million and $12.0 million, respectively, of cash from proceeds from international employees’ sales of our common stock. The amount is held in our bank account until it is remitted to the 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are exposed to credit losses primarily through our accounts receivable and investments in available-for-sale debt securities. See Note 3 for additional information related to our available-for-sale debt securities.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u w:val="single" w:color="auto"/>
          <w:color w:val="auto"/>
        </w:rPr>
        <w:t>Accounts receivable, net</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Accounts receivable are recorded for invoiced amounts and amounts for which revenue has been recognized, but not invoiced, net of allowances. Our short-term accounts receivable consist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180" w:type="dxa"/>
            <w:vAlign w:val="bottom"/>
          </w:tcPr>
          <w:p>
            <w:pPr>
              <w:spacing w:after="0"/>
              <w:rPr>
                <w:sz w:val="15"/>
                <w:szCs w:val="15"/>
                <w:color w:val="auto"/>
              </w:rPr>
            </w:pPr>
          </w:p>
        </w:tc>
        <w:tc>
          <w:tcPr>
            <w:tcW w:w="16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r>
      <w:tr>
        <w:trPr>
          <w:trHeight w:val="23"/>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4"/>
          </w:tcPr>
          <w:p>
            <w:pPr>
              <w:spacing w:after="0" w:line="20" w:lineRule="exact"/>
              <w:rPr>
                <w:sz w:val="1"/>
                <w:szCs w:val="1"/>
                <w:color w:val="auto"/>
              </w:rPr>
            </w:pPr>
          </w:p>
        </w:tc>
      </w:tr>
      <w:tr>
        <w:trPr>
          <w:trHeight w:val="216"/>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37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517,306</w:t>
            </w: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(17,262)</w:t>
            </w:r>
          </w:p>
        </w:tc>
      </w:tr>
      <w:tr>
        <w:trPr>
          <w:trHeight w:val="22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Other reserves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w:t>
            </w:r>
          </w:p>
        </w:tc>
      </w:tr>
      <w:tr>
        <w:trPr>
          <w:trHeight w:val="213"/>
        </w:trPr>
        <w:tc>
          <w:tcPr>
            <w:tcW w:w="7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497,339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495,228</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maintain an allowance for credit losses for expected uncollectible accounts receivable, which is recorded as an offset to accounts receivable, with any changes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and the establishment of specific reserves for customers in an adverse financial condition or other factors impacting credit quality. We also consider current market conditions to inform adjustments to historical loss data. We reassess the adequacy of the allowance for credit losses each reporting period. Other reserves generally represent a reduction of accounts receivable with an offsetting reduction to deferred revenue.</w:t>
      </w:r>
    </w:p>
    <w:p>
      <w:pPr>
        <w:spacing w:after="0" w:line="280"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For the fiscal year ended January 31, 2026, our assessment took into account recent changes in macroeconomic conditions, such as inflation pressures, fluctuations in foreign currency exchange rates, and uncertain environments, which may impact our estimates of credit and collectibility trends. Below is a rollforward of our allowance for credit losses for the fiscal year ended January 31, 2026.</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42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3"/>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7"/>
                <w:szCs w:val="17"/>
                <w:color w:val="auto"/>
              </w:rPr>
            </w:pPr>
          </w:p>
        </w:tc>
      </w:tr>
      <w:tr>
        <w:trPr>
          <w:trHeight w:val="23"/>
        </w:trPr>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beginning of year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center"/>
              <w:ind w:left="900"/>
              <w:spacing w:after="0"/>
              <w:rPr>
                <w:sz w:val="20"/>
                <w:szCs w:val="20"/>
                <w:color w:val="auto"/>
              </w:rPr>
            </w:pPr>
            <w:r>
              <w:rPr>
                <w:rFonts w:ascii="Times New Roman" w:cs="Times New Roman" w:eastAsia="Times New Roman" w:hAnsi="Times New Roman"/>
                <w:sz w:val="17"/>
                <w:szCs w:val="17"/>
                <w:color w:val="auto"/>
              </w:rPr>
              <w:t>17,262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7"/>
                <w:szCs w:val="17"/>
                <w:color w:val="auto"/>
              </w:rPr>
              <w:t>25,916</w:t>
            </w:r>
          </w:p>
        </w:tc>
      </w:tr>
      <w:tr>
        <w:trPr>
          <w:trHeight w:val="220"/>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tcPr>
          <w:p>
            <w:pPr>
              <w:spacing w:after="0"/>
              <w:rPr>
                <w:sz w:val="19"/>
                <w:szCs w:val="19"/>
                <w:color w:val="auto"/>
              </w:rPr>
            </w:pPr>
          </w:p>
        </w:tc>
        <w:tc>
          <w:tcPr>
            <w:tcW w:w="1580" w:type="dxa"/>
            <w:vAlign w:val="bottom"/>
          </w:tcPr>
          <w:p>
            <w:pPr>
              <w:jc w:val="center"/>
              <w:ind w:left="900"/>
              <w:spacing w:after="0"/>
              <w:rPr>
                <w:sz w:val="20"/>
                <w:szCs w:val="20"/>
                <w:color w:val="auto"/>
              </w:rPr>
            </w:pPr>
            <w:r>
              <w:rPr>
                <w:rFonts w:ascii="Times New Roman" w:cs="Times New Roman" w:eastAsia="Times New Roman" w:hAnsi="Times New Roman"/>
                <w:sz w:val="17"/>
                <w:szCs w:val="17"/>
                <w:color w:val="auto"/>
              </w:rPr>
              <w:t>16,932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center"/>
              <w:ind w:left="737"/>
              <w:spacing w:after="0"/>
              <w:rPr>
                <w:sz w:val="20"/>
                <w:szCs w:val="20"/>
                <w:color w:val="auto"/>
              </w:rPr>
            </w:pPr>
            <w:r>
              <w:rPr>
                <w:rFonts w:ascii="Times New Roman" w:cs="Times New Roman" w:eastAsia="Times New Roman" w:hAnsi="Times New Roman"/>
                <w:sz w:val="17"/>
                <w:szCs w:val="17"/>
                <w:color w:val="auto"/>
              </w:rPr>
              <w:t>22,198</w:t>
            </w:r>
          </w:p>
        </w:tc>
      </w:tr>
      <w:tr>
        <w:trPr>
          <w:trHeight w:val="22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860"/>
              <w:spacing w:after="0"/>
              <w:rPr>
                <w:sz w:val="20"/>
                <w:szCs w:val="20"/>
                <w:color w:val="auto"/>
              </w:rPr>
            </w:pPr>
            <w:r>
              <w:rPr>
                <w:rFonts w:ascii="Times New Roman" w:cs="Times New Roman" w:eastAsia="Times New Roman" w:hAnsi="Times New Roman"/>
                <w:sz w:val="17"/>
                <w:szCs w:val="17"/>
                <w:color w:val="auto"/>
              </w:rPr>
              <w:t>(19,821)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717"/>
              <w:spacing w:after="0"/>
              <w:rPr>
                <w:sz w:val="20"/>
                <w:szCs w:val="20"/>
                <w:color w:val="auto"/>
              </w:rPr>
            </w:pPr>
            <w:r>
              <w:rPr>
                <w:rFonts w:ascii="Times New Roman" w:cs="Times New Roman" w:eastAsia="Times New Roman" w:hAnsi="Times New Roman"/>
                <w:sz w:val="17"/>
                <w:szCs w:val="17"/>
                <w:color w:val="auto"/>
                <w:w w:val="99"/>
              </w:rPr>
              <w:t>(30,852)</w:t>
            </w:r>
          </w:p>
        </w:tc>
      </w:tr>
      <w:tr>
        <w:trPr>
          <w:trHeight w:val="213"/>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end of year</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center"/>
              <w:ind w:left="900"/>
              <w:spacing w:after="0"/>
              <w:rPr>
                <w:sz w:val="20"/>
                <w:szCs w:val="20"/>
                <w:color w:val="auto"/>
              </w:rPr>
            </w:pPr>
            <w:r>
              <w:rPr>
                <w:rFonts w:ascii="Times New Roman" w:cs="Times New Roman" w:eastAsia="Times New Roman" w:hAnsi="Times New Roman"/>
                <w:sz w:val="17"/>
                <w:szCs w:val="17"/>
                <w:color w:val="auto"/>
              </w:rPr>
              <w:t>14,373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7"/>
                <w:szCs w:val="17"/>
                <w:color w:val="auto"/>
              </w:rPr>
              <w:t>17,262</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u w:val="single" w:color="auto"/>
          <w:color w:val="auto"/>
        </w:rPr>
        <w:t>Available-for-sale Investments</w:t>
      </w:r>
    </w:p>
    <w:p>
      <w:pPr>
        <w:spacing w:after="0" w:line="119"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Available-for-sale investments consist primarily of agency bonds,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which is reflected as a component of stockholders’ equity. We evaluate our securities with unrealized loss positions as to whether the declines in fair value were due to credit losses, and record the portion of impairment relating to the credit losses through the allowance for credit losses limited to the amount that fair value was less than the amortized cost basis. Realized gains and losses from the sale of marketable securities are determined based on the specific identification method. Realized gains and losses are reported in other income (expense), net in the consolidated statements of operations.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Strategic Investments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hold strategic investments in publicly held equity securities and privately held equity and debt securities in which we do not have a controlling interest. Publicly held equity securities are measured using quoted prices in their respective active markets with changes recorded through gains on strategic investments, net in the consolidated statements of operations. Privately held equity securities without a readily determinable fair value are recorded at cost and adjusted for impairments and observable price changes with a same or similar security from the same issuer (i.e. using the measurement alternative) and are recorded through gains on strategic investments, net in the consolidated statements of operations.</w:t>
      </w:r>
    </w:p>
    <w:p>
      <w:pPr>
        <w:spacing w:after="0" w:line="70"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If, based on the terms of these publicly traded and privately held securities, we determine that we exercise significant influence on the entity to which these securities relate, we will apply the equity method of accounting. Privately held equity securities that are accounted for under the equity method are measured at cost less any impairment, plus or minus our share of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method investee income or loss, which is reported in gains on strategic investments, net in the consolidated statements of operations.</w:t>
      </w:r>
    </w:p>
    <w:p>
      <w:pPr>
        <w:spacing w:after="0" w:line="115"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Privately held debt securities are recorded at fair value with changes in fair value recorded through accumulated other comprehensive income on the consolidated balance sheets.</w:t>
      </w:r>
    </w:p>
    <w:p>
      <w:pPr>
        <w:spacing w:after="0" w:line="4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On a quarterly basis, we assess our privately held equity and debt securities in our strategic investment portfolio for indicators of impairment. For the fiscal years ended January 31, 2026, 2025, and 2024, we recognized an immaterial amount of impairment to our privately held equity and debt securities.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on the lowest level of input that is significant to the fair value measurement. Three levels of inputs may be used to measure fair value: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Level 1—Quoted prices in active markets for identical assets or liabilities.</w:t>
      </w:r>
    </w:p>
    <w:p>
      <w:pPr>
        <w:spacing w:after="0" w:line="115"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Level 3—Unobservable inputs that are supported by little or no market activity and that are significant to the fair value of the assets or liabilities.</w:t>
      </w:r>
    </w:p>
    <w:p>
      <w:pPr>
        <w:spacing w:after="0" w:line="115"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Property and equipment, net, are stated at cost, less accumulated depreciation and amortization. Depreciation and amortization are calculated using the straight-line method over the estimated useful lives of the respective assets, which is three to five years. Leasehold improvements are amortized over the shorter of the remaining lease term or the estimated useful life of five years. Expenditures for maintenance and repairs are expensed as incurred. Significant improvements and enhancements that substantially enhance the life of an asset are capitalized.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Internal-Use Software Development Costs</w:t>
      </w:r>
    </w:p>
    <w:p>
      <w:pPr>
        <w:spacing w:after="0" w:line="121"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During the application development stage, we capitalize certain costs incurred for software developed for internal use related to our unified communications and collaboration platform as long as it is probable the project will be completed and the software will be used to perform the function intended. Capitalized software development costs are recorded in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 these assets. We capitalized $10.0 million, $14.9 million, and $8.1 million of internal-use software development costs during the fiscal years ended January 31, 2026, 2025, and 2024, respectively.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All lease arrangements, including operating lease right-of-use (“ROU”) assets and operating lease liabilities, are generally recognized at lease commencement. For short-term leases (an initial term of 12 months or less), an ROU asset and corresponding lease liability are not recorded. Instead, we record rent expense on a straight-line basis over the lease term in our consolidated statements of operations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 incentives received. We reassess the lease term if and when a significant event or change in circumstances occurs within our control. We currently do not have any finance leases.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21"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use assumptions, especially with respect to intangible assets. Our estimates of fair value are based 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2026 and determined that no adjustment to the carrying value of goodwill was required.</w:t>
      </w:r>
    </w:p>
    <w:p>
      <w:pPr>
        <w:spacing w:after="0" w:line="67"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years ended January 31, 2026, 2025, and 2024.</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derive our revenue primarily from subscription agreements with customers for access to our unified communications and collaboration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over the contract term, which can include a free period discount. We determine revenue recognition through the following steps: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Identification of the contract, or contracts, with the customer</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determine that a contract with a customer exists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69"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Identification of the performance obligations in the contract</w:t>
      </w:r>
    </w:p>
    <w:p>
      <w:pPr>
        <w:spacing w:after="0" w:line="119"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Performance obligations in a contract are identified based on services to be transferred to the customer that are both capable of being distinct - providing benefit on their own or with readily available resources - and distinct within the contract, meaning their transfer is separately identifiable from other contractual promises. Promised services or products under which both of these two criteria are not met are recognized as a combined, single performance obligation. Our performance obligations primarily relate to access to our unified communications and collaboration platform, which consists of one or more software-based services. Our customers do not have the ability to take possession of our software, and we provide a series of distinct software-based services that are satisfied over the term of the subscription through access to our platform.</w:t>
      </w:r>
    </w:p>
    <w:p>
      <w:pPr>
        <w:spacing w:after="0" w:line="173"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Determination of the transaction price</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67"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unified communications and collaboration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which permits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66"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Allocation of the transaction price to the performance obligations in the contract</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166"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Recognition of the revenue when, or as, a performance obligation is satisfied</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Revenue is recognized when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and collaboration platform and related services are subscription revenue and are considered one performance obligation, and the related revenue is recognized ratably over the subscription period as we satisfy the performance obligation.</w:t>
      </w:r>
    </w:p>
    <w:p>
      <w:pPr>
        <w:spacing w:after="0" w:line="6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Professional services are time-based arrangements and revenue is recognized as these services are performed. Fees for professional services represent less than 1% of total revenue during the periods presented.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Cost of revenue primarily consists of costs related to hosting our unified communications and collaboration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 costs associated with corporate facilities and related depreciation, health care benefits, training, and other employee benefits are allocated to cost of revenue and operating expenses based on applicable headcount.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Research and development costs include personnel-related expenses associated with our engineering personnel and consultants responsible for the design, development, and testing of our unified communications and collaboration platform, depreciation of equipment used in research and development, and allocated overhead costs. Research and development costs are expensed as incurred.</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Advertising Costs</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Advertising costs are expensed as incurred in sales and marketing expense and amounted to $56.9 million, $50.8 million, and $56.5 million for the fiscal years ended January 31, 2026, 2025, and 2024, respectively.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Stock-based compensation expense related to stock awards with only service conditions, including stock options, RSUs, and ESPP, are measured based on the fair value of the awards granted and recognized as an expense on a straight-line basis over the requisite service period. For RSUs with service and performance conditions, expense is recognized over the requisite service period if it is probable the performance condition will be achieved. The probability of achievement is assessed quarterly, and the effect of any change in the estimated number of performance-based awards expected to vest is recognized in the period those estimates are revised as a cumulative catch-up adjustment to stock-based compensation expense.</w:t>
      </w:r>
    </w:p>
    <w:p>
      <w:pPr>
        <w:spacing w:after="0" w:line="70"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fair value of each option and ESPP award is estimated on the grant date using the Black-Scholes option pricing model. The Black-Scholes option pricing model requires the use of assumptions, including the fair value of the underlying common stock, the expected term of the award, the expected volatility of the price of our common stock, risk-free interest rates, and the expected dividend yield of our common stock.</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fair value of each RSU award is based on the fair value of the underlying common stock as of the grant date.</w:t>
      </w:r>
    </w:p>
    <w:p>
      <w:pPr>
        <w:spacing w:after="0" w:line="115"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 assumptions used to determine the fair value of the stock awards represent management’s best estimates. These estimates involve inherent uncertainties and the application of management’s judgment. We account for forfeitures as they occur.</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Deferred tax assets are evaluated for future realization and reduced by a valuation allowance to the extent we believe it is more likely than not that they will not be realized. We consider all available positive and negative evidence, including future reversals of existing taxable temporary differences, projected future taxable income, tax-planning strategies, carryback potential if permitted under the tax law, and results of recent operations.</w:t>
      </w:r>
    </w:p>
    <w:p>
      <w:pPr>
        <w:spacing w:after="0" w:line="64"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We record uncertain tax positions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 to uncertain tax positions as a component of our provision for income taxes. Accrued interest and penalties are included with the related tax liability.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Net Income Per Share</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calculate our net income per share attributable to Class A and Class B common stock using the two-class method required for companies with participating securities.</w:t>
      </w:r>
    </w:p>
    <w:p>
      <w:pPr>
        <w:spacing w:after="0" w:line="4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by the weighted-average number of shares of our Class A and Class B common stock outstanding.</w:t>
      </w:r>
    </w:p>
    <w:p>
      <w:pPr>
        <w:spacing w:after="0" w:line="48"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Diluted net income per share is computed by giving effect to all dilutive securities. Diluted net income per share is computed by dividing the resulting net income by the weighted-average number of fully diluted common shares outstanding.</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7" w:lineRule="exact"/>
        <w:rPr>
          <w:sz w:val="20"/>
          <w:szCs w:val="20"/>
          <w:color w:val="auto"/>
        </w:rPr>
      </w:pPr>
    </w:p>
    <w:p>
      <w:pPr>
        <w:jc w:val="both"/>
        <w:ind w:firstLine="465"/>
        <w:spacing w:after="0" w:line="261"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which aims to improve the transparency of income tax disclosures by requiring consistent categories and greater disaggregation of information in the rate reconciliation and income taxes paid disaggregated by jurisdiction. ASU 2023-09 is effective for fiscal years beginning after December 15, 2024 and early adoption is permitted. We have adopted ASU 2023-09 for the fiscal year ended January 31, 2026, using a prospective approach. Prior period disclosures have not been adjusted to reflect the new disclosure requirements. The adoption did not have a material impact on our consolidated financial statements. Refer to Note 11 to the consolidated financial statements for expanded income tax disclosures.</w:t>
      </w:r>
    </w:p>
    <w:p>
      <w:pPr>
        <w:spacing w:after="0" w:line="68" w:lineRule="exact"/>
        <w:rPr>
          <w:sz w:val="20"/>
          <w:szCs w:val="20"/>
          <w:color w:val="auto"/>
        </w:rPr>
      </w:pPr>
    </w:p>
    <w:p>
      <w:pPr>
        <w:jc w:val="both"/>
        <w:ind w:firstLine="465"/>
        <w:spacing w:after="0" w:line="263" w:lineRule="auto"/>
        <w:rPr>
          <w:sz w:val="20"/>
          <w:szCs w:val="20"/>
          <w:color w:val="auto"/>
        </w:rPr>
      </w:pPr>
      <w:r>
        <w:rPr>
          <w:rFonts w:ascii="Times New Roman" w:cs="Times New Roman" w:eastAsia="Times New Roman" w:hAnsi="Times New Roman"/>
          <w:sz w:val="17"/>
          <w:szCs w:val="17"/>
          <w:color w:val="auto"/>
        </w:rPr>
        <w:t xml:space="preserve">In July 2025, the FASB issued ASU No. 2025-05, </w:t>
      </w:r>
      <w:r>
        <w:rPr>
          <w:rFonts w:ascii="Times New Roman" w:cs="Times New Roman" w:eastAsia="Times New Roman" w:hAnsi="Times New Roman"/>
          <w:sz w:val="17"/>
          <w:szCs w:val="17"/>
          <w:i w:val="1"/>
          <w:iCs w:val="1"/>
          <w:color w:val="auto"/>
        </w:rPr>
        <w:t>Financial Instruments—Credit Losses (Topic 326): Measurement of Credit Losses for Accounts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Receivable and Contract Assets </w:t>
      </w:r>
      <w:r>
        <w:rPr>
          <w:rFonts w:ascii="Times New Roman" w:cs="Times New Roman" w:eastAsia="Times New Roman" w:hAnsi="Times New Roman"/>
          <w:sz w:val="17"/>
          <w:szCs w:val="17"/>
          <w:color w:val="auto"/>
        </w:rPr>
        <w:t>(“ASU 2025-05”), which introduces a practical expedient when estimating expected credit losses for current accounts receivable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current contract assets arising from transactions accounted for under Topic 606. ASU 2025-05 is effective for fiscal years beginning after December 15, 2025 and interim periods within those annual reporting periods. Early adoption is permitted. We early adopted ASU 2025-05 as of the third quarter of fiscal year 2026 and elected the practical expedient provided therein. Adoption of the ASU did not have an impact on our consolidated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17" w:lineRule="exact"/>
        <w:rPr>
          <w:sz w:val="20"/>
          <w:szCs w:val="20"/>
          <w:color w:val="auto"/>
        </w:rPr>
      </w:pPr>
    </w:p>
    <w:p>
      <w:pPr>
        <w:jc w:val="both"/>
        <w:ind w:firstLine="465"/>
        <w:spacing w:after="0" w:line="263"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which aims to improve financial reporting by requiring additional disclosure about specific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 categories in the notes to financial statements at interim and annual reporting periods. ASU 2024-03 is effective for fiscal years beginning after December 15, 2026 and interim periods within fiscal years beginning after December 15, 2027. Early adoption is permitted. We are currently evaluating the impact of the adoption of this ASU on our consolidated financial statements.</w:t>
      </w:r>
    </w:p>
    <w:p>
      <w:pPr>
        <w:spacing w:after="0" w:line="66" w:lineRule="exact"/>
        <w:rPr>
          <w:sz w:val="20"/>
          <w:szCs w:val="20"/>
          <w:color w:val="auto"/>
        </w:rPr>
      </w:pPr>
    </w:p>
    <w:p>
      <w:pPr>
        <w:jc w:val="both"/>
        <w:ind w:firstLine="465"/>
        <w:spacing w:after="0" w:line="251" w:lineRule="auto"/>
        <w:rPr>
          <w:sz w:val="20"/>
          <w:szCs w:val="20"/>
          <w:color w:val="auto"/>
        </w:rPr>
      </w:pPr>
      <w:r>
        <w:rPr>
          <w:rFonts w:ascii="Times New Roman" w:cs="Times New Roman" w:eastAsia="Times New Roman" w:hAnsi="Times New Roman"/>
          <w:sz w:val="17"/>
          <w:szCs w:val="17"/>
          <w:color w:val="auto"/>
        </w:rPr>
        <w:t xml:space="preserve">In September 2025, the Financial Accounting Standards Board issued ASU No. 2025-06, </w:t>
      </w:r>
      <w:r>
        <w:rPr>
          <w:rFonts w:ascii="Times New Roman" w:cs="Times New Roman" w:eastAsia="Times New Roman" w:hAnsi="Times New Roman"/>
          <w:sz w:val="17"/>
          <w:szCs w:val="17"/>
          <w:i w:val="1"/>
          <w:iCs w:val="1"/>
          <w:color w:val="auto"/>
        </w:rPr>
        <w:t>Intangibles—Goodwill and Other—Internal-Use Software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350-40): Targeted Improvements to the Accounting for Internal-Use Software </w:t>
      </w:r>
      <w:r>
        <w:rPr>
          <w:rFonts w:ascii="Times New Roman" w:cs="Times New Roman" w:eastAsia="Times New Roman" w:hAnsi="Times New Roman"/>
          <w:sz w:val="17"/>
          <w:szCs w:val="17"/>
          <w:color w:val="auto"/>
        </w:rPr>
        <w:t>(“ASU 2025-06”), which aims to modernize financial reporting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updating how entities recognize and disclose costs incurred for software developed for internal use. ASU 2025-06 is effective for fiscal years beginning after December 15, 2026, and interim periods within those fiscal years. Early adoption is permitted. We are currently evaluating the impact of the adoption of this ASU on our consolidated financial statements.</w:t>
      </w:r>
    </w:p>
    <w:p>
      <w:pPr>
        <w:spacing w:after="0" w:line="17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Revenue Recognition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revenue by region based on the billing address of customers: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1"/>
                <w:szCs w:val="11"/>
                <w:color w:val="auto"/>
              </w:rPr>
            </w:pPr>
          </w:p>
        </w:tc>
        <w:tc>
          <w:tcPr>
            <w:tcW w:w="1280" w:type="dxa"/>
            <w:vAlign w:val="bottom"/>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1"/>
                <w:szCs w:val="11"/>
                <w:color w:val="auto"/>
              </w:rPr>
            </w:pPr>
          </w:p>
        </w:tc>
        <w:tc>
          <w:tcPr>
            <w:tcW w:w="1260" w:type="dxa"/>
            <w:vAlign w:val="bottom"/>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1"/>
                <w:szCs w:val="11"/>
                <w:color w:val="auto"/>
              </w:rPr>
            </w:pPr>
          </w:p>
        </w:tc>
        <w:tc>
          <w:tcPr>
            <w:tcW w:w="1260" w:type="dxa"/>
            <w:vAlign w:val="bottom"/>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3,508,148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3,351,286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3,228,914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71.3 %</w:t>
            </w: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APAC</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590,710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571,443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571,596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0" w:type="dxa"/>
            <w:vAlign w:val="bottom"/>
          </w:tcPr>
          <w:p>
            <w:pPr>
              <w:spacing w:after="0"/>
              <w:rPr>
                <w:sz w:val="1"/>
                <w:szCs w:val="1"/>
                <w:color w:val="auto"/>
              </w:rPr>
            </w:pPr>
          </w:p>
        </w:tc>
      </w:tr>
      <w:tr>
        <w:trPr>
          <w:trHeight w:val="25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769,911</w:t>
            </w:r>
          </w:p>
        </w:tc>
        <w:tc>
          <w:tcPr>
            <w:tcW w:w="8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742,704</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726,714</w:t>
            </w: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16.1 %</w:t>
            </w:r>
          </w:p>
        </w:tc>
        <w:tc>
          <w:tcPr>
            <w:tcW w:w="0" w:type="dxa"/>
            <w:vAlign w:val="bottom"/>
          </w:tcPr>
          <w:p>
            <w:pPr>
              <w:spacing w:after="0"/>
              <w:rPr>
                <w:sz w:val="1"/>
                <w:szCs w:val="1"/>
                <w:color w:val="auto"/>
              </w:rPr>
            </w:pPr>
          </w:p>
        </w:tc>
      </w:tr>
      <w:tr>
        <w:trPr>
          <w:trHeight w:val="213"/>
        </w:trPr>
        <w:tc>
          <w:tcPr>
            <w:tcW w:w="2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4,868,769</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4,527,224</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on the consolidated balance sheets, was $84.9 million and $118.5 million as of January 31, 2026 and 2025, respectively, and the amount of unbilled accounts receivable included within other assets, noncurrent on the consolidated balance sheets was de minimis as of January 31, 2026 and 2025.</w:t>
      </w:r>
    </w:p>
    <w:p>
      <w:pPr>
        <w:spacing w:after="0" w:line="70"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2026, 2025, and 2024 that was included in deferred revenue at the beginning of each period was $1,336.0 million, $1,249.8 million, and $1,257.4 million, respectively.</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The terms of our subscription agreements are monthly, annual, and multiyear and we may bill for the full term in advance or on an annual, quarterly, or monthly basis, depending on the billing terms with customers. As of January 31, 2026, the aggregate amount of the transaction price allocated to our remaining performance obligations was $4,185.0 million, which consists of both billed consideration in the amount of $1,424.3 million and unbilled consideration in the amount of $2,760.7 million that we expect to recognize as revenue. We expect to recognize 57% of our remaining performance obligations as revenue over the next 12 months and the remainder thereafter.</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Cost to Obtain a Contract</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64"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Sales commissions paid upon the initial acquisition of a customer contract were historically amortized over an estimated period of benefit of three years. We determine the period of benefit for commissions paid for the acquisition of the initial customer contract by taking into consideration the initial estimated customer life and the technological life of our unified communications and collaboration platform and related significant features. Generally, we do not pay sales commissions upon contract renewal. Amortization is recognized on a straight-line basis commensurate with the pattern of revenue recognition and is included in sales and marketing expense in the consolidated statements of operations.</w:t>
      </w:r>
    </w:p>
    <w:p>
      <w:pPr>
        <w:spacing w:after="0" w:line="70"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periodically review these deferred contract acquisition costs to determine whether events or changes in circumstances have occurred that could impact the period of benefit. At the end of fiscal 2026, we completed a re-assessment of the estimated period of benefit for deferred contract acquisition costs and determined that we should increase the amortization period from three years to five years. The impact of the change in the accounting estimate is reflected in the consolidated balance sheet as of January 31, 2026, and is accounted for prospectively from that date. The change in amortization period did not impact sales and marketing expenses for the fiscal year ended January 31, 2026. There were no impairment losses recorded during the periods presented.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represents a rollforward of deferred contract acquisition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23"/>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8"/>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r>
      <w:tr>
        <w:trPr>
          <w:trHeight w:val="23"/>
        </w:trPr>
        <w:tc>
          <w:tcPr>
            <w:tcW w:w="7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7"/>
                <w:szCs w:val="17"/>
                <w:color w:val="auto"/>
                <w:w w:val="97"/>
              </w:rPr>
              <w:t>311,822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center"/>
              <w:ind w:left="296"/>
              <w:spacing w:after="0"/>
              <w:rPr>
                <w:sz w:val="20"/>
                <w:szCs w:val="20"/>
                <w:color w:val="auto"/>
              </w:rPr>
            </w:pPr>
            <w:r>
              <w:rPr>
                <w:rFonts w:ascii="Times New Roman" w:cs="Times New Roman" w:eastAsia="Times New Roman" w:hAnsi="Times New Roman"/>
                <w:sz w:val="17"/>
                <w:szCs w:val="17"/>
                <w:color w:val="auto"/>
              </w:rPr>
              <w:t>347,198</w:t>
            </w:r>
          </w:p>
        </w:tc>
      </w:tr>
      <w:tr>
        <w:trPr>
          <w:trHeight w:val="220"/>
        </w:trPr>
        <w:tc>
          <w:tcPr>
            <w:tcW w:w="7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Additions to deferred contract acquisition costs</w:t>
            </w:r>
          </w:p>
        </w:tc>
        <w:tc>
          <w:tcPr>
            <w:tcW w:w="380" w:type="dxa"/>
            <w:vAlign w:val="bottom"/>
          </w:tcPr>
          <w:p>
            <w:pPr>
              <w:spacing w:after="0"/>
              <w:rPr>
                <w:sz w:val="19"/>
                <w:szCs w:val="19"/>
                <w:color w:val="auto"/>
              </w:rPr>
            </w:pPr>
          </w:p>
        </w:tc>
        <w:tc>
          <w:tcPr>
            <w:tcW w:w="1200" w:type="dxa"/>
            <w:vAlign w:val="bottom"/>
          </w:tcPr>
          <w:p>
            <w:pPr>
              <w:jc w:val="center"/>
              <w:ind w:left="399"/>
              <w:spacing w:after="0"/>
              <w:rPr>
                <w:sz w:val="20"/>
                <w:szCs w:val="20"/>
                <w:color w:val="auto"/>
              </w:rPr>
            </w:pPr>
            <w:r>
              <w:rPr>
                <w:rFonts w:ascii="Times New Roman" w:cs="Times New Roman" w:eastAsia="Times New Roman" w:hAnsi="Times New Roman"/>
                <w:sz w:val="17"/>
                <w:szCs w:val="17"/>
                <w:color w:val="auto"/>
              </w:rPr>
              <w:t>295,949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center"/>
              <w:ind w:left="296"/>
              <w:spacing w:after="0"/>
              <w:rPr>
                <w:sz w:val="20"/>
                <w:szCs w:val="20"/>
                <w:color w:val="auto"/>
              </w:rPr>
            </w:pPr>
            <w:r>
              <w:rPr>
                <w:rFonts w:ascii="Times New Roman" w:cs="Times New Roman" w:eastAsia="Times New Roman" w:hAnsi="Times New Roman"/>
                <w:sz w:val="17"/>
                <w:szCs w:val="17"/>
                <w:color w:val="auto"/>
              </w:rPr>
              <w:t>246,727</w:t>
            </w:r>
          </w:p>
        </w:tc>
      </w:tr>
      <w:tr>
        <w:trPr>
          <w:trHeight w:val="22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deferred contract acquisition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7"/>
                <w:szCs w:val="17"/>
                <w:color w:val="auto"/>
                <w:w w:val="99"/>
              </w:rPr>
              <w:t>(283,382)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(282,103)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7"/>
                <w:szCs w:val="17"/>
                <w:color w:val="auto"/>
              </w:rPr>
              <w:t>324,389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7"/>
                <w:szCs w:val="17"/>
                <w:color w:val="auto"/>
              </w:rPr>
              <w:t>311,822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contract acquisition costs, current (to be amortized in next 12 months)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center"/>
              <w:ind w:left="399"/>
              <w:spacing w:after="0"/>
              <w:rPr>
                <w:sz w:val="20"/>
                <w:szCs w:val="20"/>
                <w:color w:val="auto"/>
              </w:rPr>
            </w:pPr>
            <w:r>
              <w:rPr>
                <w:rFonts w:ascii="Times New Roman" w:cs="Times New Roman" w:eastAsia="Times New Roman" w:hAnsi="Times New Roman"/>
                <w:sz w:val="17"/>
                <w:szCs w:val="17"/>
                <w:color w:val="auto"/>
              </w:rPr>
              <w:t>108,856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center"/>
              <w:ind w:left="296"/>
              <w:spacing w:after="0"/>
              <w:rPr>
                <w:sz w:val="20"/>
                <w:szCs w:val="20"/>
                <w:color w:val="auto"/>
              </w:rPr>
            </w:pPr>
            <w:r>
              <w:rPr>
                <w:rFonts w:ascii="Times New Roman" w:cs="Times New Roman" w:eastAsia="Times New Roman" w:hAnsi="Times New Roman"/>
                <w:sz w:val="17"/>
                <w:szCs w:val="17"/>
                <w:color w:val="auto"/>
              </w:rPr>
              <w:t>188,358</w:t>
            </w:r>
          </w:p>
        </w:tc>
      </w:tr>
      <w:tr>
        <w:trPr>
          <w:trHeight w:val="220"/>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7"/>
                <w:szCs w:val="17"/>
                <w:color w:val="auto"/>
              </w:rPr>
              <w:t>215,533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7"/>
                <w:szCs w:val="17"/>
                <w:color w:val="auto"/>
              </w:rPr>
              <w:t>123,464</w:t>
            </w:r>
          </w:p>
        </w:tc>
      </w:tr>
      <w:tr>
        <w:trPr>
          <w:trHeight w:val="23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contract acquisition costs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7"/>
                <w:szCs w:val="17"/>
                <w:color w:val="auto"/>
              </w:rPr>
              <w:t>324,389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center"/>
              <w:ind w:left="296"/>
              <w:spacing w:after="0"/>
              <w:rPr>
                <w:sz w:val="20"/>
                <w:szCs w:val="20"/>
                <w:color w:val="auto"/>
              </w:rPr>
            </w:pPr>
            <w:r>
              <w:rPr>
                <w:rFonts w:ascii="Times New Roman" w:cs="Times New Roman" w:eastAsia="Times New Roman" w:hAnsi="Times New Roman"/>
                <w:sz w:val="17"/>
                <w:szCs w:val="17"/>
                <w:color w:val="auto"/>
              </w:rPr>
              <w:t>311,822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460" w:right="9220" w:hanging="457"/>
        <w:spacing w:after="0" w:line="383" w:lineRule="auto"/>
        <w:tabs>
          <w:tab w:leader="none" w:pos="296"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w:t>
      </w:r>
      <w:r>
        <w:rPr>
          <w:rFonts w:ascii="Times New Roman" w:cs="Times New Roman" w:eastAsia="Times New Roman" w:hAnsi="Times New Roman"/>
          <w:sz w:val="17"/>
          <w:szCs w:val="17"/>
          <w:b w:val="1"/>
          <w:bCs w:val="1"/>
          <w:i w:val="1"/>
          <w:iCs w:val="1"/>
          <w:color w:val="auto"/>
        </w:rPr>
        <w:t>Marketable Securities</w:t>
      </w: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January 31, 2026 and 2025, our marketable securities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As of January 31, 2026</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0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0"/>
                <w:szCs w:val="10"/>
                <w:color w:val="auto"/>
              </w:rPr>
            </w:pPr>
          </w:p>
        </w:tc>
        <w:tc>
          <w:tcPr>
            <w:tcW w:w="120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0"/>
                <w:szCs w:val="10"/>
                <w:color w:val="auto"/>
              </w:rPr>
            </w:pPr>
          </w:p>
        </w:tc>
        <w:tc>
          <w:tcPr>
            <w:tcW w:w="1080" w:type="dxa"/>
            <w:vAlign w:val="bottom"/>
          </w:tcPr>
          <w:p>
            <w:pPr>
              <w:jc w:val="center"/>
              <w:ind w:right="1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2"/>
                <w:szCs w:val="12"/>
                <w:color w:val="auto"/>
              </w:rPr>
            </w:pPr>
          </w:p>
        </w:tc>
        <w:tc>
          <w:tcPr>
            <w:tcW w:w="1080" w:type="dxa"/>
            <w:vAlign w:val="bottom"/>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1,095,471</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5,373,782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5,383,887</w:t>
            </w: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64,673</w:t>
            </w:r>
          </w:p>
        </w:tc>
        <w:tc>
          <w:tcPr>
            <w:tcW w:w="0" w:type="dxa"/>
            <w:vAlign w:val="bottom"/>
          </w:tcPr>
          <w:p>
            <w:pPr>
              <w:spacing w:after="0"/>
              <w:rPr>
                <w:sz w:val="1"/>
                <w:szCs w:val="1"/>
                <w:color w:val="auto"/>
              </w:rPr>
            </w:pPr>
          </w:p>
        </w:tc>
      </w:tr>
      <w:tr>
        <w:trPr>
          <w:trHeight w:val="213"/>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6,533,457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6,544,031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As of January 31, 2025</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5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2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0"/>
                <w:szCs w:val="10"/>
                <w:color w:val="auto"/>
              </w:rPr>
            </w:pPr>
          </w:p>
        </w:tc>
        <w:tc>
          <w:tcPr>
            <w:tcW w:w="12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0"/>
                <w:szCs w:val="10"/>
                <w:color w:val="auto"/>
              </w:rPr>
            </w:pPr>
          </w:p>
        </w:tc>
        <w:tc>
          <w:tcPr>
            <w:tcW w:w="1080" w:type="dxa"/>
            <w:vAlign w:val="bottom"/>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2"/>
                <w:szCs w:val="12"/>
                <w:color w:val="auto"/>
              </w:rPr>
            </w:pPr>
          </w:p>
        </w:tc>
        <w:tc>
          <w:tcPr>
            <w:tcW w:w="1080" w:type="dxa"/>
            <w:vAlign w:val="bottom"/>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8"/>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20,841</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1,173,518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1,174,484</w:t>
            </w: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720,795</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4,412,730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4,415,930</w:t>
            </w: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110,279</w:t>
            </w:r>
          </w:p>
        </w:tc>
        <w:tc>
          <w:tcPr>
            <w:tcW w:w="0" w:type="dxa"/>
            <w:vAlign w:val="bottom"/>
          </w:tcPr>
          <w:p>
            <w:pPr>
              <w:spacing w:after="0"/>
              <w:rPr>
                <w:sz w:val="1"/>
                <w:szCs w:val="1"/>
                <w:color w:val="auto"/>
              </w:rPr>
            </w:pPr>
          </w:p>
        </w:tc>
      </w:tr>
      <w:tr>
        <w:trPr>
          <w:trHeight w:val="213"/>
        </w:trPr>
        <w:tc>
          <w:tcPr>
            <w:tcW w:w="5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6,436,471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6,442,329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Unrealized losses for securities that have been in an unrealized loss position for less than 12 months were $1.5 million and $6.2 million as of January 31, 2026 and 2025, respectively. Unrealized losses for securities that have been in an unrealized loss position for 12 months or longer were immaterial as of both January 31, 2026 and 2025. We review the individual securities that have unrealized losses on a regular basis to evaluate whether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income for the fiscal years ended January 31, 2026, 2025, and 2024.</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our marketable securities as of January 31, 2026 and 2025:</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5"/>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than one year</w:t>
            </w:r>
          </w:p>
        </w:tc>
        <w:tc>
          <w:tcPr>
            <w:tcW w:w="1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3,168,258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3,534,014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Due in one to three years</w:t>
            </w:r>
          </w:p>
        </w:tc>
        <w:tc>
          <w:tcPr>
            <w:tcW w:w="11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3,375,773</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2,908,315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gridSpan w:val="2"/>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6,544,031</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6,442,329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bottom w:val="single" w:sz="8" w:color="CFF0FC"/>
            </w:tcBorders>
            <w:vMerge w:val="restart"/>
          </w:tcPr>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Strategic Investments</w:t>
            </w:r>
          </w:p>
        </w:tc>
        <w:tc>
          <w:tcPr>
            <w:tcW w:w="11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3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20" w:type="dxa"/>
            <w:vAlign w:val="bottom"/>
            <w:gridSpan w:val="7"/>
          </w:tcPr>
          <w:p>
            <w:pPr>
              <w:ind w:left="460"/>
              <w:spacing w:after="0"/>
              <w:rPr>
                <w:sz w:val="20"/>
                <w:szCs w:val="20"/>
                <w:color w:val="auto"/>
              </w:rPr>
            </w:pPr>
            <w:r>
              <w:rPr>
                <w:rFonts w:ascii="Times New Roman" w:cs="Times New Roman" w:eastAsia="Times New Roman" w:hAnsi="Times New Roman"/>
                <w:sz w:val="17"/>
                <w:szCs w:val="17"/>
                <w:color w:val="auto"/>
              </w:rPr>
              <w:t>Strategic investments by type and measurement category as of January 31, 2026 were as follows:</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16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1,448,531</w:t>
            </w:r>
          </w:p>
        </w:tc>
        <w:tc>
          <w:tcPr>
            <w:tcW w:w="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126,112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1,574,643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Strategic investments</w:t>
            </w:r>
          </w:p>
        </w:tc>
        <w:tc>
          <w:tcPr>
            <w:tcW w:w="1160" w:type="dxa"/>
            <w:vAlign w:val="bottom"/>
            <w:tcBorders>
              <w:top w:val="single" w:sz="8" w:color="auto"/>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1,448,531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126,112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1,578,611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Strategic investments by form and measurement category as of January 31, 2025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Measurement Category</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4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4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Measurement Alternative</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4"/>
              </w:rPr>
              <w:t>Equity Method</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8"/>
        </w:trPr>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4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587,031</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4,450</w:t>
            </w:r>
          </w:p>
        </w:tc>
      </w:tr>
      <w:tr>
        <w:trPr>
          <w:trHeight w:val="238"/>
        </w:trPr>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Strategic investments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591,481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63" w:lineRule="auto"/>
        <w:rPr>
          <w:sz w:val="20"/>
          <w:szCs w:val="20"/>
          <w:color w:val="auto"/>
        </w:rPr>
      </w:pPr>
      <w:r>
        <w:rPr>
          <w:rFonts w:ascii="Times New Roman" w:cs="Times New Roman" w:eastAsia="Times New Roman" w:hAnsi="Times New Roman"/>
          <w:sz w:val="17"/>
          <w:szCs w:val="17"/>
          <w:color w:val="auto"/>
        </w:rPr>
        <w:t>During the fiscal year ended January 31, 2026, we made a total of $70.7 million of strategic investments in equity securities of private companies. Based on the terms of these privately-held securities, we determined that we do not have a controlling interest or the ability to exercise significant influence over the operating and financial policies of the investees. Therefore, these investments are currently accounted for under the measurement alternative method. During the fiscal year ended January 31, 2026, we recorded net unrealized gains of $951.7 million on our investments accounted for under the measurement alternative method.</w:t>
      </w:r>
    </w:p>
    <w:p>
      <w:pPr>
        <w:spacing w:after="0" w:line="280"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During the fiscal year ended January 31, 2026, we sold a total of $75.6 million of strategic investments in equity securities of public companies. The net gains on sale, which were not material, were recorded through gains on strategic investments, net in the consolidated statements of operations.</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Fair Value Measurements</w:t>
      </w:r>
    </w:p>
    <w:p>
      <w:pPr>
        <w:spacing w:after="0" w:line="119"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81"/>
        </w:trPr>
        <w:tc>
          <w:tcPr>
            <w:tcW w:w="5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8"/>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724,236</w:t>
            </w:r>
          </w:p>
        </w:tc>
        <w:tc>
          <w:tcPr>
            <w:tcW w:w="40" w:type="dxa"/>
            <w:vAlign w:val="bottom"/>
          </w:tcPr>
          <w:p>
            <w:pPr>
              <w:spacing w:after="0"/>
              <w:rPr>
                <w:sz w:val="19"/>
                <w:szCs w:val="19"/>
                <w:color w:val="auto"/>
              </w:rPr>
            </w:pPr>
          </w:p>
        </w:tc>
        <w:tc>
          <w:tcPr>
            <w:tcW w:w="36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724,236</w:t>
            </w:r>
          </w:p>
        </w:tc>
        <w:tc>
          <w:tcPr>
            <w:tcW w:w="40" w:type="dxa"/>
            <w:vAlign w:val="bottom"/>
          </w:tcPr>
          <w:p>
            <w:pPr>
              <w:spacing w:after="0"/>
              <w:rPr>
                <w:sz w:val="19"/>
                <w:szCs w:val="19"/>
                <w:color w:val="auto"/>
              </w:rPr>
            </w:pPr>
          </w:p>
        </w:tc>
        <w:tc>
          <w:tcPr>
            <w:tcW w:w="50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22,298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22,298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6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equivalents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763,410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724,236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1,095,471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1,095,471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5,383,887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5,383,887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64,673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64,673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6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6,544,031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6,544,031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Privately held debt securities included in strategic investments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40" w:type="dxa"/>
            <w:vAlign w:val="bottom"/>
            <w:tcBorders>
              <w:bottom w:val="single" w:sz="8" w:color="auto"/>
            </w:tcBorders>
          </w:tcPr>
          <w:p>
            <w:pPr>
              <w:spacing w:after="0"/>
              <w:rPr>
                <w:sz w:val="19"/>
                <w:szCs w:val="19"/>
                <w:color w:val="auto"/>
              </w:rPr>
            </w:pPr>
          </w:p>
        </w:tc>
      </w:tr>
      <w:tr>
        <w:trPr>
          <w:trHeight w:val="238"/>
        </w:trPr>
        <w:tc>
          <w:tcPr>
            <w:tcW w:w="56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7,311,409</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724,236</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6,583,205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337"/>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81"/>
        </w:trPr>
        <w:tc>
          <w:tcPr>
            <w:tcW w:w="56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5"/>
                <w:szCs w:val="15"/>
                <w:color w:val="auto"/>
              </w:rPr>
            </w:pPr>
          </w:p>
        </w:tc>
      </w:tr>
      <w:tr>
        <w:trPr>
          <w:trHeight w:val="208"/>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00" w:type="dxa"/>
            <w:vAlign w:val="bottom"/>
          </w:tcPr>
          <w:p>
            <w:pPr>
              <w:jc w:val="right"/>
              <w:ind w:right="70"/>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825,044</w:t>
            </w:r>
          </w:p>
        </w:tc>
        <w:tc>
          <w:tcPr>
            <w:tcW w:w="40" w:type="dxa"/>
            <w:vAlign w:val="bottom"/>
          </w:tcPr>
          <w:p>
            <w:pPr>
              <w:spacing w:after="0"/>
              <w:rPr>
                <w:sz w:val="19"/>
                <w:szCs w:val="19"/>
                <w:color w:val="auto"/>
              </w:rPr>
            </w:pPr>
          </w:p>
        </w:tc>
        <w:tc>
          <w:tcPr>
            <w:tcW w:w="36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825,044</w:t>
            </w:r>
          </w:p>
        </w:tc>
        <w:tc>
          <w:tcPr>
            <w:tcW w:w="40" w:type="dxa"/>
            <w:vAlign w:val="bottom"/>
          </w:tcPr>
          <w:p>
            <w:pPr>
              <w:spacing w:after="0"/>
              <w:rPr>
                <w:sz w:val="19"/>
                <w:szCs w:val="19"/>
                <w:color w:val="auto"/>
              </w:rPr>
            </w:pPr>
          </w:p>
        </w:tc>
        <w:tc>
          <w:tcPr>
            <w:tcW w:w="500" w:type="dxa"/>
            <w:vAlign w:val="bottom"/>
            <w:gridSpan w:val="3"/>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0"/>
        </w:trPr>
        <w:tc>
          <w:tcPr>
            <w:tcW w:w="566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13"/>
        </w:trPr>
        <w:tc>
          <w:tcPr>
            <w:tcW w:w="5660" w:type="dxa"/>
            <w:vAlign w:val="bottom"/>
            <w:tcBorders>
              <w:top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equivalents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867,001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825,044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20"/>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1,174,484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1,174,484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other debt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720,795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720,795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0"/>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4,415,930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4,415,930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Treasury bills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13"/>
        </w:trPr>
        <w:tc>
          <w:tcPr>
            <w:tcW w:w="5660" w:type="dxa"/>
            <w:vAlign w:val="bottom"/>
            <w:tcBorders>
              <w:top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6,442,329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6,442,329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Publicly held equity securities included in strategic investments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35,280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213"/>
        </w:trPr>
        <w:tc>
          <w:tcPr>
            <w:tcW w:w="56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Privately held debt securities included in strategic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40" w:type="dxa"/>
            <w:vAlign w:val="bottom"/>
          </w:tcPr>
          <w:p>
            <w:pPr>
              <w:spacing w:after="0"/>
              <w:rPr>
                <w:sz w:val="18"/>
                <w:szCs w:val="18"/>
                <w:color w:val="auto"/>
              </w:rPr>
            </w:pP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financial assets</w:t>
            </w:r>
          </w:p>
        </w:tc>
        <w:tc>
          <w:tcPr>
            <w:tcW w:w="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7,349,060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860,324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6,484,286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4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8"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since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w:t>
      </w:r>
    </w:p>
    <w:p>
      <w:pPr>
        <w:spacing w:after="0" w:line="144" w:lineRule="exact"/>
        <w:rPr>
          <w:sz w:val="20"/>
          <w:szCs w:val="20"/>
          <w:color w:val="auto"/>
        </w:rPr>
      </w:pPr>
    </w:p>
    <w:p>
      <w:pPr>
        <w:ind w:left="460" w:right="9220" w:hanging="457"/>
        <w:spacing w:after="0" w:line="383" w:lineRule="auto"/>
        <w:tabs>
          <w:tab w:leader="none" w:pos="296"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Combinations </w:t>
      </w:r>
      <w:r>
        <w:rPr>
          <w:rFonts w:ascii="Times New Roman" w:cs="Times New Roman" w:eastAsia="Times New Roman" w:hAnsi="Times New Roman"/>
          <w:sz w:val="17"/>
          <w:szCs w:val="17"/>
          <w:b w:val="1"/>
          <w:bCs w:val="1"/>
          <w:i w:val="1"/>
          <w:iCs w:val="1"/>
          <w:color w:val="auto"/>
        </w:rPr>
        <w:t>BrightHire, Inc.</w:t>
      </w: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On December 1, 2025, we acquired 100% of the issued and outstanding share capital of BrightHire, Inc., a private company providing AI-powered interview intelligence and hiring automation, for all-cash purchase consideration of $98.0 million. The acquisition expands Zoom Workplaces’s capabilities in recruiting and candidate engagement. The acquisition was accounted for as a business combination.</w:t>
      </w:r>
    </w:p>
    <w:p>
      <w:pPr>
        <w:spacing w:after="0" w:line="6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In allocating the purchase consideration for the acquisition, the following table summarizes the amounts attributed to goodwill, identifiable intangible assets, and other net assets acquired: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73,657</w:t>
            </w:r>
          </w:p>
        </w:tc>
      </w:tr>
      <w:tr>
        <w:trPr>
          <w:trHeight w:val="220"/>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Identifiable intangible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19,900</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 assets acquired</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w:t>
            </w:r>
          </w:p>
        </w:tc>
      </w:tr>
      <w:tr>
        <w:trPr>
          <w:trHeight w:val="213"/>
        </w:trPr>
        <w:tc>
          <w:tcPr>
            <w:tcW w:w="9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97,955</w:t>
            </w: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The goodwill amount represents synergies related to our existing products expected to be realized from the acquisition and assembled workforce. The associated goodwill is not deductible for tax purposes. The allocation of the purchase price is based upon a preliminary valuation, and as additional information becomes available, our estimates and assumptions may be subject to refinement within the measurement period, which may be up to one year from the acquisition date. Uncertain tax positions are initially established in connection with the acquisition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the components of identifiable intangible assets acquired and their estimated useful lives as of the date of acquisition: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323"/>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3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78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Identifiable intangible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19,900</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Intangible assets are amortized using the straight-line method over their respective estimated useful lives. Amortization of developed technology is recorded within cost of revenue, and amortization of customer relationships and trade names is recorded within sales and marketing expense in the consolidated statements of operations.</w:t>
      </w:r>
    </w:p>
    <w:p>
      <w:pPr>
        <w:spacing w:after="0" w:line="64"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Transaction costs incurred in connection with the acquisition were immaterial. The results of operations of BrightHire, Inc., which are not material, have been included in our consolidated financial statements from the date of the acquisition. Pro forma results of operations reflecting the acquisition of BrightHire, Inc. have not been presented, as the results do not have a material effect on any of the periods presented in our consolidated statements of operations.</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Acquisitions</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During the fiscal year ended January 31, 2026, we also completed other acquisitions that were immaterial and included the results in our consolidated financial statements from the date of the acquisitions.</w:t>
      </w:r>
    </w:p>
    <w:p>
      <w:pPr>
        <w:spacing w:after="0" w:line="14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Balance Sheet Components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January 31,</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3"/>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3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3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60" w:type="dxa"/>
            <w:vAlign w:val="bottom"/>
          </w:tcPr>
          <w:p>
            <w:pPr>
              <w:spacing w:after="0"/>
              <w:rPr>
                <w:sz w:val="18"/>
                <w:szCs w:val="18"/>
                <w:color w:val="auto"/>
              </w:rPr>
            </w:pP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234,856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60" w:type="dxa"/>
            <w:vAlign w:val="bottom"/>
            <w:vMerge w:val="restart"/>
          </w:tcPr>
          <w:p>
            <w:pPr>
              <w:jc w:val="right"/>
              <w:ind w:right="2014"/>
              <w:spacing w:after="0"/>
              <w:rPr>
                <w:sz w:val="20"/>
                <w:szCs w:val="20"/>
                <w:color w:val="auto"/>
              </w:rPr>
            </w:pPr>
            <w:r>
              <w:rPr>
                <w:rFonts w:ascii="Times New Roman" w:cs="Times New Roman" w:eastAsia="Times New Roman" w:hAnsi="Times New Roman"/>
                <w:sz w:val="17"/>
                <w:szCs w:val="17"/>
                <w:color w:val="auto"/>
              </w:rPr>
              <w:t>86</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3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6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060" w:type="dxa"/>
            <w:vAlign w:val="bottom"/>
          </w:tcPr>
          <w:p>
            <w:pPr>
              <w:spacing w:after="0"/>
              <w:rPr>
                <w:sz w:val="15"/>
                <w:szCs w:val="15"/>
                <w:color w:val="auto"/>
              </w:rPr>
            </w:pPr>
          </w:p>
        </w:tc>
      </w:tr>
      <w:tr>
        <w:trPr>
          <w:trHeight w:val="23"/>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78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8"/>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r>
      <w:tr>
        <w:trPr>
          <w:trHeight w:val="23"/>
        </w:trPr>
        <w:tc>
          <w:tcPr>
            <w:tcW w:w="7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Servers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427,664</w:t>
            </w: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123,259</w:t>
            </w: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and office equipment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47,021</w:t>
            </w: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54,885</w:t>
            </w: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w:t>
            </w: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653,460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658,596</w:t>
            </w: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(388,935)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(328,121)</w:t>
            </w: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264,525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330,475</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Depreciation and amortization expense was $118.9 million, $109.1 million, and $91.9 million for the fiscal years ended January 31, 2026, 2025, and 2024, respectively.</w:t>
      </w:r>
    </w:p>
    <w:p>
      <w:pPr>
        <w:spacing w:after="0" w:line="200" w:lineRule="exact"/>
        <w:rPr>
          <w:sz w:val="20"/>
          <w:szCs w:val="20"/>
          <w:color w:val="auto"/>
        </w:rPr>
      </w:pPr>
    </w:p>
    <w:p>
      <w:pPr>
        <w:spacing w:after="0" w:line="3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Assets, Noncurrent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Other assets, noncurrent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noncurrent</w:t>
            </w:r>
          </w:p>
        </w:tc>
        <w:tc>
          <w:tcPr>
            <w:tcW w:w="4500" w:type="dxa"/>
            <w:vAlign w:val="bottom"/>
            <w:gridSpan w:val="2"/>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 net</w:t>
            </w:r>
          </w:p>
        </w:tc>
        <w:tc>
          <w:tcPr>
            <w:tcW w:w="3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3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 noncurrent</w:t>
            </w:r>
          </w:p>
        </w:tc>
        <w:tc>
          <w:tcPr>
            <w:tcW w:w="3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 noncurrent</w:t>
            </w:r>
          </w:p>
        </w:tc>
        <w:tc>
          <w:tcPr>
            <w:tcW w:w="3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5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noncurrent</w:t>
            </w:r>
          </w:p>
        </w:tc>
        <w:tc>
          <w:tcPr>
            <w:tcW w:w="3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144,333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014"/>
              <w:spacing w:after="0"/>
              <w:rPr>
                <w:sz w:val="20"/>
                <w:szCs w:val="20"/>
                <w:color w:val="auto"/>
              </w:rPr>
            </w:pPr>
            <w:r>
              <w:rPr>
                <w:rFonts w:ascii="Times New Roman" w:cs="Times New Roman" w:eastAsia="Times New Roman" w:hAnsi="Times New Roman"/>
                <w:sz w:val="17"/>
                <w:szCs w:val="17"/>
                <w:color w:val="auto"/>
              </w:rPr>
              <w:t>87</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4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0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January 31,</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8"/>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3"/>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200,416</w:t>
            </w:r>
          </w:p>
        </w:tc>
        <w:tc>
          <w:tcPr>
            <w:tcW w:w="0" w:type="dxa"/>
            <w:vAlign w:val="bottom"/>
          </w:tcPr>
          <w:p>
            <w:pPr>
              <w:spacing w:after="0"/>
              <w:rPr>
                <w:sz w:val="1"/>
                <w:szCs w:val="1"/>
                <w:color w:val="auto"/>
              </w:rPr>
            </w:pP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193,110</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18,815</w:t>
            </w:r>
          </w:p>
        </w:tc>
        <w:tc>
          <w:tcPr>
            <w:tcW w:w="0" w:type="dxa"/>
            <w:vAlign w:val="bottom"/>
          </w:tcPr>
          <w:p>
            <w:pPr>
              <w:spacing w:after="0"/>
              <w:rPr>
                <w:sz w:val="1"/>
                <w:szCs w:val="1"/>
                <w:color w:val="auto"/>
              </w:rPr>
            </w:pP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other non-income tax liabilities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41,755</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deposit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47,312</w:t>
            </w:r>
          </w:p>
        </w:tc>
        <w:tc>
          <w:tcPr>
            <w:tcW w:w="0" w:type="dxa"/>
            <w:vAlign w:val="bottom"/>
          </w:tcPr>
          <w:p>
            <w:pPr>
              <w:spacing w:after="0"/>
              <w:rPr>
                <w:sz w:val="1"/>
                <w:szCs w:val="1"/>
                <w:color w:val="auto"/>
              </w:rPr>
            </w:pP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27,026</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30,128</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581,773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558,562</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Other Liabilities, Noncurrent</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7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liabilities, noncurrent consisted of the following:</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 January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8"/>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3"/>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other non-income tax liabilities</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41,517</w:t>
            </w:r>
          </w:p>
        </w:tc>
        <w:tc>
          <w:tcPr>
            <w:tcW w:w="0" w:type="dxa"/>
            <w:vAlign w:val="bottom"/>
          </w:tcPr>
          <w:p>
            <w:pPr>
              <w:spacing w:after="0"/>
              <w:rPr>
                <w:sz w:val="1"/>
                <w:szCs w:val="1"/>
                <w:color w:val="auto"/>
              </w:rPr>
            </w:pP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income tax liabilities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49,449</w:t>
            </w: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w:t>
            </w:r>
          </w:p>
        </w:tc>
        <w:tc>
          <w:tcPr>
            <w:tcW w:w="0" w:type="dxa"/>
            <w:vAlign w:val="bottom"/>
          </w:tcPr>
          <w:p>
            <w:pPr>
              <w:spacing w:after="0"/>
              <w:rPr>
                <w:sz w:val="1"/>
                <w:szCs w:val="1"/>
                <w:color w:val="auto"/>
              </w:rPr>
            </w:pPr>
          </w:p>
        </w:tc>
      </w:tr>
      <w:tr>
        <w:trPr>
          <w:trHeight w:val="213"/>
        </w:trPr>
        <w:tc>
          <w:tcPr>
            <w:tcW w:w="78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109,063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95,363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Operating Leases</w:t>
      </w:r>
    </w:p>
    <w:p>
      <w:pPr>
        <w:spacing w:after="0" w:line="119"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We entered into various operating lease agreements for office space, with remaining contractual periods of up to five years.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years ended January 31, 2026, 2025 and 2024 was $27.0 million, $26.7 million and $24.9 million, respectively, excluding short-term lease costs, variable lease costs, and sublease income, each of which was immaterial for the fiscal years ended January 31, 2026, 2025 and 2024.</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leases was as follows: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5"/>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 except life and percentages)</w:t>
            </w:r>
          </w:p>
        </w:tc>
        <w:tc>
          <w:tcPr>
            <w:tcW w:w="0" w:type="dxa"/>
            <w:vAlign w:val="bottom"/>
          </w:tcPr>
          <w:p>
            <w:pPr>
              <w:spacing w:after="0"/>
              <w:rPr>
                <w:sz w:val="1"/>
                <w:szCs w:val="1"/>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as: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52,423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55,900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86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27,765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27,026</w:t>
            </w:r>
          </w:p>
        </w:tc>
        <w:tc>
          <w:tcPr>
            <w:tcW w:w="0" w:type="dxa"/>
            <w:vAlign w:val="bottom"/>
          </w:tcPr>
          <w:p>
            <w:pPr>
              <w:spacing w:after="0"/>
              <w:rPr>
                <w:sz w:val="1"/>
                <w:szCs w:val="1"/>
                <w:color w:val="auto"/>
              </w:rPr>
            </w:pPr>
          </w:p>
        </w:tc>
      </w:tr>
      <w:tr>
        <w:trPr>
          <w:trHeight w:val="220"/>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30,710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37,406</w:t>
            </w:r>
          </w:p>
        </w:tc>
        <w:tc>
          <w:tcPr>
            <w:tcW w:w="0" w:type="dxa"/>
            <w:vAlign w:val="bottom"/>
          </w:tcPr>
          <w:p>
            <w:pPr>
              <w:spacing w:after="0"/>
              <w:rPr>
                <w:sz w:val="1"/>
                <w:szCs w:val="1"/>
                <w:color w:val="auto"/>
              </w:rPr>
            </w:pPr>
          </w:p>
        </w:tc>
      </w:tr>
      <w:tr>
        <w:trPr>
          <w:trHeight w:val="238"/>
        </w:trPr>
        <w:tc>
          <w:tcPr>
            <w:tcW w:w="5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58,475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64,432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2.7 years</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years</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5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Supplemental cash flow and other information related to operating leases was as follows: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5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payments included in the measurement of our operating lease liabilities</w:t>
            </w:r>
          </w:p>
        </w:tc>
        <w:tc>
          <w:tcPr>
            <w:tcW w:w="112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26,471</w:t>
            </w:r>
          </w:p>
        </w:tc>
        <w:tc>
          <w:tcPr>
            <w:tcW w:w="0" w:type="dxa"/>
            <w:vAlign w:val="bottom"/>
          </w:tcPr>
          <w:p>
            <w:pPr>
              <w:spacing w:after="0"/>
              <w:rPr>
                <w:sz w:val="1"/>
                <w:szCs w:val="1"/>
                <w:color w:val="auto"/>
              </w:rPr>
            </w:pPr>
          </w:p>
        </w:tc>
      </w:tr>
      <w:tr>
        <w:trPr>
          <w:trHeight w:val="168"/>
        </w:trPr>
        <w:tc>
          <w:tcPr>
            <w:tcW w:w="58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Operating lease right-of-use assets recognized in exchange for new operating lease</w:t>
            </w: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obligations</w:t>
            </w:r>
          </w:p>
        </w:tc>
        <w:tc>
          <w:tcPr>
            <w:tcW w:w="1120" w:type="dxa"/>
            <w:vAlign w:val="bottom"/>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91"/>
        </w:trPr>
        <w:tc>
          <w:tcPr>
            <w:tcW w:w="9980" w:type="dxa"/>
            <w:vAlign w:val="bottom"/>
            <w:gridSpan w:val="8"/>
          </w:tcPr>
          <w:p>
            <w:pPr>
              <w:ind w:left="460"/>
              <w:spacing w:after="0"/>
              <w:rPr>
                <w:sz w:val="20"/>
                <w:szCs w:val="20"/>
                <w:color w:val="auto"/>
              </w:rPr>
            </w:pPr>
            <w:r>
              <w:rPr>
                <w:rFonts w:ascii="Times New Roman" w:cs="Times New Roman" w:eastAsia="Times New Roman" w:hAnsi="Times New Roman"/>
                <w:sz w:val="17"/>
                <w:szCs w:val="17"/>
                <w:color w:val="auto"/>
              </w:rPr>
              <w:t>As of January 31, 2026, the future minimum lease payments included in the measurement of our operating lease liabilities are as follows: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January 31,</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26,585</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20,504</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10,799</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3,633</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operating lease payments</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62,319</w:t>
            </w: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imputed interest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(3,844)</w:t>
            </w:r>
          </w:p>
        </w:tc>
        <w:tc>
          <w:tcPr>
            <w:tcW w:w="0" w:type="dxa"/>
            <w:vAlign w:val="bottom"/>
          </w:tcPr>
          <w:p>
            <w:pPr>
              <w:spacing w:after="0"/>
              <w:rPr>
                <w:sz w:val="1"/>
                <w:szCs w:val="1"/>
                <w:color w:val="auto"/>
              </w:rPr>
            </w:pPr>
          </w:p>
        </w:tc>
      </w:tr>
      <w:tr>
        <w:trPr>
          <w:trHeight w:val="213"/>
        </w:trPr>
        <w:tc>
          <w:tcPr>
            <w:tcW w:w="58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58,475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Goodwill and Intangible Assets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changes in the carrying amount of goodwill: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8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tcPr>
          <w:p>
            <w:pPr>
              <w:spacing w:after="0"/>
              <w:rPr>
                <w:sz w:val="15"/>
                <w:szCs w:val="15"/>
                <w:color w:val="auto"/>
              </w:rPr>
            </w:pPr>
          </w:p>
        </w:tc>
      </w:tr>
      <w:tr>
        <w:trPr>
          <w:trHeight w:val="23"/>
        </w:trPr>
        <w:tc>
          <w:tcPr>
            <w:tcW w:w="6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6840" w:type="dxa"/>
            <w:vAlign w:val="bottom"/>
          </w:tcPr>
          <w:p>
            <w:pPr>
              <w:spacing w:after="0"/>
              <w:rPr>
                <w:sz w:val="15"/>
                <w:szCs w:val="15"/>
                <w:color w:val="auto"/>
              </w:rPr>
            </w:pP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6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8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6"/>
                <w:szCs w:val="16"/>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the year</w:t>
            </w:r>
          </w:p>
        </w:tc>
        <w:tc>
          <w:tcPr>
            <w:tcW w:w="1360" w:type="dxa"/>
            <w:vAlign w:val="bottom"/>
            <w:shd w:val="clear" w:color="auto" w:fill="CCEEFF"/>
          </w:tcPr>
          <w:p>
            <w:pPr>
              <w:jc w:val="right"/>
              <w:ind w:right="118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 in goodwill related to business combinations</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93,097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ending of the year</w:t>
            </w:r>
          </w:p>
        </w:tc>
        <w:tc>
          <w:tcPr>
            <w:tcW w:w="1360" w:type="dxa"/>
            <w:vAlign w:val="bottom"/>
            <w:tcBorders>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400,392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5 for additional information regarding acquisitions completed during the fiscal year.</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Intangibles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intangible assets with a finite useful life included within other assets, noncurrent on the consolidated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As of January 31,</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1"/>
                <w:szCs w:val="11"/>
                <w:color w:val="auto"/>
              </w:rPr>
            </w:pPr>
          </w:p>
        </w:tc>
        <w:tc>
          <w:tcPr>
            <w:tcW w:w="104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Value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1"/>
                <w:szCs w:val="11"/>
                <w:color w:val="auto"/>
              </w:rPr>
            </w:pPr>
          </w:p>
        </w:tc>
        <w:tc>
          <w:tcPr>
            <w:tcW w:w="10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Net Value</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17,688</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12,879</w:t>
            </w: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Assembled workforce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w:t>
            </w: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33,410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Intangible asset amortization expense was $13.9 million, $13.5 million, and $12.5 million for the fiscal years ended January 31, 2026, 2025 and 2024, respectively.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Estimated amortization expense for each of the five succeeding fiscal years and thereafter is as follows:</w:t>
            </w:r>
          </w:p>
        </w:tc>
        <w:tc>
          <w:tcPr>
            <w:tcW w:w="1640" w:type="dxa"/>
            <w:vAlign w:val="bottom"/>
          </w:tcPr>
          <w:p>
            <w:pPr>
              <w:spacing w:after="0"/>
              <w:rPr>
                <w:sz w:val="19"/>
                <w:szCs w:val="19"/>
                <w:color w:val="auto"/>
              </w:rPr>
            </w:pPr>
          </w:p>
        </w:tc>
      </w:tr>
      <w:tr>
        <w:trPr>
          <w:trHeight w:val="300"/>
        </w:trPr>
        <w:tc>
          <w:tcPr>
            <w:tcW w:w="9600" w:type="dxa"/>
            <w:vAlign w:val="bottom"/>
          </w:tcPr>
          <w:p>
            <w:pPr>
              <w:spacing w:after="0"/>
              <w:rPr>
                <w:sz w:val="24"/>
                <w:szCs w:val="24"/>
                <w:color w:val="auto"/>
              </w:rPr>
            </w:pPr>
          </w:p>
        </w:tc>
        <w:tc>
          <w:tcPr>
            <w:tcW w:w="16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r>
      <w:tr>
        <w:trPr>
          <w:trHeight w:val="23"/>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1"/>
        </w:trPr>
        <w:tc>
          <w:tcPr>
            <w:tcW w:w="9600" w:type="dxa"/>
            <w:vAlign w:val="bottom"/>
          </w:tcPr>
          <w:p>
            <w:pPr>
              <w:spacing w:after="0"/>
              <w:rPr>
                <w:sz w:val="15"/>
                <w:szCs w:val="15"/>
                <w:color w:val="auto"/>
              </w:rPr>
            </w:pPr>
          </w:p>
        </w:tc>
        <w:tc>
          <w:tcPr>
            <w:tcW w:w="16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Ending January 31,</w:t>
            </w:r>
          </w:p>
        </w:tc>
        <w:tc>
          <w:tcPr>
            <w:tcW w:w="1640" w:type="dxa"/>
            <w:vAlign w:val="bottom"/>
            <w:shd w:val="clear" w:color="auto" w:fill="CCEEFF"/>
          </w:tcPr>
          <w:p>
            <w:pPr>
              <w:spacing w:after="0"/>
              <w:rPr>
                <w:sz w:val="19"/>
                <w:szCs w:val="19"/>
                <w:color w:val="auto"/>
              </w:rPr>
            </w:pPr>
          </w:p>
        </w:tc>
      </w:tr>
      <w:tr>
        <w:trPr>
          <w:trHeight w:val="220"/>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17,598</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12,614</w:t>
            </w:r>
          </w:p>
        </w:tc>
      </w:tr>
      <w:tr>
        <w:trPr>
          <w:trHeight w:val="220"/>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6,581</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4,976</w:t>
            </w:r>
          </w:p>
        </w:tc>
      </w:tr>
      <w:tr>
        <w:trPr>
          <w:trHeight w:val="220"/>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4,228</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9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45,997</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intangible assets with an indefinite useful life included within other assets, noncurrent on the consolidated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4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tcPr>
          <w:p>
            <w:pPr>
              <w:spacing w:after="0"/>
              <w:rPr>
                <w:sz w:val="15"/>
                <w:szCs w:val="15"/>
                <w:color w:val="auto"/>
              </w:rPr>
            </w:pPr>
          </w:p>
        </w:tc>
      </w:tr>
      <w:tr>
        <w:trPr>
          <w:trHeight w:val="23"/>
        </w:trPr>
        <w:tc>
          <w:tcPr>
            <w:tcW w:w="6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6840" w:type="dxa"/>
            <w:vAlign w:val="bottom"/>
          </w:tcPr>
          <w:p>
            <w:pPr>
              <w:spacing w:after="0"/>
              <w:rPr>
                <w:sz w:val="15"/>
                <w:szCs w:val="15"/>
                <w:color w:val="auto"/>
              </w:rPr>
            </w:pPr>
          </w:p>
        </w:tc>
        <w:tc>
          <w:tcPr>
            <w:tcW w:w="14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7"/>
        </w:trPr>
        <w:tc>
          <w:tcPr>
            <w:tcW w:w="68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6"/>
                <w:szCs w:val="16"/>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Domain and IP Addresses</w:t>
            </w:r>
          </w:p>
        </w:tc>
        <w:tc>
          <w:tcPr>
            <w:tcW w:w="1400" w:type="dxa"/>
            <w:vAlign w:val="bottom"/>
            <w:shd w:val="clear" w:color="auto" w:fill="CCEEFF"/>
          </w:tcPr>
          <w:p>
            <w:pPr>
              <w:jc w:val="right"/>
              <w:ind w:right="12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20,232</w:t>
            </w:r>
          </w:p>
        </w:tc>
      </w:tr>
      <w:tr>
        <w:trPr>
          <w:trHeight w:val="22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Patents and trade names</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5,007</w:t>
            </w: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tcBorders>
              <w:bottom w:val="single" w:sz="8" w:color="auto"/>
            </w:tcBorders>
            <w:shd w:val="clear" w:color="auto" w:fill="CCEEFF"/>
          </w:tcPr>
          <w:p>
            <w:pPr>
              <w:jc w:val="right"/>
              <w:ind w:right="12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years ended January 31, 2026, 2025 and 2024, there were no intangible assets impairment losses.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Commitments and Contingencies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Non-cancelable Purchase Obligations</w:t>
      </w:r>
    </w:p>
    <w:p>
      <w:pPr>
        <w:spacing w:after="0" w:line="121"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enter into non-cancelable purchase commitments with various parties to purchase primarily software-based services. As of January 31, 2026, we had outstanding non-cancelable purchase obligations with a term of less than 12 months of $241.3 million and non-cancelable purchase obligations with a term 12 months or longer of $202.9 million.</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 and Contingency</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67"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Sales and Other Tax Liabilities</w:t>
      </w:r>
    </w:p>
    <w:p>
      <w:pPr>
        <w:spacing w:after="0" w:line="121" w:lineRule="exact"/>
        <w:rPr>
          <w:sz w:val="20"/>
          <w:szCs w:val="20"/>
          <w:color w:val="auto"/>
        </w:rPr>
      </w:pPr>
    </w:p>
    <w:p>
      <w:pPr>
        <w:jc w:val="both"/>
        <w:ind w:firstLine="465"/>
        <w:spacing w:after="0" w:line="258" w:lineRule="auto"/>
        <w:rPr>
          <w:sz w:val="20"/>
          <w:szCs w:val="20"/>
          <w:color w:val="auto"/>
        </w:rPr>
      </w:pPr>
      <w:r>
        <w:rPr>
          <w:rFonts w:ascii="Times New Roman" w:cs="Times New Roman" w:eastAsia="Times New Roman" w:hAnsi="Times New Roman"/>
          <w:sz w:val="17"/>
          <w:szCs w:val="17"/>
          <w:color w:val="auto"/>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2026 and 2025, we recorded sales and other tax liabilities of $82.1 million and $83.3 million, respectively, of which $41.9 million and $41.8 million are included in accrued expenses and other current liabilities, respectively, and $40.2 million and $41.5 million are included in other liabilities, noncurrent, respectively, in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1"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sought documents and information relating to various security, data protection and privacy matters, including our encryption, and our statements relating thereto, as well as calculation of usage metrics and related public statements. In addition, the NDCA subpoena sought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During the fiscal year ended January 31, 2025, we recorded an $18.0 million accrual with respect to a tentative settlement offer for the SEC matter. On July 30, 2025, the SEC informed us that their investigation has concluded and they do not intend to recommend an enforcement action. As a result, during the three months ended July 31, 2025, we reversed the $18.0 million previously accrued. The EDNY and NDCA investigations are ongoing, and a negative outcome in any or all of these matters could cause us to incur substantial fines, penalties, or other financial exposure, as well as reputational harm. We do not know when the EDNY and NDCA matters will be completed, which facts we will ultimately discover as a result of the investigations, or what actions the government may or may not take. We are unable to predict the ultimate outcome of these matters and are unable to reasonably estimate any range of possible loss for these matters.</w:t>
      </w:r>
    </w:p>
    <w:p>
      <w:pPr>
        <w:spacing w:after="0" w:line="283"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On June 11, 2020 and July 30, 2020, purported shareholder derivative complaints were filed in the United States District Court for the District of Delaware against certain of our officers and directors. The lawsuits asserted state and federal claims and were based on the same alleged misstatements as the shareholder class action complaint. The lawsuits accused our board of directors of failing to exercise reasonable and prudent supervision over our management, policies, practices, and internal controls. The plaintiffs sought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required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 On December 22, 2023, plaintiff filed her opposition to the motion to dismiss, and on January 26, 2024, defendants filed their reply in support of the motion to dismiss. On April 1, 2024, the parties notified the court that the parties were engaged in good-faith, material settlement discussions, and requested that the court stay any proceedings and rulings in connection with the pending motion to dismiss while the parties attempted to reach a proposed resolution of this action. On April 2, 2024, the Court stayed the case. On January 14, 2025, the parties executed a Stipulation of Settlement (“Stipulation”) to resolve this matter. Under the terms of the Stipulation, in exchange for the release and dismissal with prejudice of all claims against all defendants in the matter, Zoom agreed to enact certain corporate governance reforms and to pay plaintiff’s counsel a fee of up to $1.35 million. On January 16, 2025, the plaintiff filed a motion for preliminary approval of the settlement. On February 6, 2025, the court held a hearing on the motion for preliminary approval of the settlement. On April 16, 2025, the court preliminarily approved the settlement. On June 24, 2025, the plaintiff filed a motion for final approval of the settlement. On July 31, 2025, the court approved the settlement and awarded plaintiff’s counsel $1.35 million in fees. We accrued the $1.35 million fee and recorded it as a general and administrative expense in our consolidated statement of operations for the year ended January 31, 2025.</w:t>
      </w:r>
    </w:p>
    <w:p>
      <w:pPr>
        <w:spacing w:after="0" w:line="85" w:lineRule="exact"/>
        <w:rPr>
          <w:sz w:val="20"/>
          <w:szCs w:val="20"/>
          <w:color w:val="auto"/>
        </w:rPr>
      </w:pPr>
    </w:p>
    <w:p>
      <w:pPr>
        <w:jc w:val="both"/>
        <w:ind w:firstLine="465"/>
        <w:spacing w:after="0" w:line="257" w:lineRule="auto"/>
        <w:rPr>
          <w:sz w:val="20"/>
          <w:szCs w:val="20"/>
          <w:color w:val="auto"/>
        </w:rPr>
      </w:pPr>
      <w:r>
        <w:rPr>
          <w:rFonts w:ascii="Times New Roman" w:cs="Times New Roman" w:eastAsia="Times New Roman" w:hAnsi="Times New Roman"/>
          <w:sz w:val="17"/>
          <w:szCs w:val="17"/>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“Stipulation”) to resolve this matter. Under the terms of the stipulation, in exchange for the release and dismissal with prejudice of all claims against all defendants in the matter, we have agreed to pay and/or cause our insurance carriers to pay a total of $150.0 million. On July 25, 2023, the court entered an order staying further proceedings in the matter pending the filing of a motion for preliminary approval of the settlement. On October 17, 2023, lead plaintiff filed a motion for preliminary approval of the settlement. On May 28, 2025, the court preliminarily approved the settlement. On July 18, 2025, lead plaintiff filed a motion for final approval of the settlement. On October 9, 2025, the court conducted a fairness hearing and indicated that lead plaintiff’s motion for final approval of the settlement would be granted by a separate order. On November 10, 2025, the court entered its final approval order and an order finally dismissing the matter with prejudice. As a result of the settlement, we made net payments of $60.0 million ($150.0 million for the settlement net of $90.0 million covered by insurance) during the year ended January 31, 2024, of which $7.5 million had been accrued during the year ended January 31, 2023 and $52.5 million was recorded as a general and administrative expense in our consolidated statement of operations for the year ended January 31, 2024.</w:t>
      </w:r>
    </w:p>
    <w:p>
      <w:pPr>
        <w:spacing w:after="0" w:line="73"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tab/>
        <w:t>Stockholders’ Equity and Equity Incentive Plans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Dual-Class Common Stock Structure</w:t>
      </w:r>
    </w:p>
    <w:p>
      <w:pPr>
        <w:spacing w:after="0" w:line="121"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82"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Upon the effectiveness of the amended and restated certificate of incorporation in November 2018, the number of shares of common stock that are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have the following shares of Class A common stock reserved for future issuance: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tcPr>
          <w:p>
            <w:pPr>
              <w:spacing w:after="0"/>
              <w:rPr>
                <w:sz w:val="15"/>
                <w:szCs w:val="15"/>
                <w:color w:val="auto"/>
              </w:rPr>
            </w:pPr>
          </w:p>
        </w:tc>
        <w:tc>
          <w:tcPr>
            <w:tcW w:w="258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220" w:type="dxa"/>
            <w:vAlign w:val="bottom"/>
          </w:tcPr>
          <w:p>
            <w:pPr>
              <w:spacing w:after="0"/>
              <w:rPr>
                <w:sz w:val="15"/>
                <w:szCs w:val="15"/>
                <w:color w:val="auto"/>
              </w:rPr>
            </w:pPr>
          </w:p>
        </w:tc>
      </w:tr>
      <w:tr>
        <w:trPr>
          <w:trHeight w:val="23"/>
        </w:trPr>
        <w:tc>
          <w:tcPr>
            <w:tcW w:w="74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74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1,542,753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2,394,918</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20,106,305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23,870,513</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 purchase rights outstanding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1,293,529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2,311,567</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Remaining shares available for future issuance under the 2011 and 2019 plan</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66,954,929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56,022,675</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shares available for future issuance under the ESPP</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20,664,260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18,807,595</w:t>
            </w:r>
          </w:p>
        </w:tc>
      </w:tr>
      <w:tr>
        <w:trPr>
          <w:trHeight w:val="213"/>
        </w:trPr>
        <w:tc>
          <w:tcPr>
            <w:tcW w:w="74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shares of Class A common stock reserved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110,561,776</w:t>
            </w: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103,407,268</w:t>
            </w:r>
          </w:p>
        </w:tc>
      </w:tr>
      <w:tr>
        <w:trPr>
          <w:trHeight w:val="20"/>
        </w:trPr>
        <w:tc>
          <w:tcPr>
            <w:tcW w:w="74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Plan</w:t>
      </w:r>
    </w:p>
    <w:p>
      <w:pPr>
        <w:spacing w:after="0" w:line="108" w:lineRule="exact"/>
        <w:rPr>
          <w:sz w:val="20"/>
          <w:szCs w:val="20"/>
          <w:color w:val="auto"/>
        </w:rPr>
      </w:pPr>
    </w:p>
    <w:p>
      <w:pPr>
        <w:jc w:val="both"/>
        <w:ind w:firstLine="465"/>
        <w:spacing w:after="0" w:line="232" w:lineRule="auto"/>
        <w:rPr>
          <w:sz w:val="20"/>
          <w:szCs w:val="20"/>
          <w:color w:val="auto"/>
        </w:rPr>
      </w:pPr>
      <w:r>
        <w:rPr>
          <w:rFonts w:ascii="Times New Roman" w:cs="Times New Roman" w:eastAsia="Times New Roman" w:hAnsi="Times New Roman"/>
          <w:sz w:val="17"/>
          <w:szCs w:val="17"/>
          <w:color w:val="auto"/>
        </w:rPr>
        <w:t>In February 2024, our Board of Directors authorized a stock repurchase program of up to $1.5 billion of our Class A common stock. In November 2024, our Board of Directors authorized the repurchase of an additional $1.2 billion of our outstanding Class A common stock. In November 2025, our Board of Directors authorized the repurchase of an additional $1.0 billion of our outstanding Class A common stock. Repurchases of our Class A common stock may be effected from time to time, either on the open market (including preset trading plans), in privately negotiated transactions, and other transactions in accordance with applicable securities laws. The program does not obligate us to repurchase any specific number of shares and may be discontinued at any time.</w:t>
      </w:r>
    </w:p>
    <w:p>
      <w:pPr>
        <w:spacing w:after="0" w:line="76"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the fiscal year ended January 31, 2026, we repurchased and subsequently retired 20,385,361 shares of our Class A common stock for an aggregate amount of $1.6 billion. As of January 31, 2026, $1.0 billion of the repurchase authorization remained available.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121"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67" w:lineRule="exact"/>
        <w:rPr>
          <w:sz w:val="20"/>
          <w:szCs w:val="20"/>
          <w:color w:val="auto"/>
        </w:rPr>
      </w:pPr>
    </w:p>
    <w:p>
      <w:pPr>
        <w:jc w:val="both"/>
        <w:ind w:firstLine="465"/>
        <w:spacing w:after="0" w:line="256" w:lineRule="auto"/>
        <w:rPr>
          <w:sz w:val="20"/>
          <w:szCs w:val="20"/>
          <w:color w:val="auto"/>
        </w:rPr>
      </w:pPr>
      <w:r>
        <w:rPr>
          <w:rFonts w:ascii="Times New Roman" w:cs="Times New Roman" w:eastAsia="Times New Roman" w:hAnsi="Times New Roman"/>
          <w:sz w:val="17"/>
          <w:szCs w:val="17"/>
          <w:color w:val="auto"/>
        </w:rPr>
        <w:t>In April 2019, we adopted the 2019 Plan, which became effective in connection with our IPO. Our 2019 Plan provides for the grant of stock options, stock appreciation rights, RSU awards, performance awards, and other forms of awards. The awards generally vest over four years. The plan administrator determines the term of stock options granted under the 2019 Plan, up to a maximum of 10 years.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stock option activity under our equity incentive plan and related information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Stock Options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5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48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2"/>
                <w:szCs w:val="12"/>
                <w:color w:val="auto"/>
              </w:rPr>
            </w:pPr>
          </w:p>
        </w:tc>
        <w:tc>
          <w:tcPr>
            <w:tcW w:w="1140" w:type="dxa"/>
            <w:vAlign w:val="bottom"/>
            <w:vMerge w:val="restart"/>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260" w:type="dxa"/>
            <w:vAlign w:val="bottom"/>
          </w:tcPr>
          <w:p>
            <w:pPr>
              <w:spacing w:after="0"/>
              <w:rPr>
                <w:sz w:val="12"/>
                <w:szCs w:val="12"/>
                <w:color w:val="auto"/>
              </w:rPr>
            </w:pPr>
          </w:p>
        </w:tc>
        <w:tc>
          <w:tcPr>
            <w:tcW w:w="1140" w:type="dxa"/>
            <w:vAlign w:val="bottom"/>
          </w:tcPr>
          <w:p>
            <w:pPr>
              <w:jc w:val="center"/>
              <w:ind w:right="183"/>
              <w:spacing w:after="0" w:line="142"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(Years)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08"/>
        </w:trPr>
        <w:tc>
          <w:tcPr>
            <w:tcW w:w="5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 except share, life and per share data)</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January 31, 2025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2,394,918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187,284</w:t>
            </w:r>
          </w:p>
        </w:tc>
        <w:tc>
          <w:tcPr>
            <w:tcW w:w="0" w:type="dxa"/>
            <w:vAlign w:val="bottom"/>
          </w:tcPr>
          <w:p>
            <w:pPr>
              <w:spacing w:after="0"/>
              <w:rPr>
                <w:sz w:val="1"/>
                <w:szCs w:val="1"/>
                <w:color w:val="auto"/>
              </w:rPr>
            </w:pPr>
          </w:p>
        </w:tc>
      </w:tr>
      <w:tr>
        <w:trPr>
          <w:trHeight w:val="220"/>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(842,567)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66,978</w:t>
            </w:r>
          </w:p>
        </w:tc>
        <w:tc>
          <w:tcPr>
            <w:tcW w:w="0" w:type="dxa"/>
            <w:vAlign w:val="bottom"/>
          </w:tcPr>
          <w:p>
            <w:pPr>
              <w:spacing w:after="0"/>
              <w:rPr>
                <w:sz w:val="1"/>
                <w:szCs w:val="1"/>
                <w:color w:val="auto"/>
              </w:rPr>
            </w:pPr>
          </w:p>
        </w:tc>
      </w:tr>
      <w:tr>
        <w:trPr>
          <w:trHeight w:val="220"/>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Canceled/forfeited/expired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94.87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and Exercisable as of January 31, 2026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1,542,753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124,080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There were no options granted for the fiscal years ended January 31, 2026, 2025 and 2024. The intrinsic value of the options exercised, which represents the difference between the fair market value of our common stock on the date of exercise and the exercise price of each option, was $67.0 million, $62.1 million, and $90.0 million during the fiscal years ended January 31, 2026, 2025, and 2024, respectively. As of January 31, 2026, all options have vested and there is no unrecognized stock-based compensation expense remaining.</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RSU activity under our equity incentive plan and related information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80" w:type="dxa"/>
            <w:vAlign w:val="bottom"/>
          </w:tcPr>
          <w:p>
            <w:pPr>
              <w:spacing w:after="0"/>
              <w:rPr>
                <w:sz w:val="15"/>
                <w:szCs w:val="15"/>
                <w:color w:val="auto"/>
              </w:rPr>
            </w:pPr>
          </w:p>
        </w:tc>
        <w:tc>
          <w:tcPr>
            <w:tcW w:w="19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7880" w:type="dxa"/>
            <w:vAlign w:val="bottom"/>
          </w:tcPr>
          <w:p>
            <w:pPr>
              <w:spacing w:after="0"/>
              <w:rPr>
                <w:sz w:val="10"/>
                <w:szCs w:val="10"/>
                <w:color w:val="auto"/>
              </w:rPr>
            </w:pPr>
          </w:p>
        </w:tc>
        <w:tc>
          <w:tcPr>
            <w:tcW w:w="164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center"/>
              <w:ind w:right="119"/>
              <w:spacing w:after="0" w:line="123"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Grant Date Fair Value Per</w:t>
            </w:r>
          </w:p>
        </w:tc>
        <w:tc>
          <w:tcPr>
            <w:tcW w:w="0" w:type="dxa"/>
            <w:vAlign w:val="bottom"/>
          </w:tcPr>
          <w:p>
            <w:pPr>
              <w:spacing w:after="0"/>
              <w:rPr>
                <w:sz w:val="1"/>
                <w:szCs w:val="1"/>
                <w:color w:val="auto"/>
              </w:rPr>
            </w:pPr>
          </w:p>
        </w:tc>
      </w:tr>
      <w:tr>
        <w:trPr>
          <w:trHeight w:val="188"/>
        </w:trPr>
        <w:tc>
          <w:tcPr>
            <w:tcW w:w="78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January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23,870,513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73.48</w:t>
            </w:r>
          </w:p>
        </w:tc>
        <w:tc>
          <w:tcPr>
            <w:tcW w:w="0" w:type="dxa"/>
            <w:vAlign w:val="bottom"/>
          </w:tcPr>
          <w:p>
            <w:pPr>
              <w:spacing w:after="0"/>
              <w:rPr>
                <w:sz w:val="1"/>
                <w:szCs w:val="1"/>
                <w:color w:val="auto"/>
              </w:rPr>
            </w:pPr>
          </w:p>
        </w:tc>
      </w:tr>
      <w:tr>
        <w:trPr>
          <w:trHeight w:val="220"/>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10,695,967</w:t>
            </w:r>
          </w:p>
        </w:tc>
        <w:tc>
          <w:tcPr>
            <w:tcW w:w="28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80.21</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(11,309,015)</w:t>
            </w: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w:t>
            </w:r>
          </w:p>
        </w:tc>
        <w:tc>
          <w:tcPr>
            <w:tcW w:w="0" w:type="dxa"/>
            <w:vAlign w:val="bottom"/>
          </w:tcPr>
          <w:p>
            <w:pPr>
              <w:spacing w:after="0"/>
              <w:rPr>
                <w:sz w:val="1"/>
                <w:szCs w:val="1"/>
                <w:color w:val="auto"/>
              </w:rPr>
            </w:pPr>
          </w:p>
        </w:tc>
      </w:tr>
      <w:tr>
        <w:trPr>
          <w:trHeight w:val="220"/>
        </w:trPr>
        <w:tc>
          <w:tcPr>
            <w:tcW w:w="7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(3,151,160)</w:t>
            </w:r>
          </w:p>
        </w:tc>
        <w:tc>
          <w:tcPr>
            <w:tcW w:w="280" w:type="dxa"/>
            <w:vAlign w:val="bottom"/>
            <w:tcBorders>
              <w:bottom w:val="single" w:sz="8" w:color="CCEEFF"/>
            </w:tcBorders>
            <w:gridSpan w:val="2"/>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as of January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20,106,305</w:t>
            </w:r>
          </w:p>
        </w:tc>
        <w:tc>
          <w:tcPr>
            <w:tcW w:w="280" w:type="dxa"/>
            <w:vAlign w:val="bottom"/>
            <w:tcBorders>
              <w:bottom w:val="single" w:sz="8" w:color="CCEEFF"/>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As of January 31, 2026, unrecognized stock-based compensation expense related to outstanding unvested RSUs was $1,391.3 million, which is expected to be recognized over a weighted-average period of 2.8 years.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2019 Employee Stock Purchase Plan</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70" w:lineRule="exact"/>
        <w:rPr>
          <w:sz w:val="20"/>
          <w:szCs w:val="20"/>
          <w:color w:val="auto"/>
        </w:rPr>
      </w:pPr>
    </w:p>
    <w:p>
      <w:pPr>
        <w:jc w:val="both"/>
        <w:ind w:firstLine="465"/>
        <w:spacing w:after="0" w:line="248" w:lineRule="auto"/>
        <w:rPr>
          <w:sz w:val="20"/>
          <w:szCs w:val="20"/>
          <w:color w:val="auto"/>
        </w:rPr>
      </w:pPr>
      <w:r>
        <w:rPr>
          <w:rFonts w:ascii="Times New Roman" w:cs="Times New Roman" w:eastAsia="Times New Roman" w:hAnsi="Times New Roman"/>
          <w:sz w:val="17"/>
          <w:szCs w:val="17"/>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 ended January 31, 2026, 2025, and 2024, 1,200,743, 1,066,977, and 921,892 shares, respectively, of our Class A common stock were purchased under the ESPP.</w:t>
      </w:r>
    </w:p>
    <w:p>
      <w:pPr>
        <w:spacing w:after="0" w:line="85"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As of January 31, 2026, unrecognized stock-based compensation expense related to the ESPP was $15.5 million, which is expected to be recognized over a weighted-average period of 1.1 years.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59"/>
        </w:trPr>
        <w:tc>
          <w:tcPr>
            <w:tcW w:w="37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We  estimated  the  fair  value  of  ESPP</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purchase  rights  using</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  Black-Scholes</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option-pricing  model  with</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following</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9"/>
              </w:rPr>
              <w:t>assumptions:</w:t>
            </w:r>
          </w:p>
        </w:tc>
      </w:tr>
      <w:tr>
        <w:trPr>
          <w:trHeight w:val="184"/>
        </w:trPr>
        <w:tc>
          <w:tcPr>
            <w:tcW w:w="1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1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181"/>
        </w:trPr>
        <w:tc>
          <w:tcPr>
            <w:tcW w:w="122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180" w:type="dxa"/>
            <w:vAlign w:val="bottom"/>
            <w:tcBorders>
              <w:top w:val="single" w:sz="8" w:color="auto"/>
              <w:bottom w:val="single" w:sz="8" w:color="auto"/>
            </w:tcBorders>
            <w:gridSpan w:val="2"/>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80" w:type="dxa"/>
            <w:vAlign w:val="bottom"/>
            <w:tcBorders>
              <w:top w:val="single" w:sz="8" w:color="auto"/>
              <w:bottom w:val="single" w:sz="8" w:color="auto"/>
            </w:tcBorders>
            <w:gridSpan w:val="2"/>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21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8"/>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w:t>
            </w:r>
          </w:p>
        </w:tc>
      </w:tr>
      <w:tr>
        <w:trPr>
          <w:trHeight w:val="22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- 33.0%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- 43.3%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57.6%</w:t>
            </w:r>
          </w:p>
        </w:tc>
      </w:tr>
      <w:tr>
        <w:trPr>
          <w:trHeight w:val="22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- 5.4%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w:t>
            </w: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820" w:type="dxa"/>
            <w:vAlign w:val="bottom"/>
          </w:tcPr>
          <w:p>
            <w:pPr>
              <w:spacing w:after="0"/>
              <w:rPr>
                <w:sz w:val="19"/>
                <w:szCs w:val="19"/>
                <w:color w:val="auto"/>
              </w:rPr>
            </w:pPr>
          </w:p>
        </w:tc>
        <w:tc>
          <w:tcPr>
            <w:tcW w:w="238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color w:val="auto"/>
              </w:rPr>
              <w:t>—</w:t>
            </w:r>
          </w:p>
        </w:tc>
        <w:tc>
          <w:tcPr>
            <w:tcW w:w="21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auto"/>
                <w:w w:val="93"/>
              </w:rPr>
              <w:t>—</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w:t>
            </w:r>
          </w:p>
        </w:tc>
      </w:tr>
    </w:tbl>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Shares Reserved for Charitable Donations</w:t>
      </w:r>
    </w:p>
    <w:p>
      <w:pPr>
        <w:spacing w:after="0" w:line="121" w:lineRule="exact"/>
        <w:rPr>
          <w:sz w:val="20"/>
          <w:szCs w:val="20"/>
          <w:color w:val="auto"/>
        </w:rPr>
      </w:pPr>
    </w:p>
    <w:p>
      <w:pPr>
        <w:jc w:val="both"/>
        <w:ind w:firstLine="465"/>
        <w:spacing w:after="0" w:line="262" w:lineRule="auto"/>
        <w:rPr>
          <w:sz w:val="20"/>
          <w:szCs w:val="20"/>
          <w:color w:val="auto"/>
        </w:rPr>
      </w:pPr>
      <w:r>
        <w:rPr>
          <w:rFonts w:ascii="Times New Roman" w:cs="Times New Roman" w:eastAsia="Times New Roman" w:hAnsi="Times New Roman"/>
          <w:sz w:val="17"/>
          <w:szCs w:val="17"/>
          <w:color w:val="auto"/>
        </w:rPr>
        <w:t>During fiscal year 2020, our board of directors approved the issuance of 500,000 shares of Class A common stock for the sole purpose of being transferred to nonprofit organizations. Prior to fiscal year 2026, we transferred a total of 94,844 shares to a donor-advised fund through an unaffiliated nonprofit organization. For the fiscal year ended January 31, 2026, 240,964 shares of Class A common stock were transferred to the same organization. As of January 31, 2026, 164,192 shares remain available for future issuance under this authorization. We recorded a non-cash charge of $20.9 million for the fair value of the donated shares, which was recorded in general and administrative expense in the consolidated statements of operations for the fiscal year ended January 31, 2026.</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stock-based compensation expense by line item in the accompanying consolidated statements of operations is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
        </w:trPr>
        <w:tc>
          <w:tcPr>
            <w:tcW w:w="6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6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6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
        </w:trPr>
        <w:tc>
          <w:tcPr>
            <w:tcW w:w="6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7"/>
                <w:szCs w:val="17"/>
                <w:color w:val="auto"/>
              </w:rPr>
              <w:t>124,561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143,798</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ind w:left="739"/>
              <w:spacing w:after="0"/>
              <w:rPr>
                <w:sz w:val="20"/>
                <w:szCs w:val="20"/>
                <w:color w:val="auto"/>
              </w:rPr>
            </w:pPr>
            <w:r>
              <w:rPr>
                <w:rFonts w:ascii="Times New Roman" w:cs="Times New Roman" w:eastAsia="Times New Roman" w:hAnsi="Times New Roman"/>
                <w:sz w:val="17"/>
                <w:szCs w:val="17"/>
                <w:color w:val="auto"/>
              </w:rPr>
              <w:t>333,767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336,309</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7"/>
                <w:szCs w:val="17"/>
                <w:color w:val="auto"/>
              </w:rPr>
              <w:t>319,631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381,298</w:t>
            </w:r>
          </w:p>
        </w:tc>
      </w:tr>
      <w:tr>
        <w:trPr>
          <w:trHeight w:val="22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739"/>
              <w:spacing w:after="0"/>
              <w:rPr>
                <w:sz w:val="20"/>
                <w:szCs w:val="20"/>
                <w:color w:val="auto"/>
              </w:rPr>
            </w:pPr>
            <w:r>
              <w:rPr>
                <w:rFonts w:ascii="Times New Roman" w:cs="Times New Roman" w:eastAsia="Times New Roman" w:hAnsi="Times New Roman"/>
                <w:sz w:val="17"/>
                <w:szCs w:val="17"/>
                <w:color w:val="auto"/>
              </w:rPr>
              <w:t>153,350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195,756</w:t>
            </w:r>
          </w:p>
        </w:tc>
      </w:tr>
      <w:tr>
        <w:trPr>
          <w:trHeight w:val="213"/>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739"/>
              <w:spacing w:after="0"/>
              <w:rPr>
                <w:sz w:val="20"/>
                <w:szCs w:val="20"/>
                <w:color w:val="auto"/>
              </w:rPr>
            </w:pPr>
            <w:r>
              <w:rPr>
                <w:rFonts w:ascii="Times New Roman" w:cs="Times New Roman" w:eastAsia="Times New Roman" w:hAnsi="Times New Roman"/>
                <w:sz w:val="17"/>
                <w:szCs w:val="17"/>
                <w:color w:val="auto"/>
              </w:rPr>
              <w:t>931,309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1,057,161</w:t>
            </w:r>
          </w:p>
        </w:tc>
      </w:tr>
      <w:tr>
        <w:trPr>
          <w:trHeight w:val="22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Benefit from income taxes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(143,661)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7"/>
                <w:szCs w:val="17"/>
                <w:color w:val="auto"/>
                <w:w w:val="99"/>
              </w:rPr>
              <w:t>(176,463)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(197,068)</w:t>
            </w:r>
          </w:p>
        </w:tc>
      </w:tr>
      <w:tr>
        <w:trPr>
          <w:trHeight w:val="238"/>
        </w:trPr>
        <w:tc>
          <w:tcPr>
            <w:tcW w:w="6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 recorded to net income</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617,115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center"/>
              <w:ind w:left="739"/>
              <w:spacing w:after="0"/>
              <w:rPr>
                <w:sz w:val="20"/>
                <w:szCs w:val="20"/>
                <w:color w:val="auto"/>
              </w:rPr>
            </w:pPr>
            <w:r>
              <w:rPr>
                <w:rFonts w:ascii="Times New Roman" w:cs="Times New Roman" w:eastAsia="Times New Roman" w:hAnsi="Times New Roman"/>
                <w:sz w:val="17"/>
                <w:szCs w:val="17"/>
                <w:color w:val="auto"/>
              </w:rPr>
              <w:t>754,846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860,093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net income before the provision for income taxes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1,238,452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792,495</w:t>
            </w:r>
          </w:p>
        </w:tc>
      </w:tr>
      <w:tr>
        <w:trPr>
          <w:trHeight w:val="22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77,132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39,817</w:t>
            </w:r>
          </w:p>
        </w:tc>
      </w:tr>
      <w:tr>
        <w:trPr>
          <w:trHeight w:val="238"/>
        </w:trPr>
        <w:tc>
          <w:tcPr>
            <w:tcW w:w="6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2,422,285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1,315,584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provision for income taxes was as follows: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Ended January 31,</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8"/>
        </w:trPr>
        <w:tc>
          <w:tcPr>
            <w:tcW w:w="6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
        </w:trPr>
        <w:tc>
          <w:tcPr>
            <w:tcW w:w="6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342,568</w:t>
            </w:r>
          </w:p>
        </w:tc>
        <w:tc>
          <w:tcPr>
            <w:tcW w:w="100" w:type="dxa"/>
            <w:vAlign w:val="bottom"/>
          </w:tcPr>
          <w:p>
            <w:pPr>
              <w:spacing w:after="0"/>
              <w:rPr>
                <w:sz w:val="19"/>
                <w:szCs w:val="19"/>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323,625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257,913</w:t>
            </w:r>
          </w:p>
        </w:tc>
      </w:tr>
      <w:tr>
        <w:trPr>
          <w:trHeight w:val="22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44,457</w:t>
            </w:r>
          </w:p>
        </w:tc>
      </w:tr>
      <w:tr>
        <w:trPr>
          <w:trHeight w:val="220"/>
        </w:trPr>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9,159</w:t>
            </w:r>
          </w:p>
        </w:tc>
      </w:tr>
      <w:tr>
        <w:trPr>
          <w:trHeight w:val="213"/>
        </w:trPr>
        <w:tc>
          <w:tcPr>
            <w:tcW w:w="6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income tax expense</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417,102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311,529</w:t>
            </w:r>
          </w:p>
        </w:tc>
      </w:tr>
      <w:tr>
        <w:trPr>
          <w:trHeight w:val="200"/>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Federal</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(88,110)</w:t>
            </w:r>
          </w:p>
        </w:tc>
      </w:tr>
      <w:tr>
        <w:trPr>
          <w:trHeight w:val="220"/>
        </w:trPr>
        <w:tc>
          <w:tcPr>
            <w:tcW w:w="6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State</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(20,201)</w:t>
            </w:r>
          </w:p>
        </w:tc>
      </w:tr>
      <w:tr>
        <w:trPr>
          <w:trHeight w:val="22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(8,368)</w:t>
            </w:r>
          </w:p>
        </w:tc>
      </w:tr>
      <w:tr>
        <w:trPr>
          <w:trHeight w:val="213"/>
        </w:trPr>
        <w:tc>
          <w:tcPr>
            <w:tcW w:w="64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deferred income tax expense</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(116,679)</w:t>
            </w: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522,137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194,850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 reconciliation of the provision for income taxes to the amount computed by applying the 21% statutory U.S. federal income tax rate to income before income taxes after the adoption of ASU 2023-09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20" w:type="dxa"/>
            <w:vAlign w:val="bottom"/>
            <w:tcBorders>
              <w:bottom w:val="single" w:sz="8" w:color="CCEEFF"/>
            </w:tcBorders>
          </w:tcPr>
          <w:p>
            <w:pPr>
              <w:spacing w:after="0"/>
              <w:rPr>
                <w:sz w:val="17"/>
                <w:szCs w:val="17"/>
                <w:color w:val="auto"/>
              </w:rPr>
            </w:pPr>
          </w:p>
        </w:tc>
        <w:tc>
          <w:tcPr>
            <w:tcW w:w="3100" w:type="dxa"/>
            <w:vAlign w:val="bottom"/>
            <w:tcBorders>
              <w:top w:val="single" w:sz="8" w:color="auto"/>
              <w:bottom w:val="single" w:sz="8" w:color="auto"/>
            </w:tcBorders>
            <w:gridSpan w:val="4"/>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w w:val="96"/>
              </w:rPr>
              <w:t>Year Ended January 31, 2026</w:t>
            </w:r>
          </w:p>
        </w:tc>
        <w:tc>
          <w:tcPr>
            <w:tcW w:w="620" w:type="dxa"/>
            <w:vAlign w:val="bottom"/>
            <w:tcBorders>
              <w:top w:val="single" w:sz="8" w:color="auto"/>
              <w:bottom w:val="single" w:sz="8" w:color="auto"/>
            </w:tcBorders>
          </w:tcPr>
          <w:p>
            <w:pPr>
              <w:spacing w:after="0"/>
              <w:rPr>
                <w:sz w:val="17"/>
                <w:szCs w:val="17"/>
                <w:color w:val="auto"/>
              </w:rPr>
            </w:pPr>
          </w:p>
        </w:tc>
      </w:tr>
      <w:tr>
        <w:trPr>
          <w:trHeight w:val="192"/>
        </w:trPr>
        <w:tc>
          <w:tcPr>
            <w:tcW w:w="7520" w:type="dxa"/>
            <w:vAlign w:val="bottom"/>
            <w:shd w:val="clear" w:color="auto" w:fill="CCEEFF"/>
          </w:tcPr>
          <w:p>
            <w:pPr>
              <w:spacing w:after="0"/>
              <w:rPr>
                <w:sz w:val="16"/>
                <w:szCs w:val="16"/>
                <w:color w:val="auto"/>
              </w:rPr>
            </w:pPr>
          </w:p>
        </w:tc>
        <w:tc>
          <w:tcPr>
            <w:tcW w:w="3100" w:type="dxa"/>
            <w:vAlign w:val="bottom"/>
            <w:gridSpan w:val="4"/>
            <w:shd w:val="clear" w:color="auto" w:fill="CCEEFF"/>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620" w:type="dxa"/>
            <w:vAlign w:val="bottom"/>
            <w:shd w:val="clear" w:color="auto" w:fill="CCEEFF"/>
          </w:tcPr>
          <w:p>
            <w:pPr>
              <w:spacing w:after="0"/>
              <w:rPr>
                <w:sz w:val="16"/>
                <w:szCs w:val="16"/>
                <w:color w:val="auto"/>
              </w:rPr>
            </w:pPr>
          </w:p>
        </w:tc>
      </w:tr>
      <w:tr>
        <w:trPr>
          <w:trHeight w:val="188"/>
        </w:trPr>
        <w:tc>
          <w:tcPr>
            <w:tcW w:w="7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20" w:type="dxa"/>
            <w:vAlign w:val="bottom"/>
          </w:tcPr>
          <w:p>
            <w:pPr>
              <w:spacing w:after="0"/>
              <w:rPr>
                <w:sz w:val="16"/>
                <w:szCs w:val="16"/>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508,680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75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State and local income tax, net of federal income tax effect</w:t>
            </w:r>
            <w:r>
              <w:rPr>
                <w:rFonts w:ascii="Times New Roman" w:cs="Times New Roman" w:eastAsia="Times New Roman" w:hAnsi="Times New Roman"/>
                <w:sz w:val="22"/>
                <w:szCs w:val="22"/>
                <w:color w:val="auto"/>
                <w:vertAlign w:val="superscript"/>
              </w:rPr>
              <w:t>(a)</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w:t>
            </w: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effects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0"/>
        </w:trPr>
        <w:tc>
          <w:tcPr>
            <w:tcW w:w="75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0"/>
        </w:trPr>
        <w:tc>
          <w:tcPr>
            <w:tcW w:w="75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Foreign-derived intangible income deduction</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(42,360)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7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effect of cross-border tax laws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7520" w:type="dxa"/>
            <w:vAlign w:val="bottom"/>
            <w:shd w:val="clear" w:color="auto" w:fill="CCEEFF"/>
          </w:tcPr>
          <w:p>
            <w:pPr>
              <w:ind w:left="300"/>
              <w:spacing w:after="0" w:line="220" w:lineRule="exact"/>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(b)</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7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Research and development tax credits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(34,347)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w:t>
            </w:r>
          </w:p>
        </w:tc>
      </w:tr>
      <w:tr>
        <w:trPr>
          <w:trHeight w:val="22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522,137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40" w:hanging="137"/>
        <w:spacing w:after="0"/>
        <w:tabs>
          <w:tab w:leader="none" w:pos="14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jurisdictions that contribute to the majority of the tax effect in this category are California, Massachusetts, New Jersey, New York, and Virginia.</w:t>
      </w:r>
    </w:p>
    <w:p>
      <w:pPr>
        <w:spacing w:after="0" w:line="9" w:lineRule="exact"/>
        <w:rPr>
          <w:rFonts w:ascii="Times New Roman" w:cs="Times New Roman" w:eastAsia="Times New Roman" w:hAnsi="Times New Roman"/>
          <w:sz w:val="18"/>
          <w:szCs w:val="18"/>
          <w:color w:val="auto"/>
          <w:vertAlign w:val="superscript"/>
        </w:rPr>
      </w:pPr>
    </w:p>
    <w:p>
      <w:pPr>
        <w:ind w:firstLine="3"/>
        <w:spacing w:after="0" w:line="211" w:lineRule="auto"/>
        <w:tabs>
          <w:tab w:leader="none" w:pos="173"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amounts related to non-deductible stock-based compensation, including non-deductible executive compensation, in addition to excess tax benefits or shortfalls from stock-based compensation. Out of total stock-based compensation, $36.8 million is related to excess tax benefits on current year vested and exercised awards.</w:t>
      </w:r>
    </w:p>
    <w:p>
      <w:pPr>
        <w:spacing w:after="0" w:line="81"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A reconciliation of the provision for income taxes to the amount computed by applying the 21% statutory U.S. federal income tax rate to income before income taxes for years prior to the adoption of ASU 2023-09 is as follows: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80" w:type="dxa"/>
            <w:vAlign w:val="bottom"/>
          </w:tcPr>
          <w:p>
            <w:pPr>
              <w:spacing w:after="0"/>
              <w:rPr>
                <w:sz w:val="15"/>
                <w:szCs w:val="15"/>
                <w:color w:val="auto"/>
              </w:rPr>
            </w:pPr>
          </w:p>
        </w:tc>
      </w:tr>
      <w:tr>
        <w:trPr>
          <w:trHeight w:val="23"/>
        </w:trPr>
        <w:tc>
          <w:tcPr>
            <w:tcW w:w="7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7"/>
        </w:trPr>
        <w:tc>
          <w:tcPr>
            <w:tcW w:w="7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r>
      <w:tr>
        <w:trPr>
          <w:trHeight w:val="23"/>
        </w:trPr>
        <w:tc>
          <w:tcPr>
            <w:tcW w:w="74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7"/>
        </w:trPr>
        <w:tc>
          <w:tcPr>
            <w:tcW w:w="7400" w:type="dxa"/>
            <w:vAlign w:val="bottom"/>
            <w:shd w:val="clear" w:color="auto" w:fill="CCEEFF"/>
          </w:tcPr>
          <w:p>
            <w:pPr>
              <w:spacing w:after="0"/>
              <w:rPr>
                <w:sz w:val="16"/>
                <w:szCs w:val="16"/>
                <w:color w:val="auto"/>
              </w:rPr>
            </w:pPr>
          </w:p>
        </w:tc>
        <w:tc>
          <w:tcPr>
            <w:tcW w:w="3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80" w:type="dxa"/>
            <w:vAlign w:val="bottom"/>
            <w:shd w:val="clear" w:color="auto" w:fill="CCEEFF"/>
          </w:tcPr>
          <w:p>
            <w:pPr>
              <w:spacing w:after="0"/>
              <w:rPr>
                <w:sz w:val="16"/>
                <w:szCs w:val="16"/>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at federal statutory rate</w:t>
            </w:r>
          </w:p>
        </w:tc>
        <w:tc>
          <w:tcPr>
            <w:tcW w:w="1100" w:type="dxa"/>
            <w:vAlign w:val="bottom"/>
          </w:tcPr>
          <w:p>
            <w:pPr>
              <w:jc w:val="right"/>
              <w:ind w:right="90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7"/>
              </w:rPr>
              <w:t>276,270</w:t>
            </w:r>
          </w:p>
        </w:tc>
        <w:tc>
          <w:tcPr>
            <w:tcW w:w="100" w:type="dxa"/>
            <w:vAlign w:val="bottom"/>
          </w:tcPr>
          <w:p>
            <w:pPr>
              <w:spacing w:after="0"/>
              <w:rPr>
                <w:sz w:val="19"/>
                <w:szCs w:val="19"/>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174,785</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56,336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37,137</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1100" w:type="dxa"/>
            <w:vAlign w:val="bottom"/>
          </w:tcPr>
          <w:p>
            <w:pPr>
              <w:spacing w:after="0"/>
              <w:rPr>
                <w:sz w:val="19"/>
                <w:szCs w:val="19"/>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2,943</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15,757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10,639</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00" w:type="dxa"/>
            <w:vAlign w:val="bottom"/>
          </w:tcPr>
          <w:p>
            <w:pPr>
              <w:spacing w:after="0"/>
              <w:rPr>
                <w:sz w:val="19"/>
                <w:szCs w:val="19"/>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58,770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96,936</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items</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10,371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4,016</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Foreign-derived intangible income deduction</w:t>
            </w:r>
          </w:p>
        </w:tc>
        <w:tc>
          <w:tcPr>
            <w:tcW w:w="110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(56,630)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(63,571)</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(49,813)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(39,226)</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uncertainties</w:t>
            </w:r>
          </w:p>
        </w:tc>
        <w:tc>
          <w:tcPr>
            <w:tcW w:w="1100" w:type="dxa"/>
            <w:vAlign w:val="bottom"/>
          </w:tcPr>
          <w:p>
            <w:pPr>
              <w:spacing w:after="0"/>
              <w:rPr>
                <w:sz w:val="19"/>
                <w:szCs w:val="19"/>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7,478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2,674</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(7,765)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(14,109)</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rate change</w:t>
            </w:r>
          </w:p>
        </w:tc>
        <w:tc>
          <w:tcPr>
            <w:tcW w:w="1100" w:type="dxa"/>
            <w:vAlign w:val="bottom"/>
          </w:tcPr>
          <w:p>
            <w:pPr>
              <w:spacing w:after="0"/>
              <w:rPr>
                <w:sz w:val="19"/>
                <w:szCs w:val="19"/>
                <w:color w:val="auto"/>
              </w:rPr>
            </w:pPr>
          </w:p>
        </w:tc>
        <w:tc>
          <w:tcPr>
            <w:tcW w:w="7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(3,993)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(6,803)</w:t>
            </w: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(10,570)</w:t>
            </w:r>
          </w:p>
        </w:tc>
      </w:tr>
      <w:tr>
        <w:trPr>
          <w:trHeight w:val="213"/>
        </w:trPr>
        <w:tc>
          <w:tcPr>
            <w:tcW w:w="74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7"/>
              </w:rPr>
              <w:t>305,346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194,850</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1"/>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Effective tax rate</w:t>
            </w:r>
          </w:p>
        </w:tc>
        <w:tc>
          <w:tcPr>
            <w:tcW w:w="1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23.4 %</w:t>
            </w:r>
          </w:p>
        </w:tc>
      </w:tr>
    </w:tbl>
    <w:p>
      <w:pPr>
        <w:spacing w:after="0" w:line="28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Deferred income taxes result from differences in the recognition of amounts for tax and financial reporting purposes, as well as operating loss and tax credit carryforwards. Significant components of our deferred income tax assets as of January 31, 2026 and 2025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5"/>
                <w:szCs w:val="15"/>
                <w:color w:val="auto"/>
              </w:rPr>
            </w:pPr>
          </w:p>
        </w:tc>
      </w:tr>
      <w:tr>
        <w:trPr>
          <w:trHeight w:val="23"/>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8"/>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8"/>
                <w:szCs w:val="18"/>
                <w:color w:val="auto"/>
              </w:rPr>
            </w:pPr>
          </w:p>
        </w:tc>
      </w:tr>
      <w:tr>
        <w:trPr>
          <w:trHeight w:val="23"/>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13,433</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7,362</w:t>
            </w:r>
          </w:p>
        </w:tc>
      </w:tr>
      <w:tr>
        <w:trPr>
          <w:trHeight w:val="22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 credit carryforwards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6,586</w:t>
            </w:r>
          </w:p>
        </w:tc>
      </w:tr>
      <w:tr>
        <w:trPr>
          <w:trHeight w:val="220"/>
        </w:trPr>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59,565</w:t>
            </w:r>
          </w:p>
        </w:tc>
      </w:tr>
      <w:tr>
        <w:trPr>
          <w:trHeight w:val="22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Accruals and reserves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43,953</w:t>
            </w:r>
          </w:p>
        </w:tc>
      </w:tr>
      <w:tr>
        <w:trPr>
          <w:trHeight w:val="220"/>
        </w:trPr>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328,114</w:t>
            </w:r>
          </w:p>
        </w:tc>
      </w:tr>
      <w:tr>
        <w:trPr>
          <w:trHeight w:val="22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Capitalized research expenditures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514,667</w:t>
            </w:r>
          </w:p>
        </w:tc>
      </w:tr>
      <w:tr>
        <w:trPr>
          <w:trHeight w:val="220"/>
        </w:trPr>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16,551</w:t>
            </w:r>
          </w:p>
        </w:tc>
      </w:tr>
      <w:tr>
        <w:trPr>
          <w:trHeight w:val="22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w:t>
            </w:r>
          </w:p>
        </w:tc>
      </w:tr>
      <w:tr>
        <w:trPr>
          <w:trHeight w:val="213"/>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1,094,565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979,755</w:t>
            </w:r>
          </w:p>
        </w:tc>
      </w:tr>
      <w:tr>
        <w:trPr>
          <w:trHeight w:val="220"/>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(28,990)</w:t>
            </w:r>
          </w:p>
        </w:tc>
      </w:tr>
      <w:tr>
        <w:trPr>
          <w:trHeight w:val="213"/>
        </w:trPr>
        <w:tc>
          <w:tcPr>
            <w:tcW w:w="76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1,083,539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950,765</w:t>
            </w:r>
          </w:p>
        </w:tc>
      </w:tr>
      <w:tr>
        <w:trPr>
          <w:trHeight w:val="245"/>
        </w:trPr>
        <w:tc>
          <w:tcPr>
            <w:tcW w:w="7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(38,343)</w:t>
            </w:r>
          </w:p>
        </w:tc>
      </w:tr>
      <w:tr>
        <w:trPr>
          <w:trHeight w:val="220"/>
        </w:trPr>
        <w:tc>
          <w:tcPr>
            <w:tcW w:w="7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contract acquisition costs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(76,439)</w:t>
            </w:r>
          </w:p>
        </w:tc>
      </w:tr>
      <w:tr>
        <w:trPr>
          <w:trHeight w:val="22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(14,233)</w:t>
            </w:r>
          </w:p>
        </w:tc>
      </w:tr>
      <w:tr>
        <w:trPr>
          <w:trHeight w:val="22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Strategic investments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(313,698)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(75,290)</w:t>
            </w:r>
          </w:p>
        </w:tc>
      </w:tr>
      <w:tr>
        <w:trPr>
          <w:trHeight w:val="213"/>
        </w:trPr>
        <w:tc>
          <w:tcPr>
            <w:tcW w:w="7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(439,684)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(204,305)</w:t>
            </w:r>
          </w:p>
        </w:tc>
      </w:tr>
      <w:tr>
        <w:trPr>
          <w:trHeight w:val="225"/>
        </w:trPr>
        <w:tc>
          <w:tcPr>
            <w:tcW w:w="7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643,855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746,460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55" w:lineRule="auto"/>
        <w:rPr>
          <w:sz w:val="20"/>
          <w:szCs w:val="20"/>
          <w:color w:val="auto"/>
        </w:rPr>
      </w:pPr>
      <w:r>
        <w:rPr>
          <w:rFonts w:ascii="Times New Roman" w:cs="Times New Roman" w:eastAsia="Times New Roman" w:hAnsi="Times New Roman"/>
          <w:sz w:val="17"/>
          <w:szCs w:val="17"/>
          <w:color w:val="auto"/>
        </w:rPr>
        <w:t>The realization of tax benefits of net deferred tax assets is dependent upon future levels of taxable income, of an appropriate character, in the periods the items are expected to be deductible or taxable. Based on the available objective evidence during the year ended January 31, 2026, we maintained a valuation allowance against certain equity investment deferred tax assets for both U.S. federal and state income tax purposes and intend to maintain the applicable valuation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allowance until sufficient positive evidence exists to support a reversal of, or decrease in, the valuation allowance. With respect to California state income taxes, after evaluating all available positive and negative evidence, we concluded that it is more likely than not that the California net deferred tax assets, other than those related to certain equity investments, will be realized. Accordingly, during the year ended January 31, 2026, we released the valuation allowance previously recorded against the California net deferred tax assets and recognized a non-recurring income tax benefit of $24.4 million related to the reversal.</w:t>
      </w:r>
    </w:p>
    <w:p>
      <w:pPr>
        <w:spacing w:after="0" w:line="80" w:lineRule="exact"/>
        <w:rPr>
          <w:sz w:val="20"/>
          <w:szCs w:val="20"/>
          <w:color w:val="auto"/>
        </w:rPr>
      </w:pPr>
    </w:p>
    <w:p>
      <w:pPr>
        <w:jc w:val="both"/>
        <w:ind w:firstLine="465"/>
        <w:spacing w:after="0" w:line="260" w:lineRule="auto"/>
        <w:rPr>
          <w:sz w:val="20"/>
          <w:szCs w:val="20"/>
          <w:color w:val="auto"/>
        </w:rPr>
      </w:pPr>
      <w:r>
        <w:rPr>
          <w:rFonts w:ascii="Times New Roman" w:cs="Times New Roman" w:eastAsia="Times New Roman" w:hAnsi="Times New Roman"/>
          <w:sz w:val="17"/>
          <w:szCs w:val="17"/>
          <w:color w:val="auto"/>
        </w:rPr>
        <w:t>As of January 31, 2026, we had net operating loss carryforwards of approximately $30.1 million for federal income tax purposes, which can be carried forward indefinitely. We also had $35.8 million of net operating loss carryforwards for state income tax purposes, which will begin to expire in the year 2036 if unused. The federal and state net operating loss carryforwards may be subject to significant limitations under Section 382 and Section 383 of the Internal Revenue Code of 1986 and similar provisions under state law. Such provisions limit the net operating loss carryforwards that may be used in any given year in the event of special occurrences, including significant ownership changes. We also had certain foreign net operating loss carryforwards of $19.6 million, which have an indefinite life.</w:t>
      </w:r>
    </w:p>
    <w:p>
      <w:pPr>
        <w:spacing w:after="0" w:line="73"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As of January 31, 2026, we had research and development credit carryforwards of approximately $0.2 million for federal income tax purposes and $26.0 million for state income tax purposes. The federal research and development tax credits have a twenty-year carryover period, while the state research and development tax credits carry forward indefinitely.</w:t>
      </w:r>
    </w:p>
    <w:p>
      <w:pPr>
        <w:spacing w:after="0" w:line="64"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indefinitely reinvest earnings from our foreign subsidiaries; therefore, no deferred tax liability has been recognized on the basis difference created by such earnings.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reconciliation of the beginning and ending balance of total unrecognized tax benefits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4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Unrecognized Tax Benefits (in thousands)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
        </w:trPr>
        <w:tc>
          <w:tcPr>
            <w:tcW w:w="6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63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3"/>
        </w:trPr>
        <w:tc>
          <w:tcPr>
            <w:tcW w:w="6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year</w:t>
            </w: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41,772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30,404</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Positions taken in prior year:</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increases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220"/>
        </w:trPr>
        <w:tc>
          <w:tcPr>
            <w:tcW w:w="6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Gross decreases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Positions taken in current year:</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63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Gross increases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12,415</w:t>
            </w:r>
          </w:p>
        </w:tc>
      </w:tr>
      <w:tr>
        <w:trPr>
          <w:trHeight w:val="220"/>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Gross decreases</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r>
      <w:tr>
        <w:trPr>
          <w:trHeight w:val="220"/>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2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end of year</w:t>
            </w: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68,157</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56,334</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41,772</w:t>
            </w: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465"/>
        <w:spacing w:after="0" w:line="259" w:lineRule="auto"/>
        <w:rPr>
          <w:sz w:val="20"/>
          <w:szCs w:val="20"/>
          <w:color w:val="auto"/>
        </w:rPr>
      </w:pPr>
      <w:r>
        <w:rPr>
          <w:rFonts w:ascii="Times New Roman" w:cs="Times New Roman" w:eastAsia="Times New Roman" w:hAnsi="Times New Roman"/>
          <w:sz w:val="17"/>
          <w:szCs w:val="17"/>
          <w:color w:val="auto"/>
        </w:rPr>
        <w:t>As of January 31, 2026, gross unrecognized tax benefits related to uncertain tax positions were $68.2 million ($82.5 million total, including $14.3 million associated with interest and penalties). As of January 31, 2025, gross unrecognized tax benefits related to uncertain tax positions were $56.3 million ($66.0 million total, including $9.7 million associated with interest and penalties). As of January 31, 2024, gross unrecognized tax benefits related to uncertain tax positions were $41.8 million ($46.5 million total, including $4.7 million associated with interest and penalties). We recognized approximately $14.3 million, $9.7 million, and $4.7 million in potential interest and penalties associated with uncertain tax positions during fiscal years ended January 31, 2026, 2025, and 2024, respectively. To the extent taxes are not assessed with respect to uncertain tax positions, substantially all amounts accrued (including interest and penalties) will be reduced and reflected as a reduction of the overall income tax provision. Unrecognized tax benefits and associated accrued interest and penalties are included in our income tax provision.</w:t>
      </w:r>
    </w:p>
    <w:p>
      <w:pPr>
        <w:spacing w:after="0" w:line="28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We file income tax returns in the U.S. federal jurisdiction, various state jurisdictions, and various foreign jurisdictions. As of January 31, 2026, all of the years in which net operating losses or tax credits were utilized remain open to examination by the federal and state tax authorities.</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amounts of cash income taxes we paid, net of amounts refunded, were as follows: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1"/>
              <w:spacing w:after="0" w:line="143" w:lineRule="exact"/>
              <w:rPr>
                <w:sz w:val="20"/>
                <w:szCs w:val="20"/>
                <w:color w:val="auto"/>
              </w:rPr>
            </w:pPr>
            <w:r>
              <w:rPr>
                <w:rFonts w:ascii="Times New Roman" w:cs="Times New Roman" w:eastAsia="Times New Roman" w:hAnsi="Times New Roman"/>
                <w:sz w:val="14"/>
                <w:szCs w:val="14"/>
                <w:b w:val="1"/>
                <w:bCs w:val="1"/>
                <w:color w:val="auto"/>
                <w:w w:val="97"/>
              </w:rPr>
              <w:t>Year Ended January 31,</w:t>
            </w:r>
          </w:p>
        </w:tc>
      </w:tr>
      <w:tr>
        <w:trPr>
          <w:trHeight w:val="188"/>
        </w:trPr>
        <w:tc>
          <w:tcPr>
            <w:tcW w:w="96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192"/>
        </w:trPr>
        <w:tc>
          <w:tcPr>
            <w:tcW w:w="9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0"/>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332,500</w:t>
            </w:r>
          </w:p>
        </w:tc>
      </w:tr>
      <w:tr>
        <w:trPr>
          <w:trHeight w:val="22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and local</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67,178</w:t>
            </w:r>
          </w:p>
        </w:tc>
      </w:tr>
      <w:tr>
        <w:trPr>
          <w:trHeight w:val="22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21,927</w:t>
            </w:r>
          </w:p>
        </w:tc>
      </w:tr>
      <w:tr>
        <w:trPr>
          <w:trHeight w:val="23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net of amounts refunded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421,605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 amounts of cash income taxes we paid, net of amounts refunded, during the fiscal years ended January 31, 2025 and 2024 were $395.4 million and $348.1 million, respectively.</w:t>
      </w:r>
    </w:p>
    <w:p>
      <w:pPr>
        <w:spacing w:after="0" w:line="14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Net Income Per Share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income per share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9"/>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basic</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1,679,924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98,908</w:t>
            </w: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Reallocation of net income</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diluted</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533,901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103,561</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Weighted-average shares used in computing net income per</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265,676,002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34,827,785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262,715,505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45,266,466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254,084,540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46,663,622</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basic</w:t>
            </w: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Weighted-average shares used in computing net income per</w:t>
            </w: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270,861,859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36,471,326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267,148,873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47,920,709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258,398,674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50,121,223</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 diluted</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 basic</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Net income per share, diluted</w:t>
            </w:r>
          </w:p>
        </w:tc>
        <w:tc>
          <w:tcPr>
            <w:tcW w:w="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The potential shares of common stock that were excluded from the computation of diluted net income per share for the periods presented because including them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410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410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r>
      <w:tr>
        <w:trPr>
          <w:trHeight w:val="187"/>
        </w:trPr>
        <w:tc>
          <w:tcPr>
            <w:tcW w:w="4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0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109,441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1,550,584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8,082,027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9,124,205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rights committed under the ESPP</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1,236,530</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1,789,166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9,414,520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11,022,812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For the years ended January 31, 2026, 2025, and 2024, the table above does not include 164,192 of issued Class A common stock held by us that are reserved for the sole purpose of being transferred to nonprofit organizations.</w:t>
      </w:r>
    </w:p>
    <w:p>
      <w:pPr>
        <w:spacing w:after="0" w:line="14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Segment Information</w:t>
      </w:r>
    </w:p>
    <w:p>
      <w:pPr>
        <w:spacing w:after="0" w:line="222"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CEO is the Chief Operating Decision Maker (“CODM”) of the Company. The Company manages the business activities on a consolidated basis and all information provided to and reviewed by our CODM is compiled at the consolidated entity level. Therefore, we have only one operating and reportable segment. The description of the types of products and services from which the reportable segment derives its revenue is the same as those described in the Summary of Business and Significant Accounting Policies.</w:t>
      </w:r>
    </w:p>
    <w:p>
      <w:pPr>
        <w:spacing w:after="0" w:line="67" w:lineRule="exact"/>
        <w:rPr>
          <w:sz w:val="20"/>
          <w:szCs w:val="20"/>
          <w:color w:val="auto"/>
        </w:rPr>
      </w:pPr>
    </w:p>
    <w:p>
      <w:pPr>
        <w:jc w:val="both"/>
        <w:ind w:firstLine="465"/>
        <w:spacing w:after="0" w:line="270" w:lineRule="auto"/>
        <w:rPr>
          <w:sz w:val="20"/>
          <w:szCs w:val="20"/>
          <w:color w:val="auto"/>
        </w:rPr>
      </w:pPr>
      <w:r>
        <w:rPr>
          <w:rFonts w:ascii="Times New Roman" w:cs="Times New Roman" w:eastAsia="Times New Roman" w:hAnsi="Times New Roman"/>
          <w:sz w:val="17"/>
          <w:szCs w:val="17"/>
          <w:color w:val="auto"/>
        </w:rPr>
        <w:t>The measure of segment profit or loss that our CODM uses to allocate resources and assess performance is our consolidated net income. The CODM uses net income to monitor results and to decide whether to reinvest profits. Our CODM does not assess segment performance or make decisions using asset or liability information.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significant segment expenses regularly provided to the CODM as well as other segment items: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57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4,868,769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4,527,224</w:t>
            </w:r>
          </w:p>
        </w:tc>
      </w:tr>
      <w:tr>
        <w:trPr>
          <w:trHeight w:val="245"/>
        </w:trPr>
        <w:tc>
          <w:tcPr>
            <w:tcW w:w="5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0"/>
        </w:trPr>
        <w:tc>
          <w:tcPr>
            <w:tcW w:w="57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cost of revenue </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984,916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908,283</w:t>
            </w:r>
          </w:p>
        </w:tc>
      </w:tr>
      <w:tr>
        <w:trPr>
          <w:trHeight w:val="220"/>
        </w:trPr>
        <w:tc>
          <w:tcPr>
            <w:tcW w:w="57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research and development </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500,177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430,117</w:t>
            </w:r>
          </w:p>
        </w:tc>
      </w:tr>
      <w:tr>
        <w:trPr>
          <w:trHeight w:val="220"/>
        </w:trPr>
        <w:tc>
          <w:tcPr>
            <w:tcW w:w="57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sales and marketing </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1,090,294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1,116,356</w:t>
            </w:r>
          </w:p>
        </w:tc>
      </w:tr>
      <w:tr>
        <w:trPr>
          <w:trHeight w:val="220"/>
        </w:trPr>
        <w:tc>
          <w:tcPr>
            <w:tcW w:w="57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general and administrative </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297,580</w:t>
            </w:r>
          </w:p>
        </w:tc>
      </w:tr>
      <w:tr>
        <w:trPr>
          <w:trHeight w:val="22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931,309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1,057,161</w:t>
            </w: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(210,009)</w:t>
            </w:r>
          </w:p>
        </w:tc>
      </w:tr>
      <w:tr>
        <w:trPr>
          <w:trHeight w:val="220"/>
        </w:trPr>
        <w:tc>
          <w:tcPr>
            <w:tcW w:w="57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(68,525)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95,424</w:t>
            </w:r>
          </w:p>
        </w:tc>
      </w:tr>
      <w:tr>
        <w:trPr>
          <w:trHeight w:val="22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305,346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194,850</w:t>
            </w:r>
          </w:p>
        </w:tc>
      </w:tr>
      <w:tr>
        <w:trPr>
          <w:trHeight w:val="21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net income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637,462</w:t>
            </w:r>
          </w:p>
        </w:tc>
      </w:tr>
      <w:tr>
        <w:trPr>
          <w:trHeight w:val="22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and reconciling items</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income</w:t>
            </w: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637,462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firstLine="3"/>
        <w:spacing w:after="0" w:line="211" w:lineRule="auto"/>
        <w:tabs>
          <w:tab w:leader="none" w:pos="168"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Excludes stock-based compensation expense and related payroll taxes, expenses related to charitable donation of common stock, impairment of assets, acquisition-related expenses, restructuring expenses, and litigation settlements, net.</w:t>
      </w:r>
    </w:p>
    <w:p>
      <w:pPr>
        <w:ind w:firstLine="3"/>
        <w:spacing w:after="0" w:line="204" w:lineRule="auto"/>
        <w:tabs>
          <w:tab w:leader="none" w:pos="181" w:val="left"/>
        </w:tabs>
        <w:numPr>
          <w:ilvl w:val="0"/>
          <w:numId w:val="3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stock-based compensation related payroll taxes, expenses related to charitable donation of common stock, impairment of assets, acquisition-related expenses, restructuring expenses, litigation settlements, net, gains on strategic investments, net, and other income, net excluding interest income.</w:t>
      </w: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our property and equipment, net of depreciation and amortization, by geographic region: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40" w:type="dxa"/>
            <w:vAlign w:val="bottom"/>
          </w:tcPr>
          <w:p>
            <w:pPr>
              <w:spacing w:after="0"/>
              <w:rPr>
                <w:sz w:val="15"/>
                <w:szCs w:val="15"/>
                <w:color w:val="auto"/>
              </w:rPr>
            </w:pPr>
          </w:p>
        </w:tc>
      </w:tr>
      <w:tr>
        <w:trPr>
          <w:trHeight w:val="23"/>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76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8"/>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8"/>
                <w:szCs w:val="18"/>
                <w:color w:val="auto"/>
              </w:rPr>
            </w:pPr>
          </w:p>
        </w:tc>
      </w:tr>
      <w:tr>
        <w:trPr>
          <w:trHeight w:val="23"/>
        </w:trPr>
        <w:tc>
          <w:tcPr>
            <w:tcW w:w="7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106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238,328</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APAC</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51,036</w:t>
            </w:r>
          </w:p>
        </w:tc>
      </w:tr>
      <w:tr>
        <w:trPr>
          <w:trHeight w:val="22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41,111</w:t>
            </w:r>
          </w:p>
        </w:tc>
      </w:tr>
      <w:tr>
        <w:trPr>
          <w:trHeight w:val="213"/>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06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264,525</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330,475</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1600"/>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 </w:t>
      </w:r>
      <w:r>
        <w:rPr>
          <w:rFonts w:ascii="Times New Roman" w:cs="Times New Roman" w:eastAsia="Times New Roman" w:hAnsi="Times New Roman"/>
          <w:sz w:val="17"/>
          <w:szCs w:val="17"/>
          <w:color w:val="auto"/>
        </w:rPr>
        <w:t>None.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9" w:lineRule="exact"/>
        <w:rPr>
          <w:sz w:val="20"/>
          <w:szCs w:val="20"/>
          <w:color w:val="auto"/>
        </w:rPr>
      </w:pPr>
    </w:p>
    <w:p>
      <w:pPr>
        <w:jc w:val="both"/>
        <w:ind w:firstLine="465"/>
        <w:spacing w:after="0" w:line="26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internal control over financial reporting was effective as of January 31, 2026 to provide reasonable assurance regarding the reliability of financial reporting and the preparation of financial statements in accordance with U.S. GAAP.</w:t>
      </w:r>
    </w:p>
    <w:p>
      <w:pPr>
        <w:spacing w:after="0" w:line="48" w:lineRule="exact"/>
        <w:rPr>
          <w:sz w:val="20"/>
          <w:szCs w:val="20"/>
          <w:color w:val="auto"/>
        </w:rPr>
      </w:pPr>
    </w:p>
    <w:p>
      <w:pPr>
        <w:jc w:val="both"/>
        <w:ind w:right="20" w:firstLine="465"/>
        <w:spacing w:after="0" w:line="288"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January 31, 2026 has been audited by KPMG LLP, an independent registered public accounting firm, as stated in their report, which is included in Item 8 of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ind w:right="20" w:firstLine="465"/>
        <w:spacing w:after="0" w:line="281"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(as defined in Rules 13a-15(d) and 15d-15(d) under the Exchange Act) that occurred during the quarter ended January 31, 2026 that has materially affected, or is reasonably likely to materially affect, our internal control over financial reporting.</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119" w:lineRule="exact"/>
        <w:rPr>
          <w:sz w:val="20"/>
          <w:szCs w:val="20"/>
          <w:color w:val="auto"/>
        </w:rPr>
      </w:pPr>
    </w:p>
    <w:p>
      <w:pPr>
        <w:jc w:val="both"/>
        <w:ind w:right="20" w:firstLine="465"/>
        <w:spacing w:after="0" w:line="257"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Trading Arrangements</w:t>
      </w:r>
    </w:p>
    <w:p>
      <w:pPr>
        <w:spacing w:after="0" w:line="93" w:lineRule="exact"/>
        <w:rPr>
          <w:sz w:val="20"/>
          <w:szCs w:val="20"/>
          <w:color w:val="auto"/>
        </w:rPr>
      </w:pPr>
    </w:p>
    <w:p>
      <w:pPr>
        <w:jc w:val="both"/>
        <w:ind w:right="20" w:firstLine="465"/>
        <w:spacing w:after="0" w:line="272" w:lineRule="auto"/>
        <w:rPr>
          <w:sz w:val="20"/>
          <w:szCs w:val="20"/>
          <w:color w:val="auto"/>
        </w:rPr>
      </w:pPr>
      <w:r>
        <w:rPr>
          <w:rFonts w:ascii="Times New Roman" w:cs="Times New Roman" w:eastAsia="Times New Roman" w:hAnsi="Times New Roman"/>
          <w:sz w:val="17"/>
          <w:szCs w:val="17"/>
          <w:color w:val="auto"/>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146290" cy="1468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6290" cy="14687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640" w:type="dxa"/>
            <w:vAlign w:val="bottom"/>
            <w:tcBorders>
              <w:top w:val="single" w:sz="8" w:color="auto"/>
              <w:right w:val="single" w:sz="8" w:color="auto"/>
            </w:tcBorders>
          </w:tcPr>
          <w:p>
            <w:pPr>
              <w:spacing w:after="0"/>
              <w:rPr>
                <w:sz w:val="17"/>
                <w:szCs w:val="17"/>
                <w:color w:val="auto"/>
              </w:rPr>
            </w:pPr>
          </w:p>
        </w:tc>
        <w:tc>
          <w:tcPr>
            <w:tcW w:w="1260" w:type="dxa"/>
            <w:vAlign w:val="bottom"/>
            <w:tcBorders>
              <w:top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2120" w:type="dxa"/>
            <w:vAlign w:val="bottom"/>
            <w:tcBorders>
              <w:top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Type of Trading</w:t>
            </w:r>
          </w:p>
        </w:tc>
        <w:tc>
          <w:tcPr>
            <w:tcW w:w="1500" w:type="dxa"/>
            <w:vAlign w:val="bottom"/>
            <w:tcBorders>
              <w:top w:val="single" w:sz="8" w:color="auto"/>
              <w:right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27"/>
        </w:trPr>
        <w:tc>
          <w:tcPr>
            <w:tcW w:w="36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Arrangement</w:t>
            </w:r>
          </w:p>
        </w:tc>
        <w:tc>
          <w:tcPr>
            <w:tcW w:w="15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r>
      <w:tr>
        <w:trPr>
          <w:trHeight w:val="26"/>
        </w:trPr>
        <w:tc>
          <w:tcPr>
            <w:tcW w:w="36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9"/>
        </w:trPr>
        <w:tc>
          <w:tcPr>
            <w:tcW w:w="3640" w:type="dxa"/>
            <w:vAlign w:val="bottom"/>
            <w:tcBorders>
              <w:right w:val="single" w:sz="8" w:color="auto"/>
            </w:tcBorders>
          </w:tcPr>
          <w:p>
            <w:pPr>
              <w:ind w:left="1120"/>
              <w:spacing w:after="0" w:line="180" w:lineRule="exact"/>
              <w:rPr>
                <w:sz w:val="20"/>
                <w:szCs w:val="20"/>
                <w:color w:val="auto"/>
              </w:rPr>
            </w:pPr>
            <w:r>
              <w:rPr>
                <w:rFonts w:ascii="Times New Roman" w:cs="Times New Roman" w:eastAsia="Times New Roman" w:hAnsi="Times New Roman"/>
                <w:sz w:val="17"/>
                <w:szCs w:val="17"/>
                <w:b w:val="1"/>
                <w:bCs w:val="1"/>
                <w:color w:val="auto"/>
              </w:rPr>
              <w:t>Name and Position</w:t>
            </w:r>
          </w:p>
        </w:tc>
        <w:tc>
          <w:tcPr>
            <w:tcW w:w="12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9"/>
              </w:rPr>
              <w:t>Action</w:t>
            </w:r>
          </w:p>
        </w:tc>
        <w:tc>
          <w:tcPr>
            <w:tcW w:w="14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Adoption/</w:t>
            </w:r>
          </w:p>
        </w:tc>
        <w:tc>
          <w:tcPr>
            <w:tcW w:w="102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7"/>
                <w:szCs w:val="17"/>
                <w:b w:val="1"/>
                <w:bCs w:val="1"/>
                <w:color w:val="auto"/>
              </w:rPr>
              <w:t>Rule 10b5-1*</w:t>
            </w:r>
          </w:p>
        </w:tc>
        <w:tc>
          <w:tcPr>
            <w:tcW w:w="11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Non-</w:t>
            </w:r>
          </w:p>
        </w:tc>
        <w:tc>
          <w:tcPr>
            <w:tcW w:w="15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w w:val="99"/>
              </w:rPr>
              <w:t>Total Shares of</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194"/>
        </w:trPr>
        <w:tc>
          <w:tcPr>
            <w:tcW w:w="364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Termination</w:t>
            </w:r>
          </w:p>
        </w:tc>
        <w:tc>
          <w:tcPr>
            <w:tcW w:w="10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Rule 10b5-</w:t>
            </w:r>
          </w:p>
        </w:tc>
        <w:tc>
          <w:tcPr>
            <w:tcW w:w="15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Class A Common</w:t>
            </w:r>
          </w:p>
        </w:tc>
        <w:tc>
          <w:tcPr>
            <w:tcW w:w="1280" w:type="dxa"/>
            <w:vAlign w:val="bottom"/>
          </w:tcPr>
          <w:p>
            <w:pPr>
              <w:spacing w:after="0"/>
              <w:rPr>
                <w:sz w:val="16"/>
                <w:szCs w:val="16"/>
                <w:color w:val="auto"/>
              </w:rPr>
            </w:pPr>
          </w:p>
        </w:tc>
      </w:tr>
      <w:tr>
        <w:trPr>
          <w:trHeight w:val="227"/>
        </w:trPr>
        <w:tc>
          <w:tcPr>
            <w:tcW w:w="36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0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Stock to be Sold***</w:t>
            </w:r>
          </w:p>
        </w:tc>
        <w:tc>
          <w:tcPr>
            <w:tcW w:w="1280" w:type="dxa"/>
            <w:vAlign w:val="bottom"/>
          </w:tcPr>
          <w:p>
            <w:pPr>
              <w:spacing w:after="0"/>
              <w:rPr>
                <w:sz w:val="19"/>
                <w:szCs w:val="19"/>
                <w:color w:val="auto"/>
              </w:rPr>
            </w:pPr>
          </w:p>
        </w:tc>
      </w:tr>
      <w:tr>
        <w:trPr>
          <w:trHeight w:val="26"/>
        </w:trPr>
        <w:tc>
          <w:tcPr>
            <w:tcW w:w="36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3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Santiago Subotovsky, Director</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Adoption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01/13/2026</w:t>
            </w:r>
          </w:p>
        </w:tc>
        <w:tc>
          <w:tcPr>
            <w:tcW w:w="102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76,236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05/28/2027</w:t>
            </w:r>
          </w:p>
        </w:tc>
      </w:tr>
    </w:tbl>
    <w:p>
      <w:pPr>
        <w:ind w:left="40"/>
        <w:spacing w:after="0"/>
        <w:rPr>
          <w:sz w:val="20"/>
          <w:szCs w:val="20"/>
          <w:color w:val="auto"/>
        </w:rPr>
      </w:pPr>
      <w:r>
        <w:rPr>
          <w:rFonts w:ascii="Times New Roman" w:cs="Times New Roman" w:eastAsia="Times New Roman" w:hAnsi="Times New Roman"/>
          <w:sz w:val="17"/>
          <w:szCs w:val="17"/>
          <w:color w:val="auto"/>
        </w:rPr>
        <w:t>* Contract, instruction or written plan intended to satisfy the affirmative defense conditions of Rule 10b5-1(c) under the Exchange Act.</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“Non-Rule 10b5-1 trading arrangement” as defined in Item 408(c) of Regulation S-K under the Exchange Act.</w:t>
      </w:r>
    </w:p>
    <w:p>
      <w:pPr>
        <w:spacing w:after="0" w:line="63" w:lineRule="exact"/>
        <w:rPr>
          <w:sz w:val="20"/>
          <w:szCs w:val="20"/>
          <w:color w:val="auto"/>
        </w:rPr>
      </w:pPr>
    </w:p>
    <w:p>
      <w:pPr>
        <w:ind w:left="40" w:right="160"/>
        <w:spacing w:after="0" w:line="272" w:lineRule="auto"/>
        <w:rPr>
          <w:sz w:val="20"/>
          <w:szCs w:val="20"/>
          <w:color w:val="auto"/>
        </w:rPr>
      </w:pPr>
      <w:r>
        <w:rPr>
          <w:rFonts w:ascii="Times New Roman" w:cs="Times New Roman" w:eastAsia="Times New Roman" w:hAnsi="Times New Roman"/>
          <w:sz w:val="17"/>
          <w:szCs w:val="17"/>
          <w:color w:val="auto"/>
        </w:rPr>
        <w:t>*** Represents the maximum number of shares that may be sold pursuant to the 10b5-1 arrangement. The actual number of shares sold will be dependent on the satisfaction of certain conditions as set forth in the written plan.</w:t>
      </w:r>
    </w:p>
    <w:p>
      <w:pPr>
        <w:spacing w:after="0" w:line="276" w:lineRule="exact"/>
        <w:rPr>
          <w:sz w:val="20"/>
          <w:szCs w:val="20"/>
          <w:color w:val="auto"/>
        </w:rPr>
      </w:pPr>
    </w:p>
    <w:p>
      <w:pPr>
        <w:ind w:right="3500"/>
        <w:spacing w:after="0" w:line="329"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98" w:lineRule="exact"/>
        <w:rPr>
          <w:sz w:val="20"/>
          <w:szCs w:val="20"/>
          <w:color w:val="auto"/>
        </w:rPr>
      </w:pPr>
    </w:p>
    <w:p>
      <w:pPr>
        <w:jc w:val="both"/>
        <w:ind w:right="20" w:firstLine="465"/>
        <w:spacing w:after="0" w:line="270" w:lineRule="auto"/>
        <w:rPr>
          <w:sz w:val="20"/>
          <w:szCs w:val="20"/>
          <w:color w:val="auto"/>
        </w:rPr>
      </w:pPr>
      <w:r>
        <w:rPr>
          <w:rFonts w:ascii="Times New Roman" w:cs="Times New Roman" w:eastAsia="Times New Roman" w:hAnsi="Times New Roman"/>
          <w:sz w:val="17"/>
          <w:szCs w:val="17"/>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Form 8-K regarding amendments to, or waiver from, a provision of our Code of Business Conduct and Ethics by posting such information on the website address and location specified above.</w:t>
      </w:r>
    </w:p>
    <w:p>
      <w:pPr>
        <w:spacing w:after="0" w:line="48"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remaining information required by this item is incorporated by reference to the definitive Proxy Statement for our 2026 Annual Meeting of Stockholders, which will be filed with the SEC no later than 120 days after January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98" w:lineRule="exact"/>
        <w:rPr>
          <w:sz w:val="20"/>
          <w:szCs w:val="20"/>
          <w:color w:val="auto"/>
        </w:rPr>
      </w:pPr>
    </w:p>
    <w:p>
      <w:pPr>
        <w:ind w:left="700" w:hanging="231"/>
        <w:spacing w:after="0"/>
        <w:tabs>
          <w:tab w:leader="none" w:pos="7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a part of this Annual Report on Form 10-K:</w:t>
      </w:r>
    </w:p>
    <w:p>
      <w:pPr>
        <w:spacing w:after="0" w:line="114"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Consolidated financial statements:</w:t>
      </w:r>
    </w:p>
    <w:p>
      <w:pPr>
        <w:spacing w:after="0" w:line="114"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consolidated financial statements are listed in the “Index to Consolidated Financial Statements” under Part II, Item 8 of this Annual Report on 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115"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Schedule II: Valuation and Qualifying Accounts is filed as part of this Annual Report on Form 10-K and should be read in conjunction with the consolidated financial statements and notes thereto.</w:t>
      </w:r>
    </w:p>
    <w:p>
      <w:pPr>
        <w:spacing w:after="0" w:line="48"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Schedules not listed above have been omitted because the information required to be set forth therein is not applicable or is shown in the financial statements or notes herein.</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 Exhibits</w:t>
      </w:r>
    </w:p>
    <w:p>
      <w:pPr>
        <w:spacing w:after="0" w:line="115"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4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6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9"/>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9"/>
            <w:vMerge w:val="continue"/>
          </w:tcPr>
          <w:p>
            <w:pPr>
              <w:spacing w:after="0"/>
              <w:rPr>
                <w:sz w:val="15"/>
                <w:szCs w:val="15"/>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52"/>
        </w:trPr>
        <w:tc>
          <w:tcPr>
            <w:tcW w:w="116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4100" w:type="dxa"/>
            <w:vAlign w:val="bottom"/>
            <w:gridSpan w:val="11"/>
          </w:tcPr>
          <w:p>
            <w:pPr>
              <w:spacing w:after="0" w:line="152"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Amended and Restated Certificate of Incorporation of Zoom Video</w:t>
              </w:r>
            </w:hyperlink>
          </w:p>
        </w:tc>
        <w:tc>
          <w:tcPr>
            <w:tcW w:w="1220" w:type="dxa"/>
            <w:vAlign w:val="bottom"/>
          </w:tcPr>
          <w:p>
            <w:pPr>
              <w:ind w:left="20"/>
              <w:spacing w:after="0" w:line="152" w:lineRule="exact"/>
              <w:rPr>
                <w:sz w:val="20"/>
                <w:szCs w:val="20"/>
                <w:color w:val="auto"/>
              </w:rPr>
            </w:pPr>
            <w:r>
              <w:rPr>
                <w:rFonts w:ascii="Times New Roman" w:cs="Times New Roman" w:eastAsia="Times New Roman" w:hAnsi="Times New Roman"/>
                <w:sz w:val="14"/>
                <w:szCs w:val="14"/>
                <w:color w:val="auto"/>
              </w:rPr>
              <w:t>8-K</w:t>
            </w:r>
          </w:p>
        </w:tc>
        <w:tc>
          <w:tcPr>
            <w:tcW w:w="1560" w:type="dxa"/>
            <w:vAlign w:val="bottom"/>
          </w:tcPr>
          <w:p>
            <w:pPr>
              <w:ind w:left="320"/>
              <w:spacing w:after="0" w:line="152" w:lineRule="exact"/>
              <w:rPr>
                <w:sz w:val="20"/>
                <w:szCs w:val="20"/>
                <w:color w:val="auto"/>
              </w:rPr>
            </w:pPr>
            <w:r>
              <w:rPr>
                <w:rFonts w:ascii="Times New Roman" w:cs="Times New Roman" w:eastAsia="Times New Roman" w:hAnsi="Times New Roman"/>
                <w:sz w:val="14"/>
                <w:szCs w:val="14"/>
                <w:color w:val="auto"/>
              </w:rPr>
              <w:t>001-38865</w:t>
            </w:r>
          </w:p>
        </w:tc>
        <w:tc>
          <w:tcPr>
            <w:tcW w:w="1480" w:type="dxa"/>
            <w:vAlign w:val="bottom"/>
          </w:tcPr>
          <w:p>
            <w:pPr>
              <w:ind w:left="300"/>
              <w:spacing w:after="0" w:line="152" w:lineRule="exact"/>
              <w:rPr>
                <w:sz w:val="20"/>
                <w:szCs w:val="20"/>
                <w:color w:val="auto"/>
              </w:rPr>
            </w:pPr>
            <w:r>
              <w:rPr>
                <w:rFonts w:ascii="Times New Roman" w:cs="Times New Roman" w:eastAsia="Times New Roman" w:hAnsi="Times New Roman"/>
                <w:sz w:val="14"/>
                <w:szCs w:val="14"/>
                <w:color w:val="auto"/>
              </w:rPr>
              <w:t>3.1</w:t>
            </w:r>
          </w:p>
        </w:tc>
        <w:tc>
          <w:tcPr>
            <w:tcW w:w="1700" w:type="dxa"/>
            <w:vAlign w:val="bottom"/>
          </w:tcPr>
          <w:p>
            <w:pPr>
              <w:ind w:left="280"/>
              <w:spacing w:after="0" w:line="152" w:lineRule="exact"/>
              <w:rPr>
                <w:sz w:val="20"/>
                <w:szCs w:val="20"/>
                <w:color w:val="auto"/>
              </w:rPr>
            </w:pPr>
            <w:r>
              <w:rPr>
                <w:rFonts w:ascii="Times New Roman" w:cs="Times New Roman" w:eastAsia="Times New Roman" w:hAnsi="Times New Roman"/>
                <w:sz w:val="14"/>
                <w:szCs w:val="14"/>
                <w:color w:val="auto"/>
              </w:rPr>
              <w:t>April 23, 2019</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20" w:type="dxa"/>
            <w:vAlign w:val="bottom"/>
            <w:tcBorders>
              <w:top w:val="single" w:sz="8" w:color="0000FF"/>
              <w:bottom w:val="single" w:sz="8" w:color="0000FF"/>
            </w:tcBorders>
          </w:tcPr>
          <w:p>
            <w:pPr>
              <w:spacing w:after="0" w:line="123" w:lineRule="exact"/>
              <w:rPr>
                <w:rFonts w:ascii="Times New Roman" w:cs="Times New Roman" w:eastAsia="Times New Roman" w:hAnsi="Times New Roman"/>
                <w:sz w:val="14"/>
                <w:szCs w:val="14"/>
                <w:color w:val="0000FF"/>
                <w:w w:val="96"/>
              </w:rPr>
            </w:pPr>
            <w:hyperlink r:id="rId120">
              <w:r>
                <w:rPr>
                  <w:rFonts w:ascii="Times New Roman" w:cs="Times New Roman" w:eastAsia="Times New Roman" w:hAnsi="Times New Roman"/>
                  <w:sz w:val="14"/>
                  <w:szCs w:val="14"/>
                  <w:color w:val="0000FF"/>
                  <w:w w:val="96"/>
                </w:rPr>
                <w:t>Communications, Inc.</w:t>
              </w:r>
            </w:hyperlink>
          </w:p>
        </w:tc>
        <w:tc>
          <w:tcPr>
            <w:tcW w:w="2480" w:type="dxa"/>
            <w:vAlign w:val="bottom"/>
            <w:tcBorders>
              <w:top w:val="single" w:sz="8" w:color="0000FF"/>
            </w:tcBorders>
            <w:gridSpan w:val="7"/>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4100" w:type="dxa"/>
            <w:vAlign w:val="bottom"/>
            <w:gridSpan w:val="11"/>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Certificate of Amendment to Certificate of Incorporation of Zoom</w:t>
              </w:r>
            </w:hyperlink>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November 25, 2024</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20" w:type="dxa"/>
            <w:vAlign w:val="bottom"/>
            <w:tcBorders>
              <w:top w:val="single" w:sz="8" w:color="0000FF"/>
              <w:bottom w:val="single" w:sz="8" w:color="0000FF"/>
            </w:tcBorders>
          </w:tcPr>
          <w:p>
            <w:pPr>
              <w:spacing w:after="0" w:line="123" w:lineRule="exact"/>
              <w:rPr>
                <w:rFonts w:ascii="Times New Roman" w:cs="Times New Roman" w:eastAsia="Times New Roman" w:hAnsi="Times New Roman"/>
                <w:sz w:val="14"/>
                <w:szCs w:val="14"/>
                <w:color w:val="0000FF"/>
                <w:w w:val="96"/>
              </w:rPr>
            </w:pPr>
            <w:hyperlink r:id="rId121">
              <w:r>
                <w:rPr>
                  <w:rFonts w:ascii="Times New Roman" w:cs="Times New Roman" w:eastAsia="Times New Roman" w:hAnsi="Times New Roman"/>
                  <w:sz w:val="14"/>
                  <w:szCs w:val="14"/>
                  <w:color w:val="0000FF"/>
                  <w:w w:val="96"/>
                </w:rPr>
                <w:t>Communications, Inc.</w:t>
              </w:r>
            </w:hyperlink>
          </w:p>
        </w:tc>
        <w:tc>
          <w:tcPr>
            <w:tcW w:w="2420" w:type="dxa"/>
            <w:vAlign w:val="bottom"/>
            <w:tcBorders>
              <w:top w:val="single" w:sz="8" w:color="0000FF"/>
            </w:tcBorders>
            <w:gridSpan w:val="6"/>
          </w:tcPr>
          <w:p>
            <w:pPr>
              <w:spacing w:after="0"/>
              <w:rPr>
                <w:sz w:val="10"/>
                <w:szCs w:val="10"/>
                <w:color w:val="auto"/>
              </w:rPr>
            </w:pPr>
          </w:p>
        </w:tc>
        <w:tc>
          <w:tcPr>
            <w:tcW w:w="2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4100" w:type="dxa"/>
            <w:vAlign w:val="bottom"/>
            <w:gridSpan w:val="11"/>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Amended and Restated Bylaws of Zoom Communications, Inc.</w:t>
              </w:r>
            </w:hyperlink>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3.2</w:t>
            </w: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November 25, 2024</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242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w w:val="97"/>
              </w:rPr>
            </w:pPr>
            <w:hyperlink r:id="rId123">
              <w:r>
                <w:rPr>
                  <w:rFonts w:ascii="Times New Roman" w:cs="Times New Roman" w:eastAsia="Times New Roman" w:hAnsi="Times New Roman"/>
                  <w:sz w:val="14"/>
                  <w:szCs w:val="14"/>
                  <w:color w:val="0000FF"/>
                  <w:w w:val="97"/>
                </w:rPr>
                <w:t>Form of Class A Common Stock Certificate</w:t>
              </w:r>
            </w:hyperlink>
          </w:p>
        </w:tc>
        <w:tc>
          <w:tcPr>
            <w:tcW w:w="1060" w:type="dxa"/>
            <w:vAlign w:val="bottom"/>
            <w:tcBorders>
              <w:top w:val="single" w:sz="8" w:color="0000FF"/>
            </w:tcBorders>
            <w:gridSpan w:val="2"/>
          </w:tcPr>
          <w:p>
            <w:pPr>
              <w:spacing w:after="0"/>
              <w:rPr>
                <w:sz w:val="15"/>
                <w:szCs w:val="15"/>
                <w:color w:val="auto"/>
              </w:rPr>
            </w:pPr>
          </w:p>
        </w:tc>
        <w:tc>
          <w:tcPr>
            <w:tcW w:w="620" w:type="dxa"/>
            <w:vAlign w:val="bottom"/>
            <w:gridSpan w:val="5"/>
          </w:tcPr>
          <w:p>
            <w:pPr>
              <w:spacing w:after="0"/>
              <w:rPr>
                <w:sz w:val="15"/>
                <w:szCs w:val="15"/>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4.1</w:t>
            </w: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April 8, 2019</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1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6"/>
              </w:rPr>
              <w:t>Description of Securities</w:t>
            </w:r>
          </w:p>
        </w:tc>
        <w:tc>
          <w:tcPr>
            <w:tcW w:w="2740" w:type="dxa"/>
            <w:vAlign w:val="bottom"/>
            <w:gridSpan w:val="9"/>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100" w:type="dxa"/>
            <w:vAlign w:val="bottom"/>
            <w:gridSpan w:val="11"/>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Zoom Video Communications, Inc. Fourth Amended and Restated 2011</w:t>
              </w:r>
            </w:hyperlink>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S-1</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333-230444</w:t>
            </w: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10.1</w:t>
            </w: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March 22, 2019</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3960" w:type="dxa"/>
            <w:vAlign w:val="bottom"/>
            <w:tcBorders>
              <w:top w:val="single" w:sz="8" w:color="0000FF"/>
            </w:tcBorders>
            <w:gridSpan w:val="10"/>
          </w:tcPr>
          <w:p>
            <w:pPr>
              <w:spacing w:after="0" w:line="123"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Global Share Plan, and forms of agreements thereunder</w:t>
              </w:r>
            </w:hyperlink>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4100" w:type="dxa"/>
            <w:vAlign w:val="bottom"/>
            <w:gridSpan w:val="11"/>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Zoom Communications, Inc. 2019 Equity Incentive Plan, as amended,</w:t>
              </w:r>
            </w:hyperlink>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001-38865</w:t>
            </w:r>
          </w:p>
        </w:tc>
        <w:tc>
          <w:tcPr>
            <w:tcW w:w="1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10.2</w:t>
            </w:r>
          </w:p>
        </w:tc>
        <w:tc>
          <w:tcPr>
            <w:tcW w:w="1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February 28, 2025</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3"/>
          </w:tcPr>
          <w:p>
            <w:pPr>
              <w:spacing w:after="0" w:line="123" w:lineRule="exact"/>
              <w:rPr>
                <w:rFonts w:ascii="Times New Roman" w:cs="Times New Roman" w:eastAsia="Times New Roman" w:hAnsi="Times New Roman"/>
                <w:sz w:val="14"/>
                <w:szCs w:val="14"/>
                <w:color w:val="0000FF"/>
                <w:w w:val="96"/>
              </w:rPr>
            </w:pPr>
            <w:hyperlink r:id="rId125">
              <w:r>
                <w:rPr>
                  <w:rFonts w:ascii="Times New Roman" w:cs="Times New Roman" w:eastAsia="Times New Roman" w:hAnsi="Times New Roman"/>
                  <w:sz w:val="14"/>
                  <w:szCs w:val="14"/>
                  <w:color w:val="0000FF"/>
                  <w:w w:val="96"/>
                </w:rPr>
                <w:t>and forms of agreements thereunder</w:t>
              </w:r>
            </w:hyperlink>
          </w:p>
        </w:tc>
        <w:tc>
          <w:tcPr>
            <w:tcW w:w="1880" w:type="dxa"/>
            <w:vAlign w:val="bottom"/>
            <w:tcBorders>
              <w:top w:val="single" w:sz="8" w:color="0000FF"/>
            </w:tcBorders>
            <w:gridSpan w:val="6"/>
          </w:tcPr>
          <w:p>
            <w:pPr>
              <w:spacing w:after="0"/>
              <w:rPr>
                <w:sz w:val="10"/>
                <w:szCs w:val="10"/>
                <w:color w:val="auto"/>
              </w:rPr>
            </w:pPr>
          </w:p>
        </w:tc>
        <w:tc>
          <w:tcPr>
            <w:tcW w:w="240" w:type="dxa"/>
            <w:vAlign w:val="bottom"/>
            <w:gridSpan w:val="2"/>
          </w:tcPr>
          <w:p>
            <w:pPr>
              <w:spacing w:after="0"/>
              <w:rPr>
                <w:sz w:val="10"/>
                <w:szCs w:val="10"/>
                <w:color w:val="auto"/>
              </w:rPr>
            </w:pPr>
          </w:p>
        </w:tc>
        <w:tc>
          <w:tcPr>
            <w:tcW w:w="1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Zoom Video Communications, Inc. 2019 Equity Incentive Plan Non-</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10.3</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6"/>
              </w:rPr>
              <w:t>September 3, 2020</w:t>
            </w:r>
          </w:p>
        </w:tc>
      </w:tr>
      <w:tr>
        <w:trPr>
          <w:trHeight w:val="122"/>
        </w:trPr>
        <w:tc>
          <w:tcPr>
            <w:tcW w:w="116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30"/>
          </w:tcPr>
          <w:p>
            <w:pPr>
              <w:spacing w:after="0" w:line="123" w:lineRule="exact"/>
              <w:rPr>
                <w:rFonts w:ascii="Times New Roman" w:cs="Times New Roman" w:eastAsia="Times New Roman" w:hAnsi="Times New Roman"/>
                <w:sz w:val="14"/>
                <w:szCs w:val="14"/>
                <w:color w:val="0000FF"/>
                <w:w w:val="96"/>
              </w:rPr>
            </w:pPr>
            <w:hyperlink r:id="rId127">
              <w:r>
                <w:rPr>
                  <w:rFonts w:ascii="Times New Roman" w:cs="Times New Roman" w:eastAsia="Times New Roman" w:hAnsi="Times New Roman"/>
                  <w:sz w:val="14"/>
                  <w:szCs w:val="14"/>
                  <w:color w:val="0000FF"/>
                  <w:w w:val="96"/>
                </w:rPr>
                <w:t>Employee Director Global Restricted Stock Unit Award Grant Notice,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9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09"/>
        </w:trPr>
        <w:tc>
          <w:tcPr>
            <w:tcW w:w="1160" w:type="dxa"/>
            <w:vAlign w:val="bottom"/>
          </w:tcPr>
          <w:p>
            <w:pPr>
              <w:spacing w:after="0"/>
              <w:rPr>
                <w:sz w:val="9"/>
                <w:szCs w:val="9"/>
                <w:color w:val="auto"/>
              </w:rPr>
            </w:pPr>
          </w:p>
        </w:tc>
        <w:tc>
          <w:tcPr>
            <w:tcW w:w="3980" w:type="dxa"/>
            <w:vAlign w:val="bottom"/>
            <w:gridSpan w:val="37"/>
          </w:tcPr>
          <w:p>
            <w:pPr>
              <w:spacing w:after="0" w:line="110" w:lineRule="exact"/>
              <w:rPr>
                <w:rFonts w:ascii="Times New Roman" w:cs="Times New Roman" w:eastAsia="Times New Roman" w:hAnsi="Times New Roman"/>
                <w:sz w:val="11"/>
                <w:szCs w:val="11"/>
                <w:color w:val="0000FF"/>
              </w:rPr>
            </w:pPr>
            <w:hyperlink r:id="rId127">
              <w:r>
                <w:rPr>
                  <w:rFonts w:ascii="Times New Roman" w:cs="Times New Roman" w:eastAsia="Times New Roman" w:hAnsi="Times New Roman"/>
                  <w:sz w:val="11"/>
                  <w:szCs w:val="11"/>
                  <w:color w:val="0000FF"/>
                </w:rPr>
                <w:t>as amended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19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Zoom Video Communications, Inc. 2019 Equity Incentive Plan Global</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10.4</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February 28, 2025</w:t>
            </w:r>
          </w:p>
        </w:tc>
      </w:tr>
      <w:tr>
        <w:trPr>
          <w:trHeight w:val="122"/>
        </w:trPr>
        <w:tc>
          <w:tcPr>
            <w:tcW w:w="1160" w:type="dxa"/>
            <w:vAlign w:val="bottom"/>
          </w:tcPr>
          <w:p>
            <w:pPr>
              <w:spacing w:after="0"/>
              <w:rPr>
                <w:sz w:val="10"/>
                <w:szCs w:val="10"/>
                <w:color w:val="auto"/>
              </w:rPr>
            </w:pPr>
          </w:p>
        </w:tc>
        <w:tc>
          <w:tcPr>
            <w:tcW w:w="4020" w:type="dxa"/>
            <w:vAlign w:val="bottom"/>
            <w:tcBorders>
              <w:top w:val="single" w:sz="8" w:color="0000FF"/>
            </w:tcBorders>
            <w:gridSpan w:val="39"/>
          </w:tcPr>
          <w:p>
            <w:pPr>
              <w:spacing w:after="0" w:line="123"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RSU Award Grant Notice (Performance Vesting, Non-Executive)</w:t>
              </w:r>
            </w:hyperlink>
          </w:p>
        </w:tc>
        <w:tc>
          <w:tcPr>
            <w:tcW w:w="429496719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Zoom Video Communications, Inc. 2019 Equity Incentive Plan Global</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May 22, 2024</w:t>
            </w:r>
          </w:p>
        </w:tc>
      </w:tr>
      <w:tr>
        <w:trPr>
          <w:trHeight w:val="122"/>
        </w:trPr>
        <w:tc>
          <w:tcPr>
            <w:tcW w:w="1160" w:type="dxa"/>
            <w:vAlign w:val="bottom"/>
          </w:tcPr>
          <w:p>
            <w:pPr>
              <w:spacing w:after="0"/>
              <w:rPr>
                <w:sz w:val="10"/>
                <w:szCs w:val="10"/>
                <w:color w:val="auto"/>
              </w:rPr>
            </w:pPr>
          </w:p>
        </w:tc>
        <w:tc>
          <w:tcPr>
            <w:tcW w:w="4020" w:type="dxa"/>
            <w:vAlign w:val="bottom"/>
            <w:tcBorders>
              <w:top w:val="single" w:sz="8" w:color="0000FF"/>
            </w:tcBorders>
            <w:gridSpan w:val="39"/>
          </w:tcPr>
          <w:p>
            <w:pPr>
              <w:spacing w:after="0" w:line="123"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RSU Award Grant Notice (Performance Vesting, Executive)</w:t>
              </w:r>
            </w:hyperlink>
          </w:p>
        </w:tc>
        <w:tc>
          <w:tcPr>
            <w:tcW w:w="429496719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364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w w:val="97"/>
              </w:rPr>
            </w:pPr>
            <w:hyperlink r:id="rId130">
              <w:r>
                <w:rPr>
                  <w:rFonts w:ascii="Times New Roman" w:cs="Times New Roman" w:eastAsia="Times New Roman" w:hAnsi="Times New Roman"/>
                  <w:sz w:val="14"/>
                  <w:szCs w:val="14"/>
                  <w:color w:val="0000FF"/>
                  <w:w w:val="97"/>
                </w:rPr>
                <w:t>Zoom Communications, Inc. 2019 Employee Stock Purchase Plan</w:t>
              </w:r>
            </w:hyperlink>
          </w:p>
        </w:tc>
        <w:tc>
          <w:tcPr>
            <w:tcW w:w="400" w:type="dxa"/>
            <w:vAlign w:val="bottom"/>
            <w:gridSpan w:val="24"/>
          </w:tcPr>
          <w:p>
            <w:pPr>
              <w:spacing w:after="0"/>
              <w:rPr>
                <w:sz w:val="13"/>
                <w:szCs w:val="13"/>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10.6</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February 28, 2025</w:t>
            </w: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Indemnification Agreement entered into by and between the</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S-1</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333-230444</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10.4</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22, 2019</w:t>
            </w:r>
          </w:p>
        </w:tc>
      </w:tr>
      <w:tr>
        <w:trPr>
          <w:trHeight w:val="122"/>
        </w:trPr>
        <w:tc>
          <w:tcPr>
            <w:tcW w:w="1160" w:type="dxa"/>
            <w:vAlign w:val="bottom"/>
          </w:tcPr>
          <w:p>
            <w:pPr>
              <w:spacing w:after="0"/>
              <w:rPr>
                <w:sz w:val="10"/>
                <w:szCs w:val="10"/>
                <w:color w:val="auto"/>
              </w:rPr>
            </w:pPr>
          </w:p>
        </w:tc>
        <w:tc>
          <w:tcPr>
            <w:tcW w:w="2740" w:type="dxa"/>
            <w:vAlign w:val="bottom"/>
            <w:tcBorders>
              <w:top w:val="single" w:sz="8" w:color="0000FF"/>
              <w:bottom w:val="single" w:sz="8" w:color="0000FF"/>
            </w:tcBorders>
            <w:gridSpan w:val="14"/>
          </w:tcPr>
          <w:p>
            <w:pPr>
              <w:spacing w:after="0" w:line="123" w:lineRule="exact"/>
              <w:rPr>
                <w:rFonts w:ascii="Times New Roman" w:cs="Times New Roman" w:eastAsia="Times New Roman" w:hAnsi="Times New Roman"/>
                <w:sz w:val="14"/>
                <w:szCs w:val="14"/>
                <w:color w:val="0000FF"/>
                <w:w w:val="97"/>
              </w:rPr>
            </w:pPr>
            <w:hyperlink r:id="rId131">
              <w:r>
                <w:rPr>
                  <w:rFonts w:ascii="Times New Roman" w:cs="Times New Roman" w:eastAsia="Times New Roman" w:hAnsi="Times New Roman"/>
                  <w:sz w:val="14"/>
                  <w:szCs w:val="14"/>
                  <w:color w:val="0000FF"/>
                  <w:w w:val="97"/>
                </w:rPr>
                <w:t>Registrant and each director and executive officer</w:t>
              </w:r>
            </w:hyperlink>
          </w:p>
        </w:tc>
        <w:tc>
          <w:tcPr>
            <w:tcW w:w="106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Zoom Video Communications, Inc. Non-Employee Director</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10.7</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3, 2023</w:t>
            </w:r>
          </w:p>
        </w:tc>
      </w:tr>
      <w:tr>
        <w:trPr>
          <w:trHeight w:val="122"/>
        </w:trPr>
        <w:tc>
          <w:tcPr>
            <w:tcW w:w="1160" w:type="dxa"/>
            <w:vAlign w:val="bottom"/>
          </w:tcPr>
          <w:p>
            <w:pPr>
              <w:spacing w:after="0"/>
              <w:rPr>
                <w:sz w:val="10"/>
                <w:szCs w:val="10"/>
                <w:color w:val="auto"/>
              </w:rPr>
            </w:pPr>
          </w:p>
        </w:tc>
        <w:tc>
          <w:tcPr>
            <w:tcW w:w="3320" w:type="dxa"/>
            <w:vAlign w:val="bottom"/>
            <w:tcBorders>
              <w:top w:val="single" w:sz="8" w:color="0000FF"/>
            </w:tcBorders>
            <w:gridSpan w:val="18"/>
          </w:tcPr>
          <w:p>
            <w:pPr>
              <w:spacing w:after="0" w:line="123"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Compensation Policy, as amended</w:t>
              </w:r>
            </w:hyperlink>
          </w:p>
        </w:tc>
        <w:tc>
          <w:tcPr>
            <w:tcW w:w="80" w:type="dxa"/>
            <w:vAlign w:val="bottom"/>
          </w:tcPr>
          <w:p>
            <w:pPr>
              <w:spacing w:after="0"/>
              <w:rPr>
                <w:sz w:val="10"/>
                <w:szCs w:val="10"/>
                <w:color w:val="auto"/>
              </w:rPr>
            </w:pPr>
          </w:p>
        </w:tc>
        <w:tc>
          <w:tcPr>
            <w:tcW w:w="2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Zoom Communications, Inc. 2019 Equity Incentive Plan Global RSU</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10.9</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February 28, 2025</w:t>
            </w:r>
          </w:p>
        </w:tc>
      </w:tr>
      <w:tr>
        <w:trPr>
          <w:trHeight w:val="122"/>
        </w:trPr>
        <w:tc>
          <w:tcPr>
            <w:tcW w:w="1160" w:type="dxa"/>
            <w:vAlign w:val="bottom"/>
          </w:tcPr>
          <w:p>
            <w:pPr>
              <w:spacing w:after="0"/>
              <w:rPr>
                <w:sz w:val="10"/>
                <w:szCs w:val="10"/>
                <w:color w:val="auto"/>
              </w:rPr>
            </w:pPr>
          </w:p>
        </w:tc>
        <w:tc>
          <w:tcPr>
            <w:tcW w:w="3940" w:type="dxa"/>
            <w:vAlign w:val="bottom"/>
            <w:tcBorders>
              <w:top w:val="single" w:sz="8" w:color="0000FF"/>
            </w:tcBorders>
            <w:gridSpan w:val="35"/>
          </w:tcPr>
          <w:p>
            <w:pPr>
              <w:spacing w:after="0" w:line="123"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Award Grant Notice (Executive)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Zoom Communications, Inc. 2019 Equity Incentive Plan Global RSU</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10.10</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February 28, 2025</w:t>
            </w:r>
          </w:p>
        </w:tc>
      </w:tr>
      <w:tr>
        <w:trPr>
          <w:trHeight w:val="122"/>
        </w:trPr>
        <w:tc>
          <w:tcPr>
            <w:tcW w:w="116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3" w:lineRule="exact"/>
              <w:rPr>
                <w:rFonts w:ascii="Times New Roman" w:cs="Times New Roman" w:eastAsia="Times New Roman" w:hAnsi="Times New Roman"/>
                <w:sz w:val="14"/>
                <w:szCs w:val="14"/>
                <w:color w:val="0000FF"/>
                <w:w w:val="96"/>
              </w:rPr>
            </w:pPr>
            <w:hyperlink r:id="rId134">
              <w:r>
                <w:rPr>
                  <w:rFonts w:ascii="Times New Roman" w:cs="Times New Roman" w:eastAsia="Times New Roman" w:hAnsi="Times New Roman"/>
                  <w:sz w:val="14"/>
                  <w:szCs w:val="14"/>
                  <w:color w:val="0000FF"/>
                  <w:w w:val="96"/>
                </w:rPr>
                <w:t>Award Grant Notice</w:t>
              </w:r>
            </w:hyperlink>
          </w:p>
        </w:tc>
        <w:tc>
          <w:tcPr>
            <w:tcW w:w="2820" w:type="dxa"/>
            <w:vAlign w:val="bottom"/>
            <w:tcBorders>
              <w:top w:val="single" w:sz="8" w:color="0000FF"/>
            </w:tcBorders>
            <w:gridSpan w:val="3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Zoom Video Communications, Inc. 2019 Equity Incentive Plan Non-</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10.3</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6"/>
              </w:rPr>
              <w:t>September 13, 201</w:t>
            </w:r>
          </w:p>
        </w:tc>
      </w:tr>
      <w:tr>
        <w:trPr>
          <w:trHeight w:val="122"/>
        </w:trPr>
        <w:tc>
          <w:tcPr>
            <w:tcW w:w="1160" w:type="dxa"/>
            <w:vAlign w:val="bottom"/>
          </w:tcPr>
          <w:p>
            <w:pPr>
              <w:spacing w:after="0"/>
              <w:rPr>
                <w:sz w:val="10"/>
                <w:szCs w:val="10"/>
                <w:color w:val="auto"/>
              </w:rPr>
            </w:pPr>
          </w:p>
        </w:tc>
        <w:tc>
          <w:tcPr>
            <w:tcW w:w="3820" w:type="dxa"/>
            <w:vAlign w:val="bottom"/>
            <w:tcBorders>
              <w:top w:val="single" w:sz="8" w:color="0000FF"/>
            </w:tcBorders>
            <w:gridSpan w:val="29"/>
          </w:tcPr>
          <w:p>
            <w:pPr>
              <w:spacing w:after="0" w:line="123"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Employee Director Global RSU Award Grant Notice</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Confirmatory Offer Letter by and between the Registrant and Eric S.</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S-1</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333-230444</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10.5</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22, 2019</w:t>
            </w:r>
          </w:p>
        </w:tc>
      </w:tr>
      <w:tr>
        <w:trPr>
          <w:trHeight w:val="122"/>
        </w:trPr>
        <w:tc>
          <w:tcPr>
            <w:tcW w:w="1160" w:type="dxa"/>
            <w:vAlign w:val="bottom"/>
          </w:tcPr>
          <w:p>
            <w:pPr>
              <w:spacing w:after="0"/>
              <w:rPr>
                <w:sz w:val="10"/>
                <w:szCs w:val="10"/>
                <w:color w:val="auto"/>
              </w:rPr>
            </w:pPr>
          </w:p>
        </w:tc>
        <w:tc>
          <w:tcPr>
            <w:tcW w:w="3780" w:type="dxa"/>
            <w:vAlign w:val="bottom"/>
            <w:tcBorders>
              <w:top w:val="single" w:sz="8" w:color="0000FF"/>
            </w:tcBorders>
            <w:gridSpan w:val="27"/>
          </w:tcPr>
          <w:p>
            <w:pPr>
              <w:spacing w:after="0" w:line="123"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Yuan, dated December 18, 2018</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Confirmatory Offer Letter by and between the Registrant and Aparna</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S-1</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333-230444</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10.6</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22, 2019</w:t>
            </w:r>
          </w:p>
        </w:tc>
      </w:tr>
      <w:tr>
        <w:trPr>
          <w:trHeight w:val="122"/>
        </w:trPr>
        <w:tc>
          <w:tcPr>
            <w:tcW w:w="116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8"/>
          </w:tcPr>
          <w:p>
            <w:pPr>
              <w:spacing w:after="0" w:line="123" w:lineRule="exact"/>
              <w:rPr>
                <w:rFonts w:ascii="Times New Roman" w:cs="Times New Roman" w:eastAsia="Times New Roman" w:hAnsi="Times New Roman"/>
                <w:sz w:val="14"/>
                <w:szCs w:val="14"/>
                <w:color w:val="0000FF"/>
                <w:w w:val="97"/>
              </w:rPr>
            </w:pPr>
            <w:hyperlink r:id="rId137">
              <w:r>
                <w:rPr>
                  <w:rFonts w:ascii="Times New Roman" w:cs="Times New Roman" w:eastAsia="Times New Roman" w:hAnsi="Times New Roman"/>
                  <w:sz w:val="14"/>
                  <w:szCs w:val="14"/>
                  <w:color w:val="0000FF"/>
                  <w:w w:val="97"/>
                </w:rPr>
                <w:t>Bawa, dated December 18, 2018</w:t>
              </w:r>
            </w:hyperlink>
          </w:p>
        </w:tc>
        <w:tc>
          <w:tcPr>
            <w:tcW w:w="206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4040" w:type="dxa"/>
            <w:vAlign w:val="bottom"/>
            <w:gridSpan w:val="45"/>
          </w:tcPr>
          <w:p>
            <w:pPr>
              <w:spacing w:after="0"/>
              <w:rPr>
                <w:rFonts w:ascii="Times New Roman" w:cs="Times New Roman" w:eastAsia="Times New Roman" w:hAnsi="Times New Roman"/>
                <w:sz w:val="14"/>
                <w:szCs w:val="14"/>
                <w:color w:val="0000FF"/>
                <w:w w:val="98"/>
              </w:rPr>
            </w:pPr>
            <w:hyperlink r:id="rId138">
              <w:r>
                <w:rPr>
                  <w:rFonts w:ascii="Times New Roman" w:cs="Times New Roman" w:eastAsia="Times New Roman" w:hAnsi="Times New Roman"/>
                  <w:sz w:val="14"/>
                  <w:szCs w:val="14"/>
                  <w:color w:val="0000FF"/>
                  <w:w w:val="98"/>
                </w:rPr>
                <w:t>Offer Letter by and between the Registrant and Velchamy Sankarlingam</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6"/>
              </w:rPr>
              <w:t>September 3, 2020</w:t>
            </w:r>
          </w:p>
        </w:tc>
      </w:tr>
      <w:tr>
        <w:trPr>
          <w:trHeight w:val="122"/>
        </w:trPr>
        <w:tc>
          <w:tcPr>
            <w:tcW w:w="1160" w:type="dxa"/>
            <w:vAlign w:val="bottom"/>
          </w:tcPr>
          <w:p>
            <w:pPr>
              <w:spacing w:after="0"/>
              <w:rPr>
                <w:sz w:val="10"/>
                <w:szCs w:val="10"/>
                <w:color w:val="auto"/>
              </w:rPr>
            </w:pPr>
          </w:p>
        </w:tc>
        <w:tc>
          <w:tcPr>
            <w:tcW w:w="1100" w:type="dxa"/>
            <w:vAlign w:val="bottom"/>
            <w:tcBorders>
              <w:top w:val="single" w:sz="8" w:color="0000FF"/>
              <w:bottom w:val="single" w:sz="8" w:color="0000FF"/>
            </w:tcBorders>
            <w:gridSpan w:val="3"/>
          </w:tcPr>
          <w:p>
            <w:pPr>
              <w:spacing w:after="0" w:line="123" w:lineRule="exact"/>
              <w:rPr>
                <w:rFonts w:ascii="Times New Roman" w:cs="Times New Roman" w:eastAsia="Times New Roman" w:hAnsi="Times New Roman"/>
                <w:sz w:val="14"/>
                <w:szCs w:val="14"/>
                <w:color w:val="0000FF"/>
                <w:w w:val="96"/>
              </w:rPr>
            </w:pPr>
            <w:hyperlink r:id="rId138">
              <w:r>
                <w:rPr>
                  <w:rFonts w:ascii="Times New Roman" w:cs="Times New Roman" w:eastAsia="Times New Roman" w:hAnsi="Times New Roman"/>
                  <w:sz w:val="14"/>
                  <w:szCs w:val="14"/>
                  <w:color w:val="0000FF"/>
                  <w:w w:val="96"/>
                </w:rPr>
                <w:t>dated May 19, 2020</w:t>
              </w:r>
            </w:hyperlink>
          </w:p>
        </w:tc>
        <w:tc>
          <w:tcPr>
            <w:tcW w:w="2900" w:type="dxa"/>
            <w:vAlign w:val="bottom"/>
            <w:tcBorders>
              <w:top w:val="single" w:sz="8" w:color="0000FF"/>
            </w:tcBorders>
            <w:gridSpan w:val="41"/>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Director Offer Letter by and between the Registrant and Lieut. General</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10.2</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6"/>
              </w:rPr>
              <w:t>September 3, 2020</w:t>
            </w:r>
          </w:p>
        </w:tc>
      </w:tr>
      <w:tr>
        <w:trPr>
          <w:trHeight w:val="122"/>
        </w:trPr>
        <w:tc>
          <w:tcPr>
            <w:tcW w:w="1160" w:type="dxa"/>
            <w:vAlign w:val="bottom"/>
          </w:tcPr>
          <w:p>
            <w:pPr>
              <w:spacing w:after="0"/>
              <w:rPr>
                <w:sz w:val="10"/>
                <w:szCs w:val="10"/>
                <w:color w:val="auto"/>
              </w:rPr>
            </w:pPr>
          </w:p>
        </w:tc>
        <w:tc>
          <w:tcPr>
            <w:tcW w:w="3920" w:type="dxa"/>
            <w:vAlign w:val="bottom"/>
            <w:tcBorders>
              <w:top w:val="single" w:sz="8" w:color="0000FF"/>
            </w:tcBorders>
            <w:gridSpan w:val="40"/>
          </w:tcPr>
          <w:p>
            <w:pPr>
              <w:spacing w:after="0" w:line="123"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H.R. McMaster dated May 6,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Director Offer Letter by and between the Registrant and Janet</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10.17</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18, 2021</w:t>
            </w:r>
          </w:p>
        </w:tc>
      </w:tr>
      <w:tr>
        <w:trPr>
          <w:trHeight w:val="122"/>
        </w:trPr>
        <w:tc>
          <w:tcPr>
            <w:tcW w:w="1160" w:type="dxa"/>
            <w:vAlign w:val="bottom"/>
          </w:tcPr>
          <w:p>
            <w:pPr>
              <w:spacing w:after="0"/>
              <w:rPr>
                <w:sz w:val="10"/>
                <w:szCs w:val="10"/>
                <w:color w:val="auto"/>
              </w:rPr>
            </w:pPr>
          </w:p>
        </w:tc>
        <w:tc>
          <w:tcPr>
            <w:tcW w:w="2020" w:type="dxa"/>
            <w:vAlign w:val="bottom"/>
            <w:tcBorders>
              <w:top w:val="single" w:sz="8" w:color="0000FF"/>
              <w:bottom w:val="single" w:sz="8" w:color="0000FF"/>
            </w:tcBorders>
            <w:gridSpan w:val="12"/>
          </w:tcPr>
          <w:p>
            <w:pPr>
              <w:spacing w:after="0" w:line="123" w:lineRule="exact"/>
              <w:rPr>
                <w:rFonts w:ascii="Times New Roman" w:cs="Times New Roman" w:eastAsia="Times New Roman" w:hAnsi="Times New Roman"/>
                <w:sz w:val="14"/>
                <w:szCs w:val="14"/>
                <w:color w:val="0000FF"/>
                <w:w w:val="97"/>
              </w:rPr>
            </w:pPr>
            <w:hyperlink r:id="rId140">
              <w:r>
                <w:rPr>
                  <w:rFonts w:ascii="Times New Roman" w:cs="Times New Roman" w:eastAsia="Times New Roman" w:hAnsi="Times New Roman"/>
                  <w:sz w:val="14"/>
                  <w:szCs w:val="14"/>
                  <w:color w:val="0000FF"/>
                  <w:w w:val="97"/>
                </w:rPr>
                <w:t>Napolitano dated November 2, 2020</w:t>
              </w:r>
            </w:hyperlink>
          </w:p>
        </w:tc>
        <w:tc>
          <w:tcPr>
            <w:tcW w:w="1380" w:type="dxa"/>
            <w:vAlign w:val="bottom"/>
            <w:tcBorders>
              <w:top w:val="single" w:sz="8" w:color="0000FF"/>
            </w:tcBorders>
            <w:gridSpan w:val="7"/>
          </w:tcPr>
          <w:p>
            <w:pPr>
              <w:spacing w:after="0"/>
              <w:rPr>
                <w:sz w:val="10"/>
                <w:szCs w:val="10"/>
                <w:color w:val="auto"/>
              </w:rPr>
            </w:pPr>
          </w:p>
        </w:tc>
        <w:tc>
          <w:tcPr>
            <w:tcW w:w="2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Director Offer Letter by and between the Registrant and William R.</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10.2</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May 25, 2022</w:t>
            </w:r>
          </w:p>
        </w:tc>
      </w:tr>
      <w:tr>
        <w:trPr>
          <w:trHeight w:val="122"/>
        </w:trPr>
        <w:tc>
          <w:tcPr>
            <w:tcW w:w="1160" w:type="dxa"/>
            <w:vAlign w:val="bottom"/>
          </w:tcPr>
          <w:p>
            <w:pPr>
              <w:spacing w:after="0"/>
              <w:rPr>
                <w:sz w:val="10"/>
                <w:szCs w:val="10"/>
                <w:color w:val="auto"/>
              </w:rPr>
            </w:pPr>
          </w:p>
        </w:tc>
        <w:tc>
          <w:tcPr>
            <w:tcW w:w="2020" w:type="dxa"/>
            <w:vAlign w:val="bottom"/>
            <w:tcBorders>
              <w:top w:val="single" w:sz="8" w:color="0000FF"/>
              <w:bottom w:val="single" w:sz="8" w:color="0000FF"/>
            </w:tcBorders>
            <w:gridSpan w:val="12"/>
          </w:tcPr>
          <w:p>
            <w:pPr>
              <w:spacing w:after="0" w:line="123" w:lineRule="exact"/>
              <w:rPr>
                <w:rFonts w:ascii="Times New Roman" w:cs="Times New Roman" w:eastAsia="Times New Roman" w:hAnsi="Times New Roman"/>
                <w:sz w:val="14"/>
                <w:szCs w:val="14"/>
                <w:color w:val="0000FF"/>
                <w:w w:val="97"/>
              </w:rPr>
            </w:pPr>
            <w:hyperlink r:id="rId141">
              <w:r>
                <w:rPr>
                  <w:rFonts w:ascii="Times New Roman" w:cs="Times New Roman" w:eastAsia="Times New Roman" w:hAnsi="Times New Roman"/>
                  <w:sz w:val="14"/>
                  <w:szCs w:val="14"/>
                  <w:color w:val="0000FF"/>
                  <w:w w:val="97"/>
                </w:rPr>
                <w:t>McDermott dated February 23, 2022</w:t>
              </w:r>
            </w:hyperlink>
          </w:p>
        </w:tc>
        <w:tc>
          <w:tcPr>
            <w:tcW w:w="170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Director Offer Letter by and between the Registrant and Cindy Hoots</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10.20</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3, 2023</w:t>
            </w:r>
          </w:p>
        </w:tc>
      </w:tr>
      <w:tr>
        <w:trPr>
          <w:trHeight w:val="122"/>
        </w:trPr>
        <w:tc>
          <w:tcPr>
            <w:tcW w:w="1160" w:type="dxa"/>
            <w:vAlign w:val="bottom"/>
          </w:tcPr>
          <w:p>
            <w:pPr>
              <w:spacing w:after="0"/>
              <w:rPr>
                <w:sz w:val="10"/>
                <w:szCs w:val="10"/>
                <w:color w:val="auto"/>
              </w:rPr>
            </w:pPr>
          </w:p>
        </w:tc>
        <w:tc>
          <w:tcPr>
            <w:tcW w:w="3880" w:type="dxa"/>
            <w:vAlign w:val="bottom"/>
            <w:tcBorders>
              <w:top w:val="single" w:sz="8" w:color="0000FF"/>
            </w:tcBorders>
            <w:gridSpan w:val="32"/>
          </w:tcPr>
          <w:p>
            <w:pPr>
              <w:spacing w:after="0" w:line="123"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dated January 4,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1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Offer Letter between Zoom Video Communications, Inc. and Michelle</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8-K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October 1, 2024</w:t>
            </w:r>
          </w:p>
        </w:tc>
      </w:tr>
      <w:tr>
        <w:trPr>
          <w:trHeight w:val="122"/>
        </w:trPr>
        <w:tc>
          <w:tcPr>
            <w:tcW w:w="1160" w:type="dxa"/>
            <w:vAlign w:val="bottom"/>
          </w:tcPr>
          <w:p>
            <w:pPr>
              <w:spacing w:after="0"/>
              <w:rPr>
                <w:sz w:val="10"/>
                <w:szCs w:val="10"/>
                <w:color w:val="auto"/>
              </w:rPr>
            </w:pPr>
          </w:p>
        </w:tc>
        <w:tc>
          <w:tcPr>
            <w:tcW w:w="1920" w:type="dxa"/>
            <w:vAlign w:val="bottom"/>
            <w:tcBorders>
              <w:top w:val="single" w:sz="8" w:color="0000FF"/>
              <w:bottom w:val="single" w:sz="8" w:color="0000FF"/>
            </w:tcBorders>
            <w:gridSpan w:val="10"/>
          </w:tcPr>
          <w:p>
            <w:pPr>
              <w:spacing w:after="0" w:line="123" w:lineRule="exact"/>
              <w:rPr>
                <w:rFonts w:ascii="Times New Roman" w:cs="Times New Roman" w:eastAsia="Times New Roman" w:hAnsi="Times New Roman"/>
                <w:sz w:val="14"/>
                <w:szCs w:val="14"/>
                <w:color w:val="0000FF"/>
                <w:w w:val="97"/>
              </w:rPr>
            </w:pPr>
            <w:hyperlink r:id="rId143">
              <w:r>
                <w:rPr>
                  <w:rFonts w:ascii="Times New Roman" w:cs="Times New Roman" w:eastAsia="Times New Roman" w:hAnsi="Times New Roman"/>
                  <w:sz w:val="14"/>
                  <w:szCs w:val="14"/>
                  <w:color w:val="0000FF"/>
                  <w:w w:val="97"/>
                </w:rPr>
                <w:t>Chang, dated September 25, 2024.</w:t>
              </w:r>
            </w:hyperlink>
          </w:p>
        </w:tc>
        <w:tc>
          <w:tcPr>
            <w:tcW w:w="2080" w:type="dxa"/>
            <w:vAlign w:val="bottom"/>
            <w:tcBorders>
              <w:top w:val="single" w:sz="8" w:color="0000FF"/>
            </w:tcBorders>
            <w:gridSpan w:val="28"/>
          </w:tcPr>
          <w:p>
            <w:pPr>
              <w:spacing w:after="0"/>
              <w:rPr>
                <w:sz w:val="10"/>
                <w:szCs w:val="10"/>
                <w:color w:val="auto"/>
              </w:rPr>
            </w:pPr>
          </w:p>
        </w:tc>
        <w:tc>
          <w:tcPr>
            <w:tcW w:w="4294967217"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Lease Agreement dated August 1, 2016, as amended, by and between</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S-1</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333-230444</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10.9</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22, 2019</w:t>
            </w:r>
          </w:p>
        </w:tc>
      </w:tr>
      <w:tr>
        <w:trPr>
          <w:trHeight w:val="122"/>
        </w:trPr>
        <w:tc>
          <w:tcPr>
            <w:tcW w:w="1160" w:type="dxa"/>
            <w:vAlign w:val="bottom"/>
          </w:tcPr>
          <w:p>
            <w:pPr>
              <w:spacing w:after="0"/>
              <w:rPr>
                <w:sz w:val="10"/>
                <w:szCs w:val="10"/>
                <w:color w:val="auto"/>
              </w:rPr>
            </w:pPr>
          </w:p>
        </w:tc>
        <w:tc>
          <w:tcPr>
            <w:tcW w:w="3900" w:type="dxa"/>
            <w:vAlign w:val="bottom"/>
            <w:tcBorders>
              <w:top w:val="single" w:sz="8" w:color="0000FF"/>
            </w:tcBorders>
            <w:gridSpan w:val="33"/>
          </w:tcPr>
          <w:p>
            <w:pPr>
              <w:spacing w:after="0" w:line="123"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Zoom Video Communications, Inc. and KBSIII Almaden Financial</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57"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09"/>
        </w:trPr>
        <w:tc>
          <w:tcPr>
            <w:tcW w:w="1160" w:type="dxa"/>
            <w:vAlign w:val="bottom"/>
          </w:tcPr>
          <w:p>
            <w:pPr>
              <w:spacing w:after="0"/>
              <w:rPr>
                <w:sz w:val="9"/>
                <w:szCs w:val="9"/>
                <w:color w:val="auto"/>
              </w:rPr>
            </w:pPr>
          </w:p>
        </w:tc>
        <w:tc>
          <w:tcPr>
            <w:tcW w:w="3700" w:type="dxa"/>
            <w:vAlign w:val="bottom"/>
            <w:tcBorders>
              <w:top w:val="single" w:sz="8" w:color="0000FF"/>
            </w:tcBorders>
            <w:gridSpan w:val="24"/>
          </w:tcPr>
          <w:p>
            <w:pPr>
              <w:spacing w:after="0" w:line="110"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Plaza, LLC</w:t>
              </w:r>
            </w:hyperlink>
          </w:p>
        </w:tc>
        <w:tc>
          <w:tcPr>
            <w:tcW w:w="40" w:type="dxa"/>
            <w:vAlign w:val="bottom"/>
            <w:gridSpan w:val="2"/>
          </w:tcPr>
          <w:p>
            <w:pPr>
              <w:spacing w:after="0"/>
              <w:rPr>
                <w:sz w:val="9"/>
                <w:szCs w:val="9"/>
                <w:color w:val="auto"/>
              </w:rPr>
            </w:pPr>
          </w:p>
        </w:tc>
        <w:tc>
          <w:tcPr>
            <w:tcW w:w="180" w:type="dxa"/>
            <w:vAlign w:val="bottom"/>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4294967257"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10.21</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Fourth Amendment to Lease Agreement by and between the Registrant</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10.5</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6"/>
              </w:rPr>
              <w:t>September 13, 201</w:t>
            </w:r>
          </w:p>
        </w:tc>
      </w:tr>
      <w:tr>
        <w:trPr>
          <w:trHeight w:val="122"/>
        </w:trPr>
        <w:tc>
          <w:tcPr>
            <w:tcW w:w="1160" w:type="dxa"/>
            <w:vAlign w:val="bottom"/>
          </w:tcPr>
          <w:p>
            <w:pPr>
              <w:spacing w:after="0"/>
              <w:rPr>
                <w:sz w:val="10"/>
                <w:szCs w:val="10"/>
                <w:color w:val="auto"/>
              </w:rPr>
            </w:pPr>
          </w:p>
        </w:tc>
        <w:tc>
          <w:tcPr>
            <w:tcW w:w="3940" w:type="dxa"/>
            <w:vAlign w:val="bottom"/>
            <w:tcBorders>
              <w:top w:val="single" w:sz="8" w:color="0000FF"/>
            </w:tcBorders>
            <w:gridSpan w:val="41"/>
          </w:tcPr>
          <w:p>
            <w:pPr>
              <w:spacing w:after="0" w:line="123"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and KBSIII Almaden Financial Plaza,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Fifth Amendment to Lease Agreement by and between Zoom Video</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10.1</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June 5, 2020</w:t>
            </w:r>
          </w:p>
        </w:tc>
      </w:tr>
      <w:tr>
        <w:trPr>
          <w:trHeight w:val="20"/>
        </w:trPr>
        <w:tc>
          <w:tcPr>
            <w:tcW w:w="11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9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22"/>
        </w:trPr>
        <w:tc>
          <w:tcPr>
            <w:tcW w:w="1160" w:type="dxa"/>
            <w:vAlign w:val="bottom"/>
          </w:tcPr>
          <w:p>
            <w:pPr>
              <w:spacing w:after="0"/>
              <w:rPr>
                <w:sz w:val="10"/>
                <w:szCs w:val="10"/>
                <w:color w:val="auto"/>
              </w:rPr>
            </w:pPr>
          </w:p>
        </w:tc>
        <w:tc>
          <w:tcPr>
            <w:tcW w:w="4040" w:type="dxa"/>
            <w:vAlign w:val="bottom"/>
            <w:gridSpan w:val="45"/>
          </w:tcPr>
          <w:p>
            <w:pPr>
              <w:spacing w:after="0" w:line="123" w:lineRule="exact"/>
              <w:rPr>
                <w:rFonts w:ascii="Times New Roman" w:cs="Times New Roman" w:eastAsia="Times New Roman" w:hAnsi="Times New Roman"/>
                <w:sz w:val="14"/>
                <w:szCs w:val="14"/>
                <w:color w:val="0000FF"/>
                <w:w w:val="99"/>
              </w:rPr>
            </w:pPr>
            <w:hyperlink r:id="rId146">
              <w:r>
                <w:rPr>
                  <w:rFonts w:ascii="Times New Roman" w:cs="Times New Roman" w:eastAsia="Times New Roman" w:hAnsi="Times New Roman"/>
                  <w:sz w:val="14"/>
                  <w:szCs w:val="14"/>
                  <w:color w:val="0000FF"/>
                  <w:w w:val="99"/>
                </w:rPr>
                <w:t>Communications, Inc. and KBSIII Almaden Financial Plaza, LLC dated</w:t>
              </w:r>
            </w:hyperlink>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09"/>
        </w:trPr>
        <w:tc>
          <w:tcPr>
            <w:tcW w:w="1160" w:type="dxa"/>
            <w:vAlign w:val="bottom"/>
          </w:tcPr>
          <w:p>
            <w:pPr>
              <w:spacing w:after="0"/>
              <w:rPr>
                <w:sz w:val="9"/>
                <w:szCs w:val="9"/>
                <w:color w:val="auto"/>
              </w:rPr>
            </w:pPr>
          </w:p>
        </w:tc>
        <w:tc>
          <w:tcPr>
            <w:tcW w:w="3980" w:type="dxa"/>
            <w:vAlign w:val="bottom"/>
            <w:tcBorders>
              <w:top w:val="single" w:sz="8" w:color="0000FF"/>
            </w:tcBorders>
            <w:gridSpan w:val="43"/>
          </w:tcPr>
          <w:p>
            <w:pPr>
              <w:spacing w:after="0" w:line="110" w:lineRule="exact"/>
              <w:rPr>
                <w:rFonts w:ascii="Times New Roman" w:cs="Times New Roman" w:eastAsia="Times New Roman" w:hAnsi="Times New Roman"/>
                <w:sz w:val="11"/>
                <w:szCs w:val="11"/>
                <w:color w:val="0000FF"/>
              </w:rPr>
            </w:pPr>
            <w:hyperlink r:id="rId146">
              <w:r>
                <w:rPr>
                  <w:rFonts w:ascii="Times New Roman" w:cs="Times New Roman" w:eastAsia="Times New Roman" w:hAnsi="Times New Roman"/>
                  <w:sz w:val="11"/>
                  <w:szCs w:val="11"/>
                  <w:color w:val="0000FF"/>
                </w:rPr>
                <w:t>March 9, 2020</w:t>
              </w:r>
            </w:hyperlink>
          </w:p>
        </w:tc>
        <w:tc>
          <w:tcPr>
            <w:tcW w:w="6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3920" w:type="dxa"/>
            <w:vAlign w:val="bottom"/>
            <w:tcBorders>
              <w:bottom w:val="single" w:sz="8" w:color="0000FF"/>
            </w:tcBorders>
            <w:gridSpan w:val="40"/>
          </w:tcPr>
          <w:p>
            <w:pPr>
              <w:spacing w:after="0"/>
              <w:rPr>
                <w:rFonts w:ascii="Times New Roman" w:cs="Times New Roman" w:eastAsia="Times New Roman" w:hAnsi="Times New Roman"/>
                <w:sz w:val="14"/>
                <w:szCs w:val="14"/>
                <w:color w:val="0000FF"/>
                <w:w w:val="97"/>
              </w:rPr>
            </w:pPr>
            <w:hyperlink r:id="rId147">
              <w:r>
                <w:rPr>
                  <w:rFonts w:ascii="Times New Roman" w:cs="Times New Roman" w:eastAsia="Times New Roman" w:hAnsi="Times New Roman"/>
                  <w:sz w:val="14"/>
                  <w:szCs w:val="14"/>
                  <w:color w:val="0000FF"/>
                  <w:w w:val="97"/>
                </w:rPr>
                <w:t>Zoom Video Communications, Inc. Officer Incentive Plan, as amended</w:t>
              </w:r>
            </w:hyperlink>
          </w:p>
        </w:tc>
        <w:tc>
          <w:tcPr>
            <w:tcW w:w="120" w:type="dxa"/>
            <w:vAlign w:val="bottom"/>
            <w:gridSpan w:val="5"/>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10.21</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March 7, 2022</w:t>
            </w: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10.24#</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Zoom Video Communications, Inc. Severance and Change in Control</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10-Q</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10.2</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August 24, 2022</w:t>
            </w:r>
          </w:p>
        </w:tc>
      </w:tr>
      <w:tr>
        <w:trPr>
          <w:trHeight w:val="122"/>
        </w:trPr>
        <w:tc>
          <w:tcPr>
            <w:tcW w:w="1160" w:type="dxa"/>
            <w:vAlign w:val="bottom"/>
          </w:tcPr>
          <w:p>
            <w:pPr>
              <w:spacing w:after="0"/>
              <w:rPr>
                <w:sz w:val="10"/>
                <w:szCs w:val="10"/>
                <w:color w:val="auto"/>
              </w:rPr>
            </w:pPr>
          </w:p>
        </w:tc>
        <w:tc>
          <w:tcPr>
            <w:tcW w:w="2940" w:type="dxa"/>
            <w:vAlign w:val="bottom"/>
            <w:tcBorders>
              <w:top w:val="single" w:sz="8" w:color="0000FF"/>
              <w:bottom w:val="single" w:sz="8" w:color="0000FF"/>
            </w:tcBorders>
            <w:gridSpan w:val="16"/>
          </w:tcPr>
          <w:p>
            <w:pPr>
              <w:spacing w:after="0" w:line="123" w:lineRule="exact"/>
              <w:rPr>
                <w:rFonts w:ascii="Times New Roman" w:cs="Times New Roman" w:eastAsia="Times New Roman" w:hAnsi="Times New Roman"/>
                <w:sz w:val="14"/>
                <w:szCs w:val="14"/>
                <w:color w:val="0000FF"/>
                <w:w w:val="97"/>
              </w:rPr>
            </w:pPr>
            <w:hyperlink r:id="rId148">
              <w:r>
                <w:rPr>
                  <w:rFonts w:ascii="Times New Roman" w:cs="Times New Roman" w:eastAsia="Times New Roman" w:hAnsi="Times New Roman"/>
                  <w:sz w:val="14"/>
                  <w:szCs w:val="14"/>
                  <w:color w:val="0000FF"/>
                  <w:w w:val="97"/>
                </w:rPr>
                <w:t>Plan and form of Participation Agreement thereunder</w:t>
              </w:r>
            </w:hyperlink>
          </w:p>
        </w:tc>
        <w:tc>
          <w:tcPr>
            <w:tcW w:w="980" w:type="dxa"/>
            <w:vAlign w:val="bottom"/>
            <w:tcBorders>
              <w:top w:val="single" w:sz="8" w:color="0000FF"/>
            </w:tcBorders>
            <w:gridSpan w:val="18"/>
          </w:tcPr>
          <w:p>
            <w:pPr>
              <w:spacing w:after="0"/>
              <w:rPr>
                <w:sz w:val="10"/>
                <w:szCs w:val="10"/>
                <w:color w:val="auto"/>
              </w:rPr>
            </w:pPr>
          </w:p>
        </w:tc>
        <w:tc>
          <w:tcPr>
            <w:tcW w:w="40" w:type="dxa"/>
            <w:vAlign w:val="bottom"/>
            <w:gridSpan w:val="2"/>
          </w:tcPr>
          <w:p>
            <w:pPr>
              <w:spacing w:after="0"/>
              <w:rPr>
                <w:sz w:val="10"/>
                <w:szCs w:val="10"/>
                <w:color w:val="auto"/>
              </w:rPr>
            </w:pPr>
          </w:p>
        </w:tc>
        <w:tc>
          <w:tcPr>
            <w:tcW w:w="4294967257"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19.1</w:t>
            </w:r>
          </w:p>
        </w:tc>
        <w:tc>
          <w:tcPr>
            <w:tcW w:w="4040" w:type="dxa"/>
            <w:vAlign w:val="bottom"/>
            <w:gridSpan w:val="45"/>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Zoom Communications, Inc. Insider Trading Policy</w:t>
              </w:r>
            </w:hyperlink>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w:t>
            </w:r>
          </w:p>
        </w:tc>
        <w:tc>
          <w:tcPr>
            <w:tcW w:w="17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19.1</w:t>
            </w:r>
          </w:p>
        </w:tc>
        <w:tc>
          <w:tcPr>
            <w:tcW w:w="1620" w:type="dxa"/>
            <w:vAlign w:val="bottom"/>
          </w:tcPr>
          <w:p>
            <w:pPr>
              <w:ind w:left="580"/>
              <w:spacing w:after="0"/>
              <w:rPr>
                <w:sz w:val="20"/>
                <w:szCs w:val="20"/>
                <w:color w:val="auto"/>
              </w:rPr>
            </w:pPr>
            <w:r>
              <w:rPr>
                <w:rFonts w:ascii="Times New Roman" w:cs="Times New Roman" w:eastAsia="Times New Roman" w:hAnsi="Times New Roman"/>
                <w:sz w:val="14"/>
                <w:szCs w:val="14"/>
                <w:color w:val="auto"/>
                <w:w w:val="98"/>
              </w:rPr>
              <w:t>February 28, 2025</w:t>
            </w: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20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7"/>
              </w:rPr>
              <w:t>List of subsidiaries of the Registrant</w:t>
            </w:r>
          </w:p>
        </w:tc>
        <w:tc>
          <w:tcPr>
            <w:tcW w:w="900" w:type="dxa"/>
            <w:vAlign w:val="bottom"/>
            <w:tcBorders>
              <w:top w:val="single" w:sz="8" w:color="0000FF"/>
            </w:tcBorders>
            <w:gridSpan w:val="4"/>
          </w:tcPr>
          <w:p>
            <w:pPr>
              <w:spacing w:after="0"/>
              <w:rPr>
                <w:sz w:val="15"/>
                <w:szCs w:val="15"/>
                <w:color w:val="auto"/>
              </w:rPr>
            </w:pPr>
          </w:p>
        </w:tc>
        <w:tc>
          <w:tcPr>
            <w:tcW w:w="1140" w:type="dxa"/>
            <w:vAlign w:val="bottom"/>
            <w:gridSpan w:val="30"/>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92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4"/>
                <w:szCs w:val="14"/>
                <w:color w:val="0000FF"/>
                <w:w w:val="97"/>
              </w:rPr>
              <w:t>Consent of KPMG LLP, independent registered public accounting firm</w:t>
            </w:r>
          </w:p>
        </w:tc>
        <w:tc>
          <w:tcPr>
            <w:tcW w:w="120" w:type="dxa"/>
            <w:vAlign w:val="bottom"/>
            <w:gridSpan w:val="5"/>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w w:val="97"/>
              </w:rPr>
              <w:t>Power of Attorney (reference is made to the signature page hereto)</w:t>
            </w:r>
          </w:p>
        </w:tc>
        <w:tc>
          <w:tcPr>
            <w:tcW w:w="360" w:type="dxa"/>
            <w:vAlign w:val="bottom"/>
            <w:gridSpan w:val="22"/>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040" w:type="dxa"/>
            <w:vAlign w:val="bottom"/>
            <w:gridSpan w:val="45"/>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w:t>
            </w: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22"/>
        </w:trPr>
        <w:tc>
          <w:tcPr>
            <w:tcW w:w="1160" w:type="dxa"/>
            <w:vAlign w:val="bottom"/>
          </w:tcPr>
          <w:p>
            <w:pPr>
              <w:spacing w:after="0"/>
              <w:rPr>
                <w:sz w:val="10"/>
                <w:szCs w:val="10"/>
                <w:color w:val="auto"/>
              </w:rPr>
            </w:pPr>
          </w:p>
        </w:tc>
        <w:tc>
          <w:tcPr>
            <w:tcW w:w="3660" w:type="dxa"/>
            <w:vAlign w:val="bottom"/>
            <w:tcBorders>
              <w:top w:val="single" w:sz="8" w:color="0000FF"/>
            </w:tcBorders>
            <w:gridSpan w:val="22"/>
          </w:tcPr>
          <w:p>
            <w:pPr>
              <w:spacing w:after="0" w:line="123" w:lineRule="exact"/>
              <w:rPr>
                <w:sz w:val="20"/>
                <w:szCs w:val="20"/>
                <w:color w:val="auto"/>
              </w:rPr>
            </w:pPr>
            <w:r>
              <w:rPr>
                <w:rFonts w:ascii="Times New Roman" w:cs="Times New Roman" w:eastAsia="Times New Roman" w:hAnsi="Times New Roman"/>
                <w:sz w:val="14"/>
                <w:szCs w:val="14"/>
                <w:color w:val="0000FF"/>
                <w:w w:val="97"/>
              </w:rPr>
              <w:t>Rules 13a-14(a) and 15d-14(a), as adopted pursuant to Section 302</w:t>
            </w:r>
          </w:p>
        </w:tc>
        <w:tc>
          <w:tcPr>
            <w:tcW w:w="20" w:type="dxa"/>
            <w:vAlign w:val="bottom"/>
          </w:tcPr>
          <w:p>
            <w:pPr>
              <w:spacing w:after="0"/>
              <w:rPr>
                <w:sz w:val="10"/>
                <w:szCs w:val="10"/>
                <w:color w:val="auto"/>
              </w:rPr>
            </w:pPr>
          </w:p>
        </w:tc>
        <w:tc>
          <w:tcPr>
            <w:tcW w:w="360" w:type="dxa"/>
            <w:vAlign w:val="bottom"/>
            <w:gridSpan w:val="22"/>
          </w:tcPr>
          <w:p>
            <w:pPr>
              <w:ind w:left="40"/>
              <w:spacing w:after="0" w:line="123" w:lineRule="exact"/>
              <w:rPr>
                <w:sz w:val="20"/>
                <w:szCs w:val="20"/>
                <w:color w:val="auto"/>
              </w:rPr>
            </w:pPr>
            <w:r>
              <w:rPr>
                <w:rFonts w:ascii="Times New Roman" w:cs="Times New Roman" w:eastAsia="Times New Roman" w:hAnsi="Times New Roman"/>
                <w:sz w:val="14"/>
                <w:szCs w:val="14"/>
                <w:color w:val="0000FF"/>
              </w:rPr>
              <w:t>of</w:t>
            </w: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09"/>
        </w:trPr>
        <w:tc>
          <w:tcPr>
            <w:tcW w:w="1160" w:type="dxa"/>
            <w:vAlign w:val="bottom"/>
          </w:tcPr>
          <w:p>
            <w:pPr>
              <w:spacing w:after="0"/>
              <w:rPr>
                <w:sz w:val="9"/>
                <w:szCs w:val="9"/>
                <w:color w:val="auto"/>
              </w:rPr>
            </w:pPr>
          </w:p>
        </w:tc>
        <w:tc>
          <w:tcPr>
            <w:tcW w:w="3960" w:type="dxa"/>
            <w:vAlign w:val="bottom"/>
            <w:tcBorders>
              <w:top w:val="single" w:sz="8" w:color="0000FF"/>
            </w:tcBorders>
            <w:gridSpan w:val="36"/>
          </w:tcPr>
          <w:p>
            <w:pPr>
              <w:spacing w:after="0" w:line="110" w:lineRule="exact"/>
              <w:rPr>
                <w:sz w:val="20"/>
                <w:szCs w:val="20"/>
                <w:color w:val="auto"/>
              </w:rPr>
            </w:pPr>
            <w:r>
              <w:rPr>
                <w:rFonts w:ascii="Times New Roman" w:cs="Times New Roman" w:eastAsia="Times New Roman" w:hAnsi="Times New Roman"/>
                <w:sz w:val="11"/>
                <w:szCs w:val="11"/>
                <w:color w:val="0000FF"/>
              </w:rPr>
              <w:t>the Sarbanes-Oxley Act of 2002</w:t>
            </w:r>
          </w:p>
        </w:tc>
        <w:tc>
          <w:tcPr>
            <w:tcW w:w="0" w:type="dxa"/>
            <w:vAlign w:val="bottom"/>
            <w:gridSpan w:val="6"/>
          </w:tcPr>
          <w:p>
            <w:pPr>
              <w:spacing w:after="0"/>
              <w:rPr>
                <w:sz w:val="9"/>
                <w:szCs w:val="9"/>
                <w:color w:val="auto"/>
              </w:rPr>
            </w:pPr>
          </w:p>
        </w:tc>
        <w:tc>
          <w:tcPr>
            <w:tcW w:w="80" w:type="dxa"/>
            <w:vAlign w:val="bottom"/>
            <w:gridSpan w:val="3"/>
          </w:tcPr>
          <w:p>
            <w:pPr>
              <w:spacing w:after="0"/>
              <w:rPr>
                <w:sz w:val="9"/>
                <w:szCs w:val="9"/>
                <w:color w:val="auto"/>
              </w:rPr>
            </w:pPr>
          </w:p>
        </w:tc>
        <w:tc>
          <w:tcPr>
            <w:tcW w:w="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gridSpan w:val="16"/>
          </w:tcPr>
          <w:p>
            <w:pPr>
              <w:spacing w:after="0" w:line="20" w:lineRule="exact"/>
              <w:rPr>
                <w:sz w:val="1"/>
                <w:szCs w:val="1"/>
                <w:color w:val="auto"/>
              </w:rPr>
            </w:pPr>
          </w:p>
        </w:tc>
        <w:tc>
          <w:tcPr>
            <w:tcW w:w="280" w:type="dxa"/>
            <w:vAlign w:val="bottom"/>
            <w:gridSpan w:val="1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040" w:type="dxa"/>
            <w:vAlign w:val="bottom"/>
            <w:gridSpan w:val="45"/>
          </w:tcPr>
          <w:p>
            <w:pPr>
              <w:spacing w:after="0"/>
              <w:rPr>
                <w:sz w:val="20"/>
                <w:szCs w:val="20"/>
                <w:color w:val="auto"/>
              </w:rPr>
            </w:pPr>
            <w:r>
              <w:rPr>
                <w:rFonts w:ascii="Times New Roman" w:cs="Times New Roman" w:eastAsia="Times New Roman" w:hAnsi="Times New Roman"/>
                <w:sz w:val="14"/>
                <w:szCs w:val="14"/>
                <w:color w:val="0000FF"/>
                <w:w w:val="99"/>
              </w:rPr>
              <w:t>Certification of Chief Financial Officer pursuant to Exchange Act Rules</w:t>
            </w:r>
          </w:p>
        </w:tc>
        <w:tc>
          <w:tcPr>
            <w:tcW w:w="9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22"/>
        </w:trPr>
        <w:tc>
          <w:tcPr>
            <w:tcW w:w="1160" w:type="dxa"/>
            <w:vAlign w:val="bottom"/>
          </w:tcPr>
          <w:p>
            <w:pPr>
              <w:spacing w:after="0"/>
              <w:rPr>
                <w:sz w:val="10"/>
                <w:szCs w:val="10"/>
                <w:color w:val="auto"/>
              </w:rPr>
            </w:pPr>
          </w:p>
        </w:tc>
        <w:tc>
          <w:tcPr>
            <w:tcW w:w="3960" w:type="dxa"/>
            <w:vAlign w:val="bottom"/>
            <w:tcBorders>
              <w:top w:val="single" w:sz="8" w:color="0000FF"/>
            </w:tcBorders>
            <w:gridSpan w:val="42"/>
          </w:tcPr>
          <w:p>
            <w:pPr>
              <w:spacing w:after="0" w:line="123" w:lineRule="exact"/>
              <w:rPr>
                <w:sz w:val="20"/>
                <w:szCs w:val="20"/>
                <w:color w:val="auto"/>
              </w:rPr>
            </w:pPr>
            <w:r>
              <w:rPr>
                <w:rFonts w:ascii="Times New Roman" w:cs="Times New Roman" w:eastAsia="Times New Roman" w:hAnsi="Times New Roman"/>
                <w:sz w:val="14"/>
                <w:szCs w:val="14"/>
                <w:color w:val="0000FF"/>
              </w:rPr>
              <w:t>13a-14(a) and 15d-14(a), as adopted pursuant to Section 302 of the</w:t>
            </w:r>
          </w:p>
        </w:tc>
        <w:tc>
          <w:tcPr>
            <w:tcW w:w="8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109"/>
        </w:trPr>
        <w:tc>
          <w:tcPr>
            <w:tcW w:w="1160" w:type="dxa"/>
            <w:vAlign w:val="bottom"/>
          </w:tcPr>
          <w:p>
            <w:pPr>
              <w:spacing w:after="0"/>
              <w:rPr>
                <w:sz w:val="9"/>
                <w:szCs w:val="9"/>
                <w:color w:val="auto"/>
              </w:rPr>
            </w:pPr>
          </w:p>
        </w:tc>
        <w:tc>
          <w:tcPr>
            <w:tcW w:w="3680" w:type="dxa"/>
            <w:vAlign w:val="bottom"/>
            <w:tcBorders>
              <w:top w:val="single" w:sz="8" w:color="0000FF"/>
            </w:tcBorders>
            <w:gridSpan w:val="23"/>
          </w:tcPr>
          <w:p>
            <w:pPr>
              <w:spacing w:after="0" w:line="110" w:lineRule="exact"/>
              <w:rPr>
                <w:sz w:val="20"/>
                <w:szCs w:val="20"/>
                <w:color w:val="auto"/>
              </w:rPr>
            </w:pPr>
            <w:r>
              <w:rPr>
                <w:rFonts w:ascii="Times New Roman" w:cs="Times New Roman" w:eastAsia="Times New Roman" w:hAnsi="Times New Roman"/>
                <w:sz w:val="11"/>
                <w:szCs w:val="11"/>
                <w:color w:val="0000FF"/>
              </w:rPr>
              <w:t>Sarbanes-Oxley Act of 2002</w:t>
            </w:r>
          </w:p>
        </w:tc>
        <w:tc>
          <w:tcPr>
            <w:tcW w:w="360" w:type="dxa"/>
            <w:vAlign w:val="bottom"/>
            <w:gridSpan w:val="22"/>
          </w:tcPr>
          <w:p>
            <w:pPr>
              <w:spacing w:after="0"/>
              <w:rPr>
                <w:sz w:val="9"/>
                <w:szCs w:val="9"/>
                <w:color w:val="auto"/>
              </w:rPr>
            </w:pPr>
          </w:p>
        </w:tc>
        <w:tc>
          <w:tcPr>
            <w:tcW w:w="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9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7"/>
              </w:rPr>
              <w:t>Certifications of Chief Executive Officer and Chief Financial Officer</w:t>
            </w:r>
          </w:p>
        </w:tc>
        <w:tc>
          <w:tcPr>
            <w:tcW w:w="24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22"/>
        </w:trPr>
        <w:tc>
          <w:tcPr>
            <w:tcW w:w="1160" w:type="dxa"/>
            <w:vAlign w:val="bottom"/>
          </w:tcPr>
          <w:p>
            <w:pPr>
              <w:spacing w:after="0"/>
              <w:rPr>
                <w:sz w:val="10"/>
                <w:szCs w:val="10"/>
                <w:color w:val="auto"/>
              </w:rPr>
            </w:pPr>
          </w:p>
        </w:tc>
        <w:tc>
          <w:tcPr>
            <w:tcW w:w="4040" w:type="dxa"/>
            <w:vAlign w:val="bottom"/>
            <w:gridSpan w:val="5"/>
          </w:tcPr>
          <w:p>
            <w:pPr>
              <w:spacing w:after="0" w:line="123" w:lineRule="exact"/>
              <w:rPr>
                <w:sz w:val="20"/>
                <w:szCs w:val="20"/>
                <w:color w:val="auto"/>
              </w:rPr>
            </w:pPr>
            <w:r>
              <w:rPr>
                <w:rFonts w:ascii="Times New Roman" w:cs="Times New Roman" w:eastAsia="Times New Roman" w:hAnsi="Times New Roman"/>
                <w:sz w:val="14"/>
                <w:szCs w:val="14"/>
                <w:color w:val="0000FF"/>
              </w:rPr>
              <w:t>pursuant to 18 U.S.C. Section 1350, as adopted pursuant to Section 906</w:t>
            </w:r>
          </w:p>
        </w:tc>
        <w:tc>
          <w:tcPr>
            <w:tcW w:w="10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09"/>
        </w:trPr>
        <w:tc>
          <w:tcPr>
            <w:tcW w:w="1160" w:type="dxa"/>
            <w:vAlign w:val="bottom"/>
          </w:tcPr>
          <w:p>
            <w:pPr>
              <w:spacing w:after="0"/>
              <w:rPr>
                <w:sz w:val="9"/>
                <w:szCs w:val="9"/>
                <w:color w:val="auto"/>
              </w:rPr>
            </w:pPr>
          </w:p>
        </w:tc>
        <w:tc>
          <w:tcPr>
            <w:tcW w:w="1920" w:type="dxa"/>
            <w:vAlign w:val="bottom"/>
            <w:tcBorders>
              <w:top w:val="single" w:sz="8" w:color="0000FF"/>
              <w:bottom w:val="single" w:sz="8" w:color="0000FF"/>
            </w:tcBorders>
          </w:tcPr>
          <w:p>
            <w:pPr>
              <w:spacing w:after="0" w:line="110" w:lineRule="exact"/>
              <w:rPr>
                <w:sz w:val="20"/>
                <w:szCs w:val="20"/>
                <w:color w:val="auto"/>
              </w:rPr>
            </w:pPr>
            <w:r>
              <w:rPr>
                <w:rFonts w:ascii="Times New Roman" w:cs="Times New Roman" w:eastAsia="Times New Roman" w:hAnsi="Times New Roman"/>
                <w:sz w:val="11"/>
                <w:szCs w:val="11"/>
                <w:color w:val="0000FF"/>
              </w:rPr>
              <w:t>of the Sarbanes-Oxley Act of 2002</w:t>
            </w:r>
          </w:p>
        </w:tc>
        <w:tc>
          <w:tcPr>
            <w:tcW w:w="2020" w:type="dxa"/>
            <w:vAlign w:val="bottom"/>
            <w:tcBorders>
              <w:top w:val="single" w:sz="8" w:color="0000FF"/>
            </w:tcBorders>
            <w:gridSpan w:val="3"/>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292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7"/>
              </w:rPr>
            </w:pPr>
            <w:hyperlink r:id="rId151">
              <w:r>
                <w:rPr>
                  <w:rFonts w:ascii="Times New Roman" w:cs="Times New Roman" w:eastAsia="Times New Roman" w:hAnsi="Times New Roman"/>
                  <w:sz w:val="14"/>
                  <w:szCs w:val="14"/>
                  <w:color w:val="0000FF"/>
                  <w:w w:val="97"/>
                </w:rPr>
                <w:t>Zoom Video Communications, Inc. Clawback Policy</w:t>
              </w:r>
            </w:hyperlink>
          </w:p>
        </w:tc>
        <w:tc>
          <w:tcPr>
            <w:tcW w:w="1120" w:type="dxa"/>
            <w:vAlign w:val="bottom"/>
            <w:gridSpan w:val="3"/>
          </w:tcPr>
          <w:p>
            <w:pPr>
              <w:spacing w:after="0"/>
              <w:rPr>
                <w:sz w:val="15"/>
                <w:szCs w:val="15"/>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10-K</w:t>
            </w:r>
          </w:p>
        </w:tc>
        <w:tc>
          <w:tcPr>
            <w:tcW w:w="168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001-38865</w:t>
            </w: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4"/>
                <w:szCs w:val="14"/>
                <w:color w:val="auto"/>
              </w:rPr>
              <w:t>97.1</w:t>
            </w:r>
          </w:p>
        </w:tc>
        <w:tc>
          <w:tcPr>
            <w:tcW w:w="1420" w:type="dxa"/>
            <w:vAlign w:val="bottom"/>
          </w:tcPr>
          <w:p>
            <w:pPr>
              <w:ind w:left="620"/>
              <w:spacing w:after="0"/>
              <w:rPr>
                <w:sz w:val="20"/>
                <w:szCs w:val="20"/>
                <w:color w:val="auto"/>
              </w:rPr>
            </w:pPr>
            <w:r>
              <w:rPr>
                <w:rFonts w:ascii="Times New Roman" w:cs="Times New Roman" w:eastAsia="Times New Roman" w:hAnsi="Times New Roman"/>
                <w:sz w:val="14"/>
                <w:szCs w:val="14"/>
                <w:color w:val="auto"/>
                <w:w w:val="95"/>
              </w:rPr>
              <w:t>March 4, 2024</w:t>
            </w:r>
          </w:p>
        </w:tc>
      </w:tr>
      <w:tr>
        <w:trPr>
          <w:trHeight w:val="20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4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28" w:lineRule="exact"/>
        <w:rPr>
          <w:sz w:val="20"/>
          <w:szCs w:val="20"/>
          <w:color w:val="auto"/>
        </w:rPr>
      </w:pPr>
    </w:p>
    <w:p>
      <w:pPr>
        <w:ind w:left="1640" w:hanging="1154"/>
        <w:spacing w:after="0"/>
        <w:tabs>
          <w:tab w:leader="none" w:pos="164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w:t>
      </w:r>
    </w:p>
    <w:p>
      <w:pPr>
        <w:spacing w:after="0" w:line="213" w:lineRule="exact"/>
        <w:rPr>
          <w:rFonts w:ascii="Times New Roman" w:cs="Times New Roman" w:eastAsia="Times New Roman" w:hAnsi="Times New Roman"/>
          <w:sz w:val="14"/>
          <w:szCs w:val="14"/>
          <w:color w:val="auto"/>
        </w:rPr>
      </w:pPr>
    </w:p>
    <w:p>
      <w:pPr>
        <w:ind w:left="220" w:hanging="217"/>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or arrangement.</w:t>
      </w:r>
    </w:p>
    <w:p>
      <w:pPr>
        <w:spacing w:after="0" w:line="97" w:lineRule="exact"/>
        <w:rPr>
          <w:sz w:val="20"/>
          <w:szCs w:val="20"/>
          <w:color w:val="auto"/>
        </w:rPr>
      </w:pPr>
    </w:p>
    <w:p>
      <w:pPr>
        <w:ind w:left="620" w:hanging="617"/>
        <w:spacing w:after="0" w:line="263" w:lineRule="auto"/>
        <w:tabs>
          <w:tab w:leader="none" w:pos="24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Financial Statement Schedules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Schedule II: Valuation and Qualifying Accounts</w:t>
      </w:r>
    </w:p>
    <w:p>
      <w:pPr>
        <w:spacing w:after="0" w:line="119"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The table below details the activity of the accounts receivable allowances and deferred tax asset valuation allowance for the fiscal years ended January 31, 2026, 2025, and 2024: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80" w:type="dxa"/>
            <w:vAlign w:val="bottom"/>
          </w:tcPr>
          <w:p>
            <w:pPr>
              <w:spacing w:after="0"/>
              <w:rPr>
                <w:sz w:val="13"/>
                <w:szCs w:val="13"/>
                <w:color w:val="auto"/>
              </w:rPr>
            </w:pPr>
          </w:p>
        </w:tc>
        <w:tc>
          <w:tcPr>
            <w:tcW w:w="1540" w:type="dxa"/>
            <w:vAlign w:val="bottom"/>
            <w:vMerge w:val="restart"/>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Write-offs or Deductions</w:t>
            </w:r>
          </w:p>
        </w:tc>
        <w:tc>
          <w:tcPr>
            <w:tcW w:w="10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4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January 31, 2026</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22,078</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22,688</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(26,418)</w:t>
            </w:r>
          </w:p>
        </w:tc>
        <w:tc>
          <w:tcPr>
            <w:tcW w:w="10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asset valuation allowance</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0" w:type="dxa"/>
            <w:vAlign w:val="bottom"/>
          </w:tcPr>
          <w:p>
            <w:pPr>
              <w:spacing w:after="0"/>
              <w:rPr>
                <w:sz w:val="1"/>
                <w:szCs w:val="1"/>
                <w:color w:val="auto"/>
              </w:rPr>
            </w:pPr>
          </w:p>
        </w:tc>
      </w:tr>
      <w:tr>
        <w:trPr>
          <w:trHeight w:val="205"/>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January 31, 2025</w:t>
            </w: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22,078</w:t>
            </w:r>
          </w:p>
        </w:tc>
        <w:tc>
          <w:tcPr>
            <w:tcW w:w="0" w:type="dxa"/>
            <w:vAlign w:val="bottom"/>
          </w:tcPr>
          <w:p>
            <w:pPr>
              <w:spacing w:after="0"/>
              <w:rPr>
                <w:sz w:val="1"/>
                <w:szCs w:val="1"/>
                <w:color w:val="auto"/>
              </w:rPr>
            </w:pPr>
          </w:p>
        </w:tc>
      </w:tr>
      <w:tr>
        <w:trPr>
          <w:trHeight w:val="204"/>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asset valuation allowance</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35,949</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(6,959)</w:t>
            </w:r>
          </w:p>
        </w:tc>
        <w:tc>
          <w:tcPr>
            <w:tcW w:w="10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January 31, 2024</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allowances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33,206</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52,730</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(53,565)</w:t>
            </w:r>
          </w:p>
        </w:tc>
        <w:tc>
          <w:tcPr>
            <w:tcW w:w="10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32,371</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 asset valuation allowance</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35,949</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both"/>
        <w:ind w:firstLine="465"/>
        <w:spacing w:after="0" w:line="288" w:lineRule="auto"/>
        <w:rPr>
          <w:sz w:val="20"/>
          <w:szCs w:val="20"/>
          <w:color w:val="auto"/>
        </w:rPr>
      </w:pPr>
      <w:r>
        <w:rPr>
          <w:rFonts w:ascii="Times New Roman" w:cs="Times New Roman" w:eastAsia="Times New Roman" w:hAnsi="Times New Roman"/>
          <w:sz w:val="17"/>
          <w:szCs w:val="17"/>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firstLine="465"/>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6980" w:type="dxa"/>
            <w:vAlign w:val="bottom"/>
            <w:gridSpan w:val="2"/>
          </w:tcPr>
          <w:p>
            <w:pPr>
              <w:ind w:left="252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304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Eric S. Yuan</w:t>
            </w:r>
          </w:p>
        </w:tc>
      </w:tr>
      <w:tr>
        <w:trPr>
          <w:trHeight w:val="209"/>
        </w:trPr>
        <w:tc>
          <w:tcPr>
            <w:tcW w:w="4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S. Yuan</w:t>
            </w:r>
          </w:p>
        </w:tc>
      </w:tr>
      <w:tr>
        <w:trPr>
          <w:trHeight w:val="216"/>
        </w:trPr>
        <w:tc>
          <w:tcPr>
            <w:tcW w:w="4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7"/>
        </w:trPr>
        <w:tc>
          <w:tcPr>
            <w:tcW w:w="4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65"/>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3040" w:type="dxa"/>
            <w:vAlign w:val="bottom"/>
          </w:tcPr>
          <w:p>
            <w:pPr>
              <w:ind w:left="2520"/>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9"/>
        </w:trPr>
        <w:tc>
          <w:tcPr>
            <w:tcW w:w="4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16"/>
        </w:trPr>
        <w:tc>
          <w:tcPr>
            <w:tcW w:w="4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42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35"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Eric S. Yuan, Michelle Chang,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14" w:lineRule="exact"/>
        <w:rPr>
          <w:sz w:val="20"/>
          <w:szCs w:val="20"/>
          <w:color w:val="auto"/>
        </w:rPr>
      </w:pPr>
    </w:p>
    <w:p>
      <w:pPr>
        <w:ind w:right="2520" w:firstLine="422"/>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3" w:right="339" w:bottom="1440" w:gutter="0" w:footer="0" w:header="0"/>
        </w:sectPr>
      </w:pPr>
    </w:p>
    <w:p>
      <w:pPr>
        <w:spacing w:after="0" w:line="229"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17780</wp:posOffset>
            </wp:positionV>
            <wp:extent cx="23139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17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4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Eric S. Yuan</w:t>
      </w:r>
    </w:p>
    <w:p>
      <w:pPr>
        <w:spacing w:after="0" w:line="15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Michelle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34290</wp:posOffset>
            </wp:positionV>
            <wp:extent cx="2313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56"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Michelle Chang</w:t>
      </w:r>
    </w:p>
    <w:p>
      <w:pPr>
        <w:spacing w:after="0" w:line="19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Kimberly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34290</wp:posOffset>
            </wp:positionV>
            <wp:extent cx="2313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56"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Kimberly McGarry</w:t>
      </w:r>
    </w:p>
    <w:p>
      <w:pPr>
        <w:spacing w:after="0" w:line="19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30"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Jonathan Chadwick</w:t>
      </w:r>
    </w:p>
    <w:p>
      <w:pPr>
        <w:spacing w:after="0" w:line="179"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Mike Fenger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4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Mike Fenger</w:t>
      </w:r>
    </w:p>
    <w:p>
      <w:pPr>
        <w:spacing w:after="0" w:line="19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Cindy Hoots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4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Cindy Hoots</w:t>
      </w:r>
    </w:p>
    <w:p>
      <w:pPr>
        <w:spacing w:after="0" w:line="19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William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30"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William R. McDermott</w:t>
      </w:r>
    </w:p>
    <w:p>
      <w:pPr>
        <w:spacing w:after="0" w:line="179"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30"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Herbert Raymond McMaster</w:t>
      </w:r>
    </w:p>
    <w:p>
      <w:pPr>
        <w:spacing w:after="0" w:line="179"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30"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Dan Scheinman</w:t>
      </w:r>
    </w:p>
    <w:p>
      <w:pPr>
        <w:spacing w:after="0" w:line="179"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26035</wp:posOffset>
            </wp:positionV>
            <wp:extent cx="23139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4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Santiago Subotovsky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30848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08483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President, Chief Executive Officer and Director </w:t>
      </w:r>
      <w:r>
        <w:rPr>
          <w:rFonts w:ascii="Times New Roman" w:cs="Times New Roman" w:eastAsia="Times New Roman" w:hAnsi="Times New Roman"/>
          <w:sz w:val="17"/>
          <w:szCs w:val="17"/>
          <w:i w:val="1"/>
          <w:iCs w:val="1"/>
          <w:color w:val="auto"/>
        </w:rPr>
        <w:t>(Principal Executive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Chief Financial Officer </w:t>
      </w: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Chief Accounting Officer </w:t>
      </w:r>
      <w:r>
        <w:rPr>
          <w:rFonts w:ascii="Times New Roman" w:cs="Times New Roman" w:eastAsia="Times New Roman" w:hAnsi="Times New Roman"/>
          <w:sz w:val="17"/>
          <w:szCs w:val="17"/>
          <w:i w:val="1"/>
          <w:iCs w:val="1"/>
          <w:color w:val="auto"/>
        </w:rPr>
        <w:t>(Principal Accounting Officer)</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17780</wp:posOffset>
            </wp:positionV>
            <wp:extent cx="14141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2026</w:t>
      </w:r>
    </w:p>
    <w:p>
      <w:pPr>
        <w:spacing w:after="0" w:line="458" w:lineRule="exact"/>
        <w:rPr>
          <w:sz w:val="20"/>
          <w:szCs w:val="20"/>
          <w:color w:val="auto"/>
        </w:rPr>
      </w:pPr>
    </w:p>
    <w:p>
      <w:pPr>
        <w:sectPr>
          <w:pgSz w:w="11900" w:h="16838" w:orient="portrait"/>
          <w:cols w:equalWidth="0" w:num="3">
            <w:col w:w="3460" w:space="720"/>
            <w:col w:w="4860" w:space="720"/>
            <w:col w:w="1480"/>
          </w:cols>
          <w:pgMar w:left="320" w:top="1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123" w:right="3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21"/>
          <w:szCs w:val="2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DESCRIPTION OF THE REGISTRANT’S SECURITIES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30" w:lineRule="exact"/>
        <w:rPr>
          <w:sz w:val="20"/>
          <w:szCs w:val="20"/>
          <w:color w:val="auto"/>
        </w:rPr>
      </w:pPr>
    </w:p>
    <w:p>
      <w:pPr>
        <w:jc w:val="both"/>
        <w:ind w:firstLine="422"/>
        <w:spacing w:after="0" w:line="236" w:lineRule="auto"/>
        <w:rPr>
          <w:sz w:val="20"/>
          <w:szCs w:val="20"/>
          <w:color w:val="auto"/>
        </w:rPr>
      </w:pPr>
      <w:r>
        <w:rPr>
          <w:rFonts w:ascii="Times New Roman" w:cs="Times New Roman" w:eastAsia="Times New Roman" w:hAnsi="Times New Roman"/>
          <w:sz w:val="21"/>
          <w:szCs w:val="21"/>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212" w:lineRule="exact"/>
        <w:rPr>
          <w:sz w:val="20"/>
          <w:szCs w:val="20"/>
          <w:color w:val="auto"/>
        </w:rPr>
      </w:pPr>
    </w:p>
    <w:p>
      <w:pPr>
        <w:jc w:val="both"/>
        <w:ind w:firstLine="422"/>
        <w:spacing w:after="0" w:line="244" w:lineRule="auto"/>
        <w:rPr>
          <w:sz w:val="20"/>
          <w:szCs w:val="20"/>
          <w:color w:val="auto"/>
        </w:rPr>
      </w:pPr>
      <w:r>
        <w:rPr>
          <w:rFonts w:ascii="Times New Roman" w:cs="Times New Roman" w:eastAsia="Times New Roman" w:hAnsi="Times New Roman"/>
          <w:sz w:val="21"/>
          <w:szCs w:val="21"/>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Our authorized capital stock consists of the following shares, all with a par value of $0.001 per share, of which:</w:t>
      </w:r>
    </w:p>
    <w:p>
      <w:pPr>
        <w:spacing w:after="0" w:line="224" w:lineRule="exact"/>
        <w:rPr>
          <w:sz w:val="20"/>
          <w:szCs w:val="20"/>
          <w:color w:val="auto"/>
        </w:rPr>
      </w:pPr>
    </w:p>
    <w:p>
      <w:pPr>
        <w:ind w:left="740" w:hanging="116"/>
        <w:spacing w:after="0"/>
        <w:tabs>
          <w:tab w:leader="none" w:pos="7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2,000,000,000 shares are designated as Class A common stock;</w:t>
      </w:r>
    </w:p>
    <w:p>
      <w:pPr>
        <w:spacing w:after="0" w:line="236" w:lineRule="exact"/>
        <w:rPr>
          <w:rFonts w:ascii="Times New Roman" w:cs="Times New Roman" w:eastAsia="Times New Roman" w:hAnsi="Times New Roman"/>
          <w:sz w:val="21"/>
          <w:szCs w:val="21"/>
          <w:color w:val="auto"/>
        </w:rPr>
      </w:pPr>
    </w:p>
    <w:p>
      <w:pPr>
        <w:ind w:left="740" w:hanging="116"/>
        <w:spacing w:after="0"/>
        <w:tabs>
          <w:tab w:leader="none" w:pos="7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300,000,000 shares are designated as Class B common stock; and</w:t>
      </w:r>
    </w:p>
    <w:p>
      <w:pPr>
        <w:spacing w:after="0" w:line="249" w:lineRule="exact"/>
        <w:rPr>
          <w:rFonts w:ascii="Times New Roman" w:cs="Times New Roman" w:eastAsia="Times New Roman" w:hAnsi="Times New Roman"/>
          <w:sz w:val="21"/>
          <w:szCs w:val="21"/>
          <w:color w:val="auto"/>
        </w:rPr>
      </w:pPr>
    </w:p>
    <w:p>
      <w:pPr>
        <w:ind w:left="740" w:hanging="116"/>
        <w:spacing w:after="0"/>
        <w:tabs>
          <w:tab w:leader="none" w:pos="7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200,000,000 shares are designated as preferred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A and Class B Common Stock</w:t>
      </w:r>
    </w:p>
    <w:p>
      <w:pPr>
        <w:spacing w:after="0" w:line="228" w:lineRule="exact"/>
        <w:rPr>
          <w:sz w:val="20"/>
          <w:szCs w:val="20"/>
          <w:color w:val="auto"/>
        </w:rPr>
      </w:pPr>
    </w:p>
    <w:p>
      <w:pPr>
        <w:jc w:val="both"/>
        <w:ind w:firstLine="422"/>
        <w:spacing w:after="0" w:line="244" w:lineRule="auto"/>
        <w:rPr>
          <w:sz w:val="20"/>
          <w:szCs w:val="20"/>
          <w:color w:val="auto"/>
        </w:rPr>
      </w:pPr>
      <w:r>
        <w:rPr>
          <w:rFonts w:ascii="Times New Roman" w:cs="Times New Roman" w:eastAsia="Times New Roman" w:hAnsi="Times New Roman"/>
          <w:sz w:val="21"/>
          <w:szCs w:val="21"/>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Voting Rights</w:t>
      </w:r>
    </w:p>
    <w:p>
      <w:pPr>
        <w:spacing w:after="0" w:line="243" w:lineRule="exact"/>
        <w:rPr>
          <w:sz w:val="20"/>
          <w:szCs w:val="20"/>
          <w:color w:val="auto"/>
        </w:rPr>
      </w:pPr>
    </w:p>
    <w:p>
      <w:pPr>
        <w:jc w:val="both"/>
        <w:ind w:firstLine="422"/>
        <w:spacing w:after="0" w:line="241" w:lineRule="auto"/>
        <w:rPr>
          <w:sz w:val="20"/>
          <w:szCs w:val="20"/>
          <w:color w:val="auto"/>
        </w:rPr>
      </w:pPr>
      <w:r>
        <w:rPr>
          <w:rFonts w:ascii="Times New Roman" w:cs="Times New Roman" w:eastAsia="Times New Roman" w:hAnsi="Times New Roman"/>
          <w:sz w:val="21"/>
          <w:szCs w:val="21"/>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w:t>
      </w:r>
    </w:p>
    <w:p>
      <w:pPr>
        <w:sectPr>
          <w:pgSz w:w="11900" w:h="16838" w:orient="portrait"/>
          <w:cols w:equalWidth="0" w:num="1">
            <w:col w:w="11240"/>
          </w:cols>
          <w:pgMar w:left="320" w:top="126" w:right="339" w:bottom="1440" w:gutter="0" w:footer="0" w:header="0"/>
        </w:sectPr>
      </w:pPr>
    </w:p>
    <w:bookmarkStart w:id="109" w:name="page110"/>
    <w:bookmarkEnd w:id="109"/>
    <w:p>
      <w:pPr>
        <w:jc w:val="both"/>
        <w:spacing w:after="0" w:line="257" w:lineRule="auto"/>
        <w:rPr>
          <w:sz w:val="20"/>
          <w:szCs w:val="20"/>
          <w:color w:val="auto"/>
        </w:rPr>
      </w:pPr>
      <w:r>
        <w:rPr>
          <w:rFonts w:ascii="Times New Roman" w:cs="Times New Roman" w:eastAsia="Times New Roman" w:hAnsi="Times New Roman"/>
          <w:sz w:val="21"/>
          <w:szCs w:val="21"/>
          <w:color w:val="auto"/>
        </w:rPr>
        <w:t>Class A common stock or amend our certificate of incorporation to alter the powers, preferences or special rights of the common stock as a whole in a way that would adversely affect the holders of our Class A common stock.</w:t>
      </w:r>
    </w:p>
    <w:p>
      <w:pPr>
        <w:spacing w:after="0" w:line="193" w:lineRule="exact"/>
        <w:rPr>
          <w:sz w:val="20"/>
          <w:szCs w:val="20"/>
          <w:color w:val="auto"/>
        </w:rPr>
      </w:pPr>
    </w:p>
    <w:p>
      <w:pPr>
        <w:jc w:val="both"/>
        <w:ind w:firstLine="422"/>
        <w:spacing w:after="0"/>
        <w:rPr>
          <w:sz w:val="20"/>
          <w:szCs w:val="20"/>
          <w:color w:val="auto"/>
        </w:rPr>
      </w:pPr>
      <w:r>
        <w:rPr>
          <w:rFonts w:ascii="Times New Roman" w:cs="Times New Roman" w:eastAsia="Times New Roman" w:hAnsi="Times New Roman"/>
          <w:sz w:val="21"/>
          <w:szCs w:val="21"/>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200" w:lineRule="exact"/>
        <w:rPr>
          <w:sz w:val="20"/>
          <w:szCs w:val="20"/>
          <w:color w:val="auto"/>
        </w:rPr>
      </w:pPr>
    </w:p>
    <w:p>
      <w:pPr>
        <w:jc w:val="both"/>
        <w:ind w:firstLine="422"/>
        <w:spacing w:after="0" w:line="239" w:lineRule="auto"/>
        <w:rPr>
          <w:sz w:val="20"/>
          <w:szCs w:val="20"/>
          <w:color w:val="auto"/>
        </w:rPr>
      </w:pPr>
      <w:r>
        <w:rPr>
          <w:rFonts w:ascii="Times New Roman" w:cs="Times New Roman" w:eastAsia="Times New Roman" w:hAnsi="Times New Roman"/>
          <w:sz w:val="21"/>
          <w:szCs w:val="21"/>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stick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2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Our amended and restated certificate of incorporation does not provide for cumulative voting for the election of directors.</w:t>
      </w:r>
    </w:p>
    <w:p>
      <w:pPr>
        <w:spacing w:after="0" w:line="2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Dividend Rights</w:t>
      </w:r>
    </w:p>
    <w:p>
      <w:pPr>
        <w:spacing w:after="0" w:line="230" w:lineRule="exact"/>
        <w:rPr>
          <w:sz w:val="20"/>
          <w:szCs w:val="20"/>
          <w:color w:val="auto"/>
        </w:rPr>
      </w:pPr>
    </w:p>
    <w:p>
      <w:pPr>
        <w:jc w:val="both"/>
        <w:ind w:firstLine="422"/>
        <w:spacing w:after="0" w:line="239" w:lineRule="auto"/>
        <w:rPr>
          <w:sz w:val="20"/>
          <w:szCs w:val="20"/>
          <w:color w:val="auto"/>
        </w:rPr>
      </w:pPr>
      <w:r>
        <w:rPr>
          <w:rFonts w:ascii="Times New Roman" w:cs="Times New Roman" w:eastAsia="Times New Roman" w:hAnsi="Times New Roman"/>
          <w:sz w:val="21"/>
          <w:szCs w:val="21"/>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ectPr>
          <w:pgSz w:w="11900" w:h="16838" w:orient="portrait"/>
          <w:cols w:equalWidth="0" w:num="1">
            <w:col w:w="11240"/>
          </w:cols>
          <w:pgMar w:left="320" w:top="1355" w:right="339" w:bottom="1440" w:gutter="0" w:footer="0" w:header="0"/>
        </w:sectPr>
      </w:pPr>
    </w:p>
    <w:bookmarkStart w:id="110" w:name="page111"/>
    <w:bookmarkEnd w:id="110"/>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Right to Receive Liquidation Distributions</w:t>
      </w:r>
    </w:p>
    <w:p>
      <w:pPr>
        <w:spacing w:after="0" w:line="230" w:lineRule="exact"/>
        <w:rPr>
          <w:sz w:val="20"/>
          <w:szCs w:val="20"/>
          <w:color w:val="auto"/>
        </w:rPr>
      </w:pPr>
    </w:p>
    <w:p>
      <w:pPr>
        <w:jc w:val="both"/>
        <w:ind w:firstLine="422"/>
        <w:spacing w:after="0" w:line="239" w:lineRule="auto"/>
        <w:rPr>
          <w:sz w:val="20"/>
          <w:szCs w:val="20"/>
          <w:color w:val="auto"/>
        </w:rPr>
      </w:pPr>
      <w:r>
        <w:rPr>
          <w:rFonts w:ascii="Times New Roman" w:cs="Times New Roman" w:eastAsia="Times New Roman" w:hAnsi="Times New Roman"/>
          <w:sz w:val="21"/>
          <w:szCs w:val="21"/>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Subdivisions and Combinations</w:t>
      </w:r>
    </w:p>
    <w:p>
      <w:pPr>
        <w:spacing w:after="0" w:line="243" w:lineRule="exact"/>
        <w:rPr>
          <w:sz w:val="20"/>
          <w:szCs w:val="20"/>
          <w:color w:val="auto"/>
        </w:rPr>
      </w:pPr>
    </w:p>
    <w:p>
      <w:pPr>
        <w:jc w:val="both"/>
        <w:ind w:firstLine="422"/>
        <w:spacing w:after="0" w:line="241" w:lineRule="auto"/>
        <w:rPr>
          <w:sz w:val="20"/>
          <w:szCs w:val="20"/>
          <w:color w:val="auto"/>
        </w:rPr>
      </w:pPr>
      <w:r>
        <w:rPr>
          <w:rFonts w:ascii="Times New Roman" w:cs="Times New Roman" w:eastAsia="Times New Roman" w:hAnsi="Times New Roman"/>
          <w:sz w:val="21"/>
          <w:szCs w:val="21"/>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Conversion</w:t>
      </w:r>
    </w:p>
    <w:p>
      <w:pPr>
        <w:spacing w:after="0" w:line="230" w:lineRule="exact"/>
        <w:rPr>
          <w:sz w:val="20"/>
          <w:szCs w:val="20"/>
          <w:color w:val="auto"/>
        </w:rPr>
      </w:pPr>
    </w:p>
    <w:p>
      <w:pPr>
        <w:jc w:val="both"/>
        <w:ind w:firstLine="422"/>
        <w:spacing w:after="0" w:line="239" w:lineRule="auto"/>
        <w:rPr>
          <w:sz w:val="20"/>
          <w:szCs w:val="20"/>
          <w:color w:val="auto"/>
        </w:rPr>
      </w:pPr>
      <w:r>
        <w:rPr>
          <w:rFonts w:ascii="Times New Roman" w:cs="Times New Roman" w:eastAsia="Times New Roman" w:hAnsi="Times New Roman"/>
          <w:sz w:val="21"/>
          <w:szCs w:val="21"/>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Other Matters</w:t>
      </w:r>
    </w:p>
    <w:p>
      <w:pPr>
        <w:spacing w:after="0" w:line="230"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21"/>
          <w:szCs w:val="21"/>
          <w:color w:val="auto"/>
        </w:rPr>
        <w:t>The Class A common stock and Class B common stock have no preemptive rights pursuant to the terms of our amended and restated certificate of incorporation and our amended and</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57" w:lineRule="auto"/>
        <w:rPr>
          <w:sz w:val="20"/>
          <w:szCs w:val="20"/>
          <w:color w:val="auto"/>
        </w:rPr>
      </w:pPr>
      <w:r>
        <w:rPr>
          <w:rFonts w:ascii="Times New Roman" w:cs="Times New Roman" w:eastAsia="Times New Roman" w:hAnsi="Times New Roman"/>
          <w:sz w:val="21"/>
          <w:szCs w:val="21"/>
          <w:color w:val="auto"/>
        </w:rPr>
        <w:t>restated bylaws. There are no redemption or sinking fund provisions applicable to the Class A common stock and Class B common stock. All outstanding shares of our Class A common stock are fully paid and non-assessable.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228" w:lineRule="exact"/>
        <w:rPr>
          <w:sz w:val="20"/>
          <w:szCs w:val="20"/>
          <w:color w:val="auto"/>
        </w:rPr>
      </w:pPr>
    </w:p>
    <w:p>
      <w:pPr>
        <w:jc w:val="both"/>
        <w:ind w:firstLine="422"/>
        <w:spacing w:after="0"/>
        <w:rPr>
          <w:sz w:val="20"/>
          <w:szCs w:val="20"/>
          <w:color w:val="auto"/>
        </w:rPr>
      </w:pPr>
      <w:r>
        <w:rPr>
          <w:rFonts w:ascii="Times New Roman" w:cs="Times New Roman" w:eastAsia="Times New Roman" w:hAnsi="Times New Roman"/>
          <w:sz w:val="21"/>
          <w:szCs w:val="21"/>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Anti-Takeover Effects of Delaware Law and Our Certificate of Incorporation and Bylaws</w:t>
      </w:r>
    </w:p>
    <w:p>
      <w:pPr>
        <w:spacing w:after="0" w:line="241" w:lineRule="exact"/>
        <w:rPr>
          <w:sz w:val="20"/>
          <w:szCs w:val="20"/>
          <w:color w:val="auto"/>
        </w:rPr>
      </w:pPr>
    </w:p>
    <w:p>
      <w:pPr>
        <w:jc w:val="both"/>
        <w:ind w:firstLine="422"/>
        <w:spacing w:after="0" w:line="241" w:lineRule="auto"/>
        <w:rPr>
          <w:sz w:val="20"/>
          <w:szCs w:val="20"/>
          <w:color w:val="auto"/>
        </w:rPr>
      </w:pPr>
      <w:r>
        <w:rPr>
          <w:rFonts w:ascii="Times New Roman" w:cs="Times New Roman" w:eastAsia="Times New Roman" w:hAnsi="Times New Roman"/>
          <w:sz w:val="21"/>
          <w:szCs w:val="21"/>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99" w:lineRule="exact"/>
        <w:rPr>
          <w:sz w:val="20"/>
          <w:szCs w:val="20"/>
          <w:color w:val="auto"/>
        </w:rPr>
      </w:pPr>
    </w:p>
    <w:p>
      <w:pPr>
        <w:jc w:val="both"/>
        <w:ind w:firstLine="422"/>
        <w:spacing w:after="0" w:line="244" w:lineRule="auto"/>
        <w:rPr>
          <w:sz w:val="20"/>
          <w:szCs w:val="20"/>
          <w:color w:val="auto"/>
        </w:rPr>
      </w:pPr>
      <w:r>
        <w:rPr>
          <w:rFonts w:ascii="Times New Roman" w:cs="Times New Roman" w:eastAsia="Times New Roman" w:hAnsi="Times New Roman"/>
          <w:sz w:val="21"/>
          <w:szCs w:val="21"/>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Dual Class Stock</w:t>
      </w:r>
    </w:p>
    <w:p>
      <w:pPr>
        <w:spacing w:after="0" w:line="230"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21"/>
          <w:szCs w:val="21"/>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40"/>
          </w:cols>
          <w:pgMar w:left="320" w:top="1355" w:right="339" w:bottom="1440" w:gutter="0" w:footer="0" w:header="0"/>
        </w:sectPr>
      </w:pPr>
    </w:p>
    <w:bookmarkStart w:id="112" w:name="page113"/>
    <w:bookmarkEnd w:id="112"/>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Stockholder Meetings</w:t>
      </w:r>
    </w:p>
    <w:p>
      <w:pPr>
        <w:spacing w:after="0" w:line="230"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21"/>
          <w:szCs w:val="21"/>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Requirements for Advance Notification of Stockholder Nominations and Proposals</w:t>
      </w:r>
    </w:p>
    <w:p>
      <w:pPr>
        <w:spacing w:after="0" w:line="243" w:lineRule="exact"/>
        <w:rPr>
          <w:sz w:val="20"/>
          <w:szCs w:val="20"/>
          <w:color w:val="auto"/>
        </w:rPr>
      </w:pPr>
    </w:p>
    <w:p>
      <w:pPr>
        <w:jc w:val="both"/>
        <w:ind w:firstLine="422"/>
        <w:spacing w:after="0" w:line="244" w:lineRule="auto"/>
        <w:rPr>
          <w:sz w:val="20"/>
          <w:szCs w:val="20"/>
          <w:color w:val="auto"/>
        </w:rPr>
      </w:pPr>
      <w:r>
        <w:rPr>
          <w:rFonts w:ascii="Times New Roman" w:cs="Times New Roman" w:eastAsia="Times New Roman" w:hAnsi="Times New Roman"/>
          <w:sz w:val="21"/>
          <w:szCs w:val="21"/>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Elimination of Stockholder Action by Written Consent</w:t>
      </w:r>
    </w:p>
    <w:p>
      <w:pPr>
        <w:spacing w:after="0" w:line="230"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21"/>
          <w:szCs w:val="21"/>
          <w:color w:val="auto"/>
        </w:rPr>
        <w:t>Our amended and restated certificate of incorporation and amended and restated bylaws eliminate the right of stockholders to act by written consent without a meeting.</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Staggered Board</w:t>
      </w:r>
    </w:p>
    <w:p>
      <w:pPr>
        <w:spacing w:after="0" w:line="230" w:lineRule="exact"/>
        <w:rPr>
          <w:sz w:val="20"/>
          <w:szCs w:val="20"/>
          <w:color w:val="auto"/>
        </w:rPr>
      </w:pPr>
    </w:p>
    <w:p>
      <w:pPr>
        <w:jc w:val="both"/>
        <w:ind w:firstLine="422"/>
        <w:spacing w:after="0" w:line="244" w:lineRule="auto"/>
        <w:rPr>
          <w:sz w:val="20"/>
          <w:szCs w:val="20"/>
          <w:color w:val="auto"/>
        </w:rPr>
      </w:pPr>
      <w:r>
        <w:rPr>
          <w:rFonts w:ascii="Times New Roman" w:cs="Times New Roman" w:eastAsia="Times New Roman" w:hAnsi="Times New Roman"/>
          <w:sz w:val="21"/>
          <w:szCs w:val="21"/>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Removal of Directors</w:t>
      </w:r>
    </w:p>
    <w:p>
      <w:pPr>
        <w:spacing w:after="0" w:line="230" w:lineRule="exact"/>
        <w:rPr>
          <w:sz w:val="20"/>
          <w:szCs w:val="20"/>
          <w:color w:val="auto"/>
        </w:rPr>
      </w:pPr>
    </w:p>
    <w:p>
      <w:pPr>
        <w:jc w:val="both"/>
        <w:ind w:firstLine="422"/>
        <w:spacing w:after="0" w:line="270" w:lineRule="auto"/>
        <w:rPr>
          <w:sz w:val="20"/>
          <w:szCs w:val="20"/>
          <w:color w:val="auto"/>
        </w:rPr>
      </w:pPr>
      <w:r>
        <w:rPr>
          <w:rFonts w:ascii="Times New Roman" w:cs="Times New Roman" w:eastAsia="Times New Roman" w:hAnsi="Times New Roman"/>
          <w:sz w:val="21"/>
          <w:szCs w:val="21"/>
          <w:color w:val="auto"/>
        </w:rPr>
        <w:t>Our amended and restated certificate of incorporation provides that no member of our board of directors may be removed from office by our stockholders except for cause.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Stockholders Not Entitled to Cumulative Voting</w:t>
      </w:r>
    </w:p>
    <w:p>
      <w:pPr>
        <w:spacing w:after="0" w:line="230"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21"/>
          <w:szCs w:val="21"/>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Delaware Anti-Takeover Statute</w:t>
      </w:r>
    </w:p>
    <w:p>
      <w:pPr>
        <w:spacing w:after="0" w:line="230" w:lineRule="exact"/>
        <w:rPr>
          <w:sz w:val="20"/>
          <w:szCs w:val="20"/>
          <w:color w:val="auto"/>
        </w:rPr>
      </w:pPr>
    </w:p>
    <w:p>
      <w:pPr>
        <w:jc w:val="both"/>
        <w:ind w:firstLine="422"/>
        <w:spacing w:after="0" w:line="248" w:lineRule="auto"/>
        <w:rPr>
          <w:sz w:val="20"/>
          <w:szCs w:val="20"/>
          <w:color w:val="auto"/>
        </w:rPr>
      </w:pPr>
      <w:r>
        <w:rPr>
          <w:rFonts w:ascii="Times New Roman" w:cs="Times New Roman" w:eastAsia="Times New Roman" w:hAnsi="Times New Roman"/>
          <w:sz w:val="21"/>
          <w:szCs w:val="21"/>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1"/>
          <w:szCs w:val="21"/>
          <w:color w:val="auto"/>
        </w:rPr>
        <w:t>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Choice of Forum</w:t>
      </w:r>
    </w:p>
    <w:p>
      <w:pPr>
        <w:spacing w:after="0" w:line="230" w:lineRule="exact"/>
        <w:rPr>
          <w:sz w:val="20"/>
          <w:szCs w:val="20"/>
          <w:color w:val="auto"/>
        </w:rPr>
      </w:pPr>
    </w:p>
    <w:p>
      <w:pPr>
        <w:jc w:val="both"/>
        <w:ind w:firstLine="422"/>
        <w:spacing w:after="0" w:line="251"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b w:val="1"/>
          <w:bCs w:val="1"/>
          <w:i w:val="1"/>
          <w:iCs w:val="1"/>
          <w:color w:val="auto"/>
        </w:rPr>
        <w:t>Amendment of Charter Provisions</w:t>
      </w:r>
    </w:p>
    <w:p>
      <w:pPr>
        <w:spacing w:after="0" w:line="243" w:lineRule="exact"/>
        <w:rPr>
          <w:sz w:val="20"/>
          <w:szCs w:val="20"/>
          <w:color w:val="auto"/>
        </w:rPr>
      </w:pPr>
    </w:p>
    <w:p>
      <w:pPr>
        <w:jc w:val="both"/>
        <w:ind w:firstLine="422"/>
        <w:spacing w:after="0" w:line="282" w:lineRule="auto"/>
        <w:rPr>
          <w:sz w:val="20"/>
          <w:szCs w:val="20"/>
          <w:color w:val="auto"/>
        </w:rPr>
      </w:pPr>
      <w:r>
        <w:rPr>
          <w:rFonts w:ascii="Times New Roman" w:cs="Times New Roman" w:eastAsia="Times New Roman" w:hAnsi="Times New Roman"/>
          <w:sz w:val="20"/>
          <w:szCs w:val="20"/>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57" w:lineRule="exact"/>
        <w:rPr>
          <w:sz w:val="20"/>
          <w:szCs w:val="20"/>
          <w:color w:val="auto"/>
        </w:rPr>
      </w:pPr>
    </w:p>
    <w:p>
      <w:pPr>
        <w:jc w:val="both"/>
        <w:ind w:firstLine="422"/>
        <w:spacing w:after="0" w:line="259" w:lineRule="auto"/>
        <w:rPr>
          <w:sz w:val="20"/>
          <w:szCs w:val="20"/>
          <w:color w:val="auto"/>
        </w:rPr>
      </w:pPr>
      <w:r>
        <w:rPr>
          <w:rFonts w:ascii="Times New Roman" w:cs="Times New Roman" w:eastAsia="Times New Roman" w:hAnsi="Times New Roman"/>
          <w:sz w:val="20"/>
          <w:szCs w:val="20"/>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Transfer Agent and Registrar</w:t>
      </w:r>
    </w:p>
    <w:p>
      <w:pPr>
        <w:sectPr>
          <w:pgSz w:w="11900" w:h="16838" w:orient="portrait"/>
          <w:cols w:equalWidth="0" w:num="1">
            <w:col w:w="11240"/>
          </w:cols>
          <w:pgMar w:left="320" w:top="1354" w:right="339" w:bottom="1440" w:gutter="0" w:footer="0" w:header="0"/>
        </w:sectPr>
      </w:pPr>
    </w:p>
    <w:bookmarkStart w:id="114" w:name="page115"/>
    <w:bookmarkEnd w:id="114"/>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transfer agent and registrar for our Class A common stock and Class B common stock is Computershare Trust Company, 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transfer agent and registrar’s address is 250 Royall Street, Canton, Massachusetts 02021.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Exchange Listing</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Our Class A common stock is listed on The Nasdaq Global Select Market under the symbol “ZM.”</w:t>
      </w:r>
    </w:p>
    <w:p>
      <w:pPr>
        <w:sectPr>
          <w:pgSz w:w="11900" w:h="16838" w:orient="portrait"/>
          <w:cols w:equalWidth="0" w:num="1">
            <w:col w:w="11240"/>
          </w:cols>
          <w:pgMar w:left="320" w:top="1440" w:right="339" w:bottom="1440" w:gutter="0" w:footer="0" w:header="0"/>
        </w:sectPr>
      </w:pPr>
    </w:p>
    <w:bookmarkStart w:id="115" w:name="page116"/>
    <w:bookmarkEnd w:id="115"/>
    <w:p>
      <w:pPr>
        <w:ind w:left="10160"/>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subsidiaries of the Registrant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20" w:type="dxa"/>
            <w:vAlign w:val="bottom"/>
            <w:tcBorders>
              <w:bottom w:val="single" w:sz="8" w:color="auto"/>
            </w:tcBorders>
          </w:tcPr>
          <w:p>
            <w:pPr>
              <w:ind w:left="2080"/>
              <w:spacing w:after="0"/>
              <w:rPr>
                <w:sz w:val="20"/>
                <w:szCs w:val="20"/>
                <w:color w:val="auto"/>
              </w:rPr>
            </w:pPr>
            <w:r>
              <w:rPr>
                <w:rFonts w:ascii="Arial" w:cs="Arial" w:eastAsia="Arial" w:hAnsi="Arial"/>
                <w:sz w:val="21"/>
                <w:szCs w:val="21"/>
                <w:color w:val="auto"/>
              </w:rPr>
              <w:t>Name of Subsidiary</w:t>
            </w:r>
          </w:p>
        </w:tc>
        <w:tc>
          <w:tcPr>
            <w:tcW w:w="5120" w:type="dxa"/>
            <w:vAlign w:val="bottom"/>
            <w:tcBorders>
              <w:bottom w:val="single" w:sz="8" w:color="auto"/>
            </w:tcBorders>
          </w:tcPr>
          <w:p>
            <w:pPr>
              <w:ind w:left="1660"/>
              <w:spacing w:after="0"/>
              <w:rPr>
                <w:sz w:val="20"/>
                <w:szCs w:val="20"/>
                <w:color w:val="auto"/>
              </w:rPr>
            </w:pPr>
            <w:r>
              <w:rPr>
                <w:rFonts w:ascii="Arial" w:cs="Arial" w:eastAsia="Arial" w:hAnsi="Arial"/>
                <w:sz w:val="21"/>
                <w:szCs w:val="21"/>
                <w:color w:val="auto"/>
              </w:rPr>
              <w:t>Jurisdiction of Organization</w:t>
            </w:r>
          </w:p>
        </w:tc>
        <w:tc>
          <w:tcPr>
            <w:tcW w:w="0" w:type="dxa"/>
            <w:vAlign w:val="bottom"/>
          </w:tcPr>
          <w:p>
            <w:pPr>
              <w:spacing w:after="0"/>
              <w:rPr>
                <w:sz w:val="1"/>
                <w:szCs w:val="1"/>
                <w:color w:val="auto"/>
              </w:rPr>
            </w:pPr>
          </w:p>
        </w:tc>
      </w:tr>
      <w:tr>
        <w:trPr>
          <w:trHeight w:val="238"/>
        </w:trPr>
        <w:tc>
          <w:tcPr>
            <w:tcW w:w="6120" w:type="dxa"/>
            <w:vAlign w:val="bottom"/>
          </w:tcPr>
          <w:p>
            <w:pPr>
              <w:ind w:left="20"/>
              <w:spacing w:after="0" w:line="238" w:lineRule="exact"/>
              <w:rPr>
                <w:sz w:val="20"/>
                <w:szCs w:val="20"/>
                <w:color w:val="auto"/>
              </w:rPr>
            </w:pPr>
            <w:r>
              <w:rPr>
                <w:rFonts w:ascii="Arial" w:cs="Arial" w:eastAsia="Arial" w:hAnsi="Arial"/>
                <w:sz w:val="21"/>
                <w:szCs w:val="21"/>
                <w:color w:val="auto"/>
              </w:rPr>
              <w:t>Zoom Voice Communications, Inc.</w:t>
            </w:r>
          </w:p>
        </w:tc>
        <w:tc>
          <w:tcPr>
            <w:tcW w:w="5120" w:type="dxa"/>
            <w:vAlign w:val="bottom"/>
          </w:tcPr>
          <w:p>
            <w:pPr>
              <w:ind w:left="700"/>
              <w:spacing w:after="0" w:line="238" w:lineRule="exact"/>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UK LTD</w:t>
            </w:r>
          </w:p>
        </w:tc>
        <w:tc>
          <w:tcPr>
            <w:tcW w:w="5120" w:type="dxa"/>
            <w:vAlign w:val="bottom"/>
          </w:tcPr>
          <w:p>
            <w:pPr>
              <w:ind w:left="700"/>
              <w:spacing w:after="0"/>
              <w:rPr>
                <w:sz w:val="20"/>
                <w:szCs w:val="20"/>
                <w:color w:val="auto"/>
              </w:rPr>
            </w:pPr>
            <w:r>
              <w:rPr>
                <w:rFonts w:ascii="Arial" w:cs="Arial" w:eastAsia="Arial" w:hAnsi="Arial"/>
                <w:sz w:val="21"/>
                <w:szCs w:val="21"/>
                <w:color w:val="auto"/>
              </w:rPr>
              <w:t>United Kingdom</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Australia PTY LTD</w:t>
            </w:r>
          </w:p>
        </w:tc>
        <w:tc>
          <w:tcPr>
            <w:tcW w:w="5120" w:type="dxa"/>
            <w:vAlign w:val="bottom"/>
          </w:tcPr>
          <w:p>
            <w:pPr>
              <w:ind w:left="700"/>
              <w:spacing w:after="0"/>
              <w:rPr>
                <w:sz w:val="20"/>
                <w:szCs w:val="20"/>
                <w:color w:val="auto"/>
              </w:rPr>
            </w:pPr>
            <w:r>
              <w:rPr>
                <w:rFonts w:ascii="Arial" w:cs="Arial" w:eastAsia="Arial" w:hAnsi="Arial"/>
                <w:sz w:val="21"/>
                <w:szCs w:val="21"/>
                <w:color w:val="auto"/>
              </w:rPr>
              <w:t>Australia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Netherlands B.V.</w:t>
            </w:r>
          </w:p>
        </w:tc>
        <w:tc>
          <w:tcPr>
            <w:tcW w:w="5120" w:type="dxa"/>
            <w:vAlign w:val="bottom"/>
          </w:tcPr>
          <w:p>
            <w:pPr>
              <w:ind w:left="700"/>
              <w:spacing w:after="0"/>
              <w:rPr>
                <w:sz w:val="20"/>
                <w:szCs w:val="20"/>
                <w:color w:val="auto"/>
              </w:rPr>
            </w:pPr>
            <w:r>
              <w:rPr>
                <w:rFonts w:ascii="Arial" w:cs="Arial" w:eastAsia="Arial" w:hAnsi="Arial"/>
                <w:sz w:val="21"/>
                <w:szCs w:val="21"/>
                <w:color w:val="auto"/>
              </w:rPr>
              <w:t>Netherlands</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Japan KK</w:t>
            </w:r>
          </w:p>
        </w:tc>
        <w:tc>
          <w:tcPr>
            <w:tcW w:w="5120" w:type="dxa"/>
            <w:vAlign w:val="bottom"/>
          </w:tcPr>
          <w:p>
            <w:pPr>
              <w:ind w:left="700"/>
              <w:spacing w:after="0"/>
              <w:rPr>
                <w:sz w:val="20"/>
                <w:szCs w:val="20"/>
                <w:color w:val="auto"/>
              </w:rPr>
            </w:pPr>
            <w:r>
              <w:rPr>
                <w:rFonts w:ascii="Arial" w:cs="Arial" w:eastAsia="Arial" w:hAnsi="Arial"/>
                <w:sz w:val="21"/>
                <w:szCs w:val="21"/>
                <w:color w:val="auto"/>
              </w:rPr>
              <w:t>Japan</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Zoom Video Communications (Suzhou) Inc.</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Saasbee Inc. (Hefei) Ltd.</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SaasBee Software (Hangzhou) Co., Ltd.</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France SAS</w:t>
            </w:r>
          </w:p>
        </w:tc>
        <w:tc>
          <w:tcPr>
            <w:tcW w:w="5120" w:type="dxa"/>
            <w:vAlign w:val="bottom"/>
          </w:tcPr>
          <w:p>
            <w:pPr>
              <w:ind w:left="700"/>
              <w:spacing w:after="0"/>
              <w:rPr>
                <w:sz w:val="20"/>
                <w:szCs w:val="20"/>
                <w:color w:val="auto"/>
              </w:rPr>
            </w:pPr>
            <w:r>
              <w:rPr>
                <w:rFonts w:ascii="Arial" w:cs="Arial" w:eastAsia="Arial" w:hAnsi="Arial"/>
                <w:sz w:val="21"/>
                <w:szCs w:val="21"/>
                <w:color w:val="auto"/>
              </w:rPr>
              <w:t>France</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India PVT LTD</w:t>
            </w:r>
          </w:p>
        </w:tc>
        <w:tc>
          <w:tcPr>
            <w:tcW w:w="5120" w:type="dxa"/>
            <w:vAlign w:val="bottom"/>
          </w:tcPr>
          <w:p>
            <w:pPr>
              <w:ind w:left="700"/>
              <w:spacing w:after="0"/>
              <w:rPr>
                <w:sz w:val="20"/>
                <w:szCs w:val="20"/>
                <w:color w:val="auto"/>
              </w:rPr>
            </w:pPr>
            <w:r>
              <w:rPr>
                <w:rFonts w:ascii="Arial" w:cs="Arial" w:eastAsia="Arial" w:hAnsi="Arial"/>
                <w:sz w:val="21"/>
                <w:szCs w:val="21"/>
                <w:color w:val="auto"/>
              </w:rPr>
              <w:t>India</w:t>
            </w:r>
          </w:p>
        </w:tc>
        <w:tc>
          <w:tcPr>
            <w:tcW w:w="0" w:type="dxa"/>
            <w:vAlign w:val="bottom"/>
          </w:tcPr>
          <w:p>
            <w:pPr>
              <w:spacing w:after="0"/>
              <w:rPr>
                <w:sz w:val="1"/>
                <w:szCs w:val="1"/>
                <w:color w:val="auto"/>
              </w:rPr>
            </w:pPr>
          </w:p>
        </w:tc>
      </w:tr>
      <w:tr>
        <w:trPr>
          <w:trHeight w:val="273"/>
        </w:trPr>
        <w:tc>
          <w:tcPr>
            <w:tcW w:w="6120" w:type="dxa"/>
            <w:vAlign w:val="bottom"/>
          </w:tcPr>
          <w:p>
            <w:pPr>
              <w:ind w:left="20"/>
              <w:spacing w:after="0"/>
              <w:rPr>
                <w:sz w:val="20"/>
                <w:szCs w:val="20"/>
                <w:color w:val="auto"/>
              </w:rPr>
            </w:pPr>
            <w:r>
              <w:rPr>
                <w:rFonts w:ascii="Arial" w:cs="Arial" w:eastAsia="Arial" w:hAnsi="Arial"/>
                <w:sz w:val="21"/>
                <w:szCs w:val="21"/>
                <w:color w:val="auto"/>
              </w:rPr>
              <w:t>ZVC Canada LTD</w:t>
            </w:r>
          </w:p>
        </w:tc>
        <w:tc>
          <w:tcPr>
            <w:tcW w:w="5120" w:type="dxa"/>
            <w:vAlign w:val="bottom"/>
          </w:tcPr>
          <w:p>
            <w:pPr>
              <w:ind w:left="700"/>
              <w:spacing w:after="0"/>
              <w:rPr>
                <w:sz w:val="20"/>
                <w:szCs w:val="20"/>
                <w:color w:val="auto"/>
              </w:rPr>
            </w:pPr>
            <w:r>
              <w:rPr>
                <w:rFonts w:ascii="Arial" w:cs="Arial" w:eastAsia="Arial" w:hAnsi="Arial"/>
                <w:sz w:val="21"/>
                <w:szCs w:val="21"/>
                <w:color w:val="auto"/>
              </w:rPr>
              <w:t>Canada</w:t>
            </w:r>
          </w:p>
        </w:tc>
        <w:tc>
          <w:tcPr>
            <w:tcW w:w="0" w:type="dxa"/>
            <w:vAlign w:val="bottom"/>
          </w:tcPr>
          <w:p>
            <w:pPr>
              <w:spacing w:after="0"/>
              <w:rPr>
                <w:sz w:val="1"/>
                <w:szCs w:val="1"/>
                <w:color w:val="auto"/>
              </w:rPr>
            </w:pPr>
          </w:p>
        </w:tc>
      </w:tr>
      <w:tr>
        <w:trPr>
          <w:trHeight w:val="257"/>
        </w:trPr>
        <w:tc>
          <w:tcPr>
            <w:tcW w:w="6120" w:type="dxa"/>
            <w:vAlign w:val="bottom"/>
          </w:tcPr>
          <w:p>
            <w:pPr>
              <w:ind w:left="20"/>
              <w:spacing w:after="0"/>
              <w:rPr>
                <w:sz w:val="20"/>
                <w:szCs w:val="20"/>
                <w:color w:val="auto"/>
              </w:rPr>
            </w:pPr>
            <w:r>
              <w:rPr>
                <w:rFonts w:ascii="Arial" w:cs="Arial" w:eastAsia="Arial" w:hAnsi="Arial"/>
                <w:sz w:val="21"/>
                <w:szCs w:val="21"/>
                <w:color w:val="auto"/>
              </w:rPr>
              <w:t>Zoom Video Communications (Hong Kong) LTD</w:t>
            </w:r>
          </w:p>
        </w:tc>
        <w:tc>
          <w:tcPr>
            <w:tcW w:w="5120" w:type="dxa"/>
            <w:vAlign w:val="bottom"/>
          </w:tcPr>
          <w:p>
            <w:pPr>
              <w:ind w:left="700"/>
              <w:spacing w:after="0"/>
              <w:rPr>
                <w:sz w:val="20"/>
                <w:szCs w:val="20"/>
                <w:color w:val="auto"/>
              </w:rPr>
            </w:pPr>
            <w:r>
              <w:rPr>
                <w:rFonts w:ascii="Arial" w:cs="Arial" w:eastAsia="Arial" w:hAnsi="Arial"/>
                <w:sz w:val="21"/>
                <w:szCs w:val="21"/>
                <w:color w:val="auto"/>
              </w:rPr>
              <w:t>Hong Kong</w:t>
            </w:r>
          </w:p>
        </w:tc>
        <w:tc>
          <w:tcPr>
            <w:tcW w:w="0" w:type="dxa"/>
            <w:vAlign w:val="bottom"/>
          </w:tcPr>
          <w:p>
            <w:pPr>
              <w:spacing w:after="0"/>
              <w:rPr>
                <w:sz w:val="1"/>
                <w:szCs w:val="1"/>
                <w:color w:val="auto"/>
              </w:rPr>
            </w:pPr>
          </w:p>
        </w:tc>
      </w:tr>
      <w:tr>
        <w:trPr>
          <w:trHeight w:val="271"/>
        </w:trPr>
        <w:tc>
          <w:tcPr>
            <w:tcW w:w="6120" w:type="dxa"/>
            <w:vAlign w:val="bottom"/>
          </w:tcPr>
          <w:p>
            <w:pPr>
              <w:ind w:left="20"/>
              <w:spacing w:after="0"/>
              <w:rPr>
                <w:sz w:val="20"/>
                <w:szCs w:val="20"/>
                <w:color w:val="auto"/>
              </w:rPr>
            </w:pPr>
            <w:r>
              <w:rPr>
                <w:rFonts w:ascii="Arial" w:cs="Arial" w:eastAsia="Arial" w:hAnsi="Arial"/>
                <w:sz w:val="21"/>
                <w:szCs w:val="21"/>
                <w:color w:val="auto"/>
              </w:rPr>
              <w:t>Zoom Video Communications (Shanghai) Co., Ltd.</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Singapore Pte. Ltd.</w:t>
            </w:r>
          </w:p>
        </w:tc>
        <w:tc>
          <w:tcPr>
            <w:tcW w:w="5120" w:type="dxa"/>
            <w:vAlign w:val="bottom"/>
          </w:tcPr>
          <w:p>
            <w:pPr>
              <w:ind w:left="700"/>
              <w:spacing w:after="0"/>
              <w:rPr>
                <w:sz w:val="20"/>
                <w:szCs w:val="20"/>
                <w:color w:val="auto"/>
              </w:rPr>
            </w:pPr>
            <w:r>
              <w:rPr>
                <w:rFonts w:ascii="Arial" w:cs="Arial" w:eastAsia="Arial" w:hAnsi="Arial"/>
                <w:sz w:val="21"/>
                <w:szCs w:val="21"/>
                <w:color w:val="auto"/>
              </w:rPr>
              <w:t>Singapore</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ZVC Germany GmbH</w:t>
            </w:r>
          </w:p>
        </w:tc>
        <w:tc>
          <w:tcPr>
            <w:tcW w:w="5120" w:type="dxa"/>
            <w:vAlign w:val="bottom"/>
          </w:tcPr>
          <w:p>
            <w:pPr>
              <w:ind w:left="700"/>
              <w:spacing w:after="0"/>
              <w:rPr>
                <w:sz w:val="20"/>
                <w:szCs w:val="20"/>
                <w:color w:val="auto"/>
              </w:rPr>
            </w:pPr>
            <w:r>
              <w:rPr>
                <w:rFonts w:ascii="Arial" w:cs="Arial" w:eastAsia="Arial" w:hAnsi="Arial"/>
                <w:sz w:val="21"/>
                <w:szCs w:val="21"/>
                <w:color w:val="auto"/>
              </w:rPr>
              <w:t>Germany</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Keybase LLC</w:t>
            </w:r>
          </w:p>
        </w:tc>
        <w:tc>
          <w:tcPr>
            <w:tcW w:w="5120" w:type="dxa"/>
            <w:vAlign w:val="bottom"/>
          </w:tcPr>
          <w:p>
            <w:pPr>
              <w:ind w:left="700"/>
              <w:spacing w:after="0"/>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Zoom Video Communications (Shanghai) Co., Ltd.</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Solvvy LLC</w:t>
            </w:r>
          </w:p>
        </w:tc>
        <w:tc>
          <w:tcPr>
            <w:tcW w:w="5120" w:type="dxa"/>
            <w:vAlign w:val="bottom"/>
          </w:tcPr>
          <w:p>
            <w:pPr>
              <w:ind w:left="700"/>
              <w:spacing w:after="0"/>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Zoom Software (Hangzhou) Co., Ltd.</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Zoom Video Communications Korea, LLC</w:t>
            </w:r>
          </w:p>
        </w:tc>
        <w:tc>
          <w:tcPr>
            <w:tcW w:w="5120" w:type="dxa"/>
            <w:vAlign w:val="bottom"/>
          </w:tcPr>
          <w:p>
            <w:pPr>
              <w:ind w:left="700"/>
              <w:spacing w:after="0"/>
              <w:rPr>
                <w:sz w:val="20"/>
                <w:szCs w:val="20"/>
                <w:color w:val="auto"/>
              </w:rPr>
            </w:pPr>
            <w:r>
              <w:rPr>
                <w:rFonts w:ascii="Arial" w:cs="Arial" w:eastAsia="Arial" w:hAnsi="Arial"/>
                <w:sz w:val="21"/>
                <w:szCs w:val="21"/>
                <w:color w:val="auto"/>
              </w:rPr>
              <w:t>Korea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Zoom Arabia Communications Company</w:t>
            </w:r>
          </w:p>
        </w:tc>
        <w:tc>
          <w:tcPr>
            <w:tcW w:w="5120" w:type="dxa"/>
            <w:vAlign w:val="bottom"/>
          </w:tcPr>
          <w:p>
            <w:pPr>
              <w:ind w:left="700"/>
              <w:spacing w:after="0"/>
              <w:rPr>
                <w:sz w:val="20"/>
                <w:szCs w:val="20"/>
                <w:color w:val="auto"/>
              </w:rPr>
            </w:pPr>
            <w:r>
              <w:rPr>
                <w:rFonts w:ascii="Arial" w:cs="Arial" w:eastAsia="Arial" w:hAnsi="Arial"/>
                <w:sz w:val="21"/>
                <w:szCs w:val="21"/>
                <w:color w:val="auto"/>
              </w:rPr>
              <w:t>Kingdom of Saudi Arabia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Workvivo Ltd.</w:t>
            </w:r>
          </w:p>
        </w:tc>
        <w:tc>
          <w:tcPr>
            <w:tcW w:w="5120" w:type="dxa"/>
            <w:vAlign w:val="bottom"/>
          </w:tcPr>
          <w:p>
            <w:pPr>
              <w:ind w:left="700"/>
              <w:spacing w:after="0"/>
              <w:rPr>
                <w:sz w:val="20"/>
                <w:szCs w:val="20"/>
                <w:color w:val="auto"/>
              </w:rPr>
            </w:pPr>
            <w:r>
              <w:rPr>
                <w:rFonts w:ascii="Arial" w:cs="Arial" w:eastAsia="Arial" w:hAnsi="Arial"/>
                <w:sz w:val="21"/>
                <w:szCs w:val="21"/>
                <w:color w:val="auto"/>
              </w:rPr>
              <w:t>Ireland</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ZM Services India Private Limited</w:t>
            </w:r>
          </w:p>
        </w:tc>
        <w:tc>
          <w:tcPr>
            <w:tcW w:w="5120" w:type="dxa"/>
            <w:vAlign w:val="bottom"/>
          </w:tcPr>
          <w:p>
            <w:pPr>
              <w:ind w:left="700"/>
              <w:spacing w:after="0"/>
              <w:rPr>
                <w:sz w:val="20"/>
                <w:szCs w:val="20"/>
                <w:color w:val="auto"/>
              </w:rPr>
            </w:pPr>
            <w:r>
              <w:rPr>
                <w:rFonts w:ascii="Arial" w:cs="Arial" w:eastAsia="Arial" w:hAnsi="Arial"/>
                <w:sz w:val="21"/>
                <w:szCs w:val="21"/>
                <w:color w:val="auto"/>
              </w:rPr>
              <w:t>India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Zoom Software (Wuhan) Co., Ltd.</w:t>
            </w:r>
          </w:p>
        </w:tc>
        <w:tc>
          <w:tcPr>
            <w:tcW w:w="5120" w:type="dxa"/>
            <w:vAlign w:val="bottom"/>
          </w:tcPr>
          <w:p>
            <w:pPr>
              <w:ind w:left="700"/>
              <w:spacing w:after="0"/>
              <w:rPr>
                <w:sz w:val="20"/>
                <w:szCs w:val="20"/>
                <w:color w:val="auto"/>
              </w:rPr>
            </w:pPr>
            <w:r>
              <w:rPr>
                <w:rFonts w:ascii="Arial" w:cs="Arial" w:eastAsia="Arial" w:hAnsi="Arial"/>
                <w:sz w:val="21"/>
                <w:szCs w:val="21"/>
                <w:color w:val="auto"/>
              </w:rPr>
              <w:t>China</w:t>
            </w:r>
          </w:p>
        </w:tc>
        <w:tc>
          <w:tcPr>
            <w:tcW w:w="0" w:type="dxa"/>
            <w:vAlign w:val="bottom"/>
          </w:tcPr>
          <w:p>
            <w:pPr>
              <w:spacing w:after="0"/>
              <w:rPr>
                <w:sz w:val="1"/>
                <w:szCs w:val="1"/>
                <w:color w:val="auto"/>
              </w:rPr>
            </w:pPr>
          </w:p>
        </w:tc>
      </w:tr>
      <w:tr>
        <w:trPr>
          <w:trHeight w:val="207"/>
        </w:trPr>
        <w:tc>
          <w:tcPr>
            <w:tcW w:w="6120" w:type="dxa"/>
            <w:vAlign w:val="bottom"/>
          </w:tcPr>
          <w:p>
            <w:pPr>
              <w:ind w:left="20"/>
              <w:spacing w:after="0" w:line="207" w:lineRule="exact"/>
              <w:rPr>
                <w:sz w:val="20"/>
                <w:szCs w:val="20"/>
                <w:color w:val="auto"/>
              </w:rPr>
            </w:pPr>
            <w:r>
              <w:rPr>
                <w:rFonts w:ascii="Arial" w:cs="Arial" w:eastAsia="Arial" w:hAnsi="Arial"/>
                <w:sz w:val="21"/>
                <w:szCs w:val="21"/>
                <w:color w:val="auto"/>
              </w:rPr>
              <w:t>Zoom Middle East and North Africa Regional Headquarters</w:t>
            </w:r>
          </w:p>
        </w:tc>
        <w:tc>
          <w:tcPr>
            <w:tcW w:w="5120" w:type="dxa"/>
            <w:vAlign w:val="bottom"/>
            <w:vMerge w:val="restart"/>
          </w:tcPr>
          <w:p>
            <w:pPr>
              <w:ind w:left="700"/>
              <w:spacing w:after="0"/>
              <w:rPr>
                <w:sz w:val="20"/>
                <w:szCs w:val="20"/>
                <w:color w:val="auto"/>
              </w:rPr>
            </w:pPr>
            <w:r>
              <w:rPr>
                <w:rFonts w:ascii="Arial" w:cs="Arial" w:eastAsia="Arial" w:hAnsi="Arial"/>
                <w:sz w:val="21"/>
                <w:szCs w:val="21"/>
                <w:color w:val="auto"/>
              </w:rPr>
              <w:t>Kingdom of Saudi Arabia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Company (Arabia)</w:t>
            </w:r>
          </w:p>
        </w:tc>
        <w:tc>
          <w:tcPr>
            <w:tcW w:w="5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Brighthire Inc.</w:t>
            </w:r>
          </w:p>
        </w:tc>
        <w:tc>
          <w:tcPr>
            <w:tcW w:w="5120" w:type="dxa"/>
            <w:vAlign w:val="bottom"/>
          </w:tcPr>
          <w:p>
            <w:pPr>
              <w:ind w:left="700"/>
              <w:spacing w:after="0"/>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Bonsai Technologies Inc.</w:t>
            </w:r>
          </w:p>
        </w:tc>
        <w:tc>
          <w:tcPr>
            <w:tcW w:w="5120" w:type="dxa"/>
            <w:vAlign w:val="bottom"/>
          </w:tcPr>
          <w:p>
            <w:pPr>
              <w:ind w:left="700"/>
              <w:spacing w:after="0"/>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Arial" w:cs="Arial" w:eastAsia="Arial" w:hAnsi="Arial"/>
                <w:sz w:val="21"/>
                <w:szCs w:val="21"/>
                <w:color w:val="auto"/>
              </w:rPr>
              <w:t>Bonsai Technologies France</w:t>
            </w:r>
          </w:p>
        </w:tc>
        <w:tc>
          <w:tcPr>
            <w:tcW w:w="5120" w:type="dxa"/>
            <w:vAlign w:val="bottom"/>
          </w:tcPr>
          <w:p>
            <w:pPr>
              <w:ind w:left="700"/>
              <w:spacing w:after="0"/>
              <w:rPr>
                <w:sz w:val="20"/>
                <w:szCs w:val="20"/>
                <w:color w:val="auto"/>
              </w:rPr>
            </w:pPr>
            <w:r>
              <w:rPr>
                <w:rFonts w:ascii="Arial" w:cs="Arial" w:eastAsia="Arial" w:hAnsi="Arial"/>
                <w:sz w:val="21"/>
                <w:szCs w:val="21"/>
                <w:color w:val="auto"/>
              </w:rPr>
              <w:t>France</w:t>
            </w:r>
          </w:p>
        </w:tc>
        <w:tc>
          <w:tcPr>
            <w:tcW w:w="0" w:type="dxa"/>
            <w:vAlign w:val="bottom"/>
          </w:tcPr>
          <w:p>
            <w:pPr>
              <w:spacing w:after="0"/>
              <w:rPr>
                <w:sz w:val="1"/>
                <w:szCs w:val="1"/>
                <w:color w:val="auto"/>
              </w:rPr>
            </w:pPr>
          </w:p>
        </w:tc>
      </w:tr>
      <w:tr>
        <w:trPr>
          <w:trHeight w:val="273"/>
        </w:trPr>
        <w:tc>
          <w:tcPr>
            <w:tcW w:w="6120" w:type="dxa"/>
            <w:vAlign w:val="bottom"/>
          </w:tcPr>
          <w:p>
            <w:pPr>
              <w:ind w:left="20"/>
              <w:spacing w:after="0"/>
              <w:rPr>
                <w:sz w:val="20"/>
                <w:szCs w:val="20"/>
                <w:color w:val="auto"/>
              </w:rPr>
            </w:pPr>
            <w:r>
              <w:rPr>
                <w:rFonts w:ascii="Arial" w:cs="Arial" w:eastAsia="Arial" w:hAnsi="Arial"/>
                <w:sz w:val="21"/>
                <w:szCs w:val="21"/>
                <w:color w:val="auto"/>
              </w:rPr>
              <w:t>Templobe, Inc.</w:t>
            </w:r>
          </w:p>
        </w:tc>
        <w:tc>
          <w:tcPr>
            <w:tcW w:w="5120" w:type="dxa"/>
            <w:vAlign w:val="bottom"/>
          </w:tcPr>
          <w:p>
            <w:pPr>
              <w:ind w:left="700"/>
              <w:spacing w:after="0"/>
              <w:rPr>
                <w:sz w:val="20"/>
                <w:szCs w:val="20"/>
                <w:color w:val="auto"/>
              </w:rPr>
            </w:pPr>
            <w:r>
              <w:rPr>
                <w:rFonts w:ascii="Arial" w:cs="Arial" w:eastAsia="Arial" w:hAnsi="Arial"/>
                <w:sz w:val="21"/>
                <w:szCs w:val="21"/>
                <w:color w:val="auto"/>
              </w:rPr>
              <w:t>United States of America</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consent to the incorporation by reference in the registration statements (Nos. 333-285440, 333-277614, 333-270264, 333-263354, 333-254444, 333-237348, 333-230997) on Form S-8 and registration statement (No. 333-252035) on Form S-3 of our report dated February 27, 2026, with respect to the consolidated financial statements of Zoom Communications, Inc. and the effectiveness of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2026</w:t>
      </w:r>
    </w:p>
    <w:p>
      <w:pPr>
        <w:sectPr>
          <w:pgSz w:w="11900" w:h="16838" w:orient="portrait"/>
          <w:cols w:equalWidth="0" w:num="1">
            <w:col w:w="11240"/>
          </w:cols>
          <w:pgMar w:left="320" w:top="81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83" w:lineRule="exact"/>
        <w:rPr>
          <w:sz w:val="20"/>
          <w:szCs w:val="20"/>
          <w:color w:val="auto"/>
        </w:rPr>
      </w:pPr>
    </w:p>
    <w:p>
      <w:pPr>
        <w:jc w:val="center"/>
        <w:ind w:left="340" w:right="2300"/>
        <w:spacing w:after="0" w:line="270" w:lineRule="auto"/>
        <w:rPr>
          <w:sz w:val="20"/>
          <w:szCs w:val="20"/>
          <w:color w:val="auto"/>
        </w:rPr>
      </w:pPr>
      <w:r>
        <w:rPr>
          <w:rFonts w:ascii="Times New Roman" w:cs="Times New Roman" w:eastAsia="Times New Roman" w:hAnsi="Times New Roman"/>
          <w:sz w:val="17"/>
          <w:szCs w:val="17"/>
          <w:color w:val="auto"/>
        </w:rPr>
        <w:t>CERTIFICATION OF CHIEF EXECUTIVE OFFICER PURSUANT TO EXCHANGE ACT RULES 13a-14(a) AND 15d-14(a) AS ADOPTED PURSUANT TO SECTION 302 OF THE SARBANES-OXLEY ACT OF 2002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S. Yuan, certify that:</w:t>
      </w:r>
    </w:p>
    <w:p>
      <w:pPr>
        <w:spacing w:after="0" w:line="179" w:lineRule="exact"/>
        <w:rPr>
          <w:sz w:val="20"/>
          <w:szCs w:val="20"/>
          <w:color w:val="auto"/>
        </w:rPr>
      </w:pPr>
    </w:p>
    <w:p>
      <w:pPr>
        <w:ind w:left="1240" w:hanging="616"/>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Zoom Communications, Inc.;</w:t>
      </w:r>
    </w:p>
    <w:p>
      <w:pPr>
        <w:spacing w:after="0" w:line="179" w:lineRule="exact"/>
        <w:rPr>
          <w:rFonts w:ascii="Times New Roman" w:cs="Times New Roman" w:eastAsia="Times New Roman" w:hAnsi="Times New Roman"/>
          <w:sz w:val="17"/>
          <w:szCs w:val="17"/>
          <w:color w:val="auto"/>
        </w:rPr>
      </w:pPr>
    </w:p>
    <w:p>
      <w:pPr>
        <w:ind w:left="1240" w:right="40" w:hanging="616"/>
        <w:spacing w:after="0" w:line="270"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7"/>
          <w:szCs w:val="17"/>
          <w:color w:val="auto"/>
        </w:rPr>
      </w:pPr>
    </w:p>
    <w:p>
      <w:pPr>
        <w:ind w:left="1240" w:right="200" w:hanging="616"/>
        <w:spacing w:after="0" w:line="288"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1240" w:right="160" w:hanging="616"/>
        <w:spacing w:after="0" w:line="264"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62" w:lineRule="exact"/>
        <w:rPr>
          <w:rFonts w:ascii="Times New Roman" w:cs="Times New Roman" w:eastAsia="Times New Roman" w:hAnsi="Times New Roman"/>
          <w:sz w:val="17"/>
          <w:szCs w:val="17"/>
          <w:color w:val="auto"/>
        </w:rPr>
      </w:pPr>
    </w:p>
    <w:p>
      <w:pPr>
        <w:ind w:left="1860" w:right="200" w:hanging="616"/>
        <w:spacing w:after="0" w:line="270" w:lineRule="auto"/>
        <w:tabs>
          <w:tab w:leader="none" w:pos="185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Times New Roman" w:cs="Times New Roman" w:eastAsia="Times New Roman" w:hAnsi="Times New Roman"/>
          <w:sz w:val="17"/>
          <w:szCs w:val="17"/>
          <w:color w:val="auto"/>
        </w:rPr>
      </w:pPr>
    </w:p>
    <w:p>
      <w:pPr>
        <w:ind w:left="1860" w:right="260" w:hanging="616"/>
        <w:spacing w:after="0" w:line="270" w:lineRule="auto"/>
        <w:tabs>
          <w:tab w:leader="none" w:pos="18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7"/>
          <w:szCs w:val="17"/>
          <w:color w:val="auto"/>
        </w:rPr>
      </w:pPr>
    </w:p>
    <w:p>
      <w:pPr>
        <w:jc w:val="both"/>
        <w:ind w:left="1860" w:right="60" w:hanging="616"/>
        <w:spacing w:after="0" w:line="288" w:lineRule="auto"/>
        <w:tabs>
          <w:tab w:leader="none" w:pos="185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860" w:right="60" w:hanging="616"/>
        <w:spacing w:after="0" w:line="270" w:lineRule="auto"/>
        <w:tabs>
          <w:tab w:leader="none" w:pos="18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Times New Roman" w:cs="Times New Roman" w:eastAsia="Times New Roman" w:hAnsi="Times New Roman"/>
          <w:sz w:val="17"/>
          <w:szCs w:val="17"/>
          <w:color w:val="auto"/>
        </w:rPr>
      </w:pPr>
    </w:p>
    <w:p>
      <w:pPr>
        <w:ind w:left="1240" w:right="120" w:hanging="616"/>
        <w:spacing w:after="0" w:line="288" w:lineRule="auto"/>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1860" w:right="300" w:hanging="616"/>
        <w:spacing w:after="0" w:line="288" w:lineRule="auto"/>
        <w:tabs>
          <w:tab w:leader="none" w:pos="185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860" w:hanging="616"/>
        <w:spacing w:after="0" w:line="288" w:lineRule="auto"/>
        <w:tabs>
          <w:tab w:leader="none" w:pos="18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tbl>
      <w:tblPr>
        <w:tblLayout w:type="fixed"/>
        <w:tblInd w:w="960" w:type="dxa"/>
        <w:tblCellMar>
          <w:top w:w="0" w:type="dxa"/>
          <w:left w:w="0" w:type="dxa"/>
          <w:bottom w:w="0" w:type="dxa"/>
          <w:right w:w="0" w:type="dxa"/>
        </w:tblCellMar>
      </w:tblPr>
      <w:tr>
        <w:trPr>
          <w:trHeight w:val="219"/>
        </w:trPr>
        <w:tc>
          <w:tcPr>
            <w:tcW w:w="5460" w:type="dxa"/>
            <w:vAlign w:val="bottom"/>
          </w:tcPr>
          <w:p>
            <w:pPr>
              <w:ind w:left="4860"/>
              <w:spacing w:after="0"/>
              <w:rPr>
                <w:sz w:val="20"/>
                <w:szCs w:val="20"/>
                <w:color w:val="auto"/>
              </w:rPr>
            </w:pPr>
            <w:r>
              <w:rPr>
                <w:rFonts w:ascii="Times New Roman" w:cs="Times New Roman" w:eastAsia="Times New Roman" w:hAnsi="Times New Roman"/>
                <w:sz w:val="17"/>
                <w:szCs w:val="17"/>
                <w:color w:val="auto"/>
              </w:rPr>
              <w:t>By:</w:t>
            </w: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Eric S. Yuan</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Eric S. Yuan</w:t>
            </w:r>
          </w:p>
        </w:tc>
      </w:tr>
      <w:tr>
        <w:trPr>
          <w:trHeight w:val="216"/>
        </w:trPr>
        <w:tc>
          <w:tcPr>
            <w:tcW w:w="54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7"/>
        </w:trPr>
        <w:tc>
          <w:tcPr>
            <w:tcW w:w="54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40"/>
          </w:cols>
          <w:pgMar w:left="320" w:top="856"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jc w:val="center"/>
        <w:ind w:left="340" w:right="2300"/>
        <w:spacing w:after="0" w:line="270" w:lineRule="auto"/>
        <w:rPr>
          <w:sz w:val="20"/>
          <w:szCs w:val="20"/>
          <w:color w:val="auto"/>
        </w:rPr>
      </w:pPr>
      <w:r>
        <w:rPr>
          <w:rFonts w:ascii="Times New Roman" w:cs="Times New Roman" w:eastAsia="Times New Roman" w:hAnsi="Times New Roman"/>
          <w:sz w:val="17"/>
          <w:szCs w:val="17"/>
          <w:color w:val="auto"/>
        </w:rPr>
        <w:t>CERTIFICATION OF CHIEF FINANCIAL OFFICER PURSUANT TO EXCHANGE ACT RULES 13a-14(a) AND 15d-14(a) AS ADOPTED PURSUANT TO SECTION 302 OF THE SARBANES-OXLEY ACT OF 2002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Michelle Chang, certify that:</w:t>
      </w:r>
    </w:p>
    <w:p>
      <w:pPr>
        <w:spacing w:after="0" w:line="179" w:lineRule="exact"/>
        <w:rPr>
          <w:sz w:val="20"/>
          <w:szCs w:val="20"/>
          <w:color w:val="auto"/>
        </w:rPr>
      </w:pPr>
    </w:p>
    <w:p>
      <w:pPr>
        <w:ind w:left="1240" w:hanging="616"/>
        <w:spacing w:after="0"/>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Zoom Communications, Inc.;</w:t>
      </w:r>
    </w:p>
    <w:p>
      <w:pPr>
        <w:spacing w:after="0" w:line="192" w:lineRule="exact"/>
        <w:rPr>
          <w:rFonts w:ascii="Times New Roman" w:cs="Times New Roman" w:eastAsia="Times New Roman" w:hAnsi="Times New Roman"/>
          <w:sz w:val="17"/>
          <w:szCs w:val="17"/>
          <w:color w:val="auto"/>
        </w:rPr>
      </w:pPr>
    </w:p>
    <w:p>
      <w:pPr>
        <w:ind w:left="1240" w:right="40" w:hanging="616"/>
        <w:spacing w:after="0" w:line="270"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7"/>
          <w:szCs w:val="17"/>
          <w:color w:val="auto"/>
        </w:rPr>
      </w:pPr>
    </w:p>
    <w:p>
      <w:pPr>
        <w:ind w:left="1240" w:right="200" w:hanging="616"/>
        <w:spacing w:after="0" w:line="288"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1240" w:right="160" w:hanging="616"/>
        <w:spacing w:after="0" w:line="264"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75" w:lineRule="exact"/>
        <w:rPr>
          <w:rFonts w:ascii="Times New Roman" w:cs="Times New Roman" w:eastAsia="Times New Roman" w:hAnsi="Times New Roman"/>
          <w:sz w:val="17"/>
          <w:szCs w:val="17"/>
          <w:color w:val="auto"/>
        </w:rPr>
      </w:pPr>
    </w:p>
    <w:p>
      <w:pPr>
        <w:ind w:left="1860" w:right="200" w:hanging="616"/>
        <w:spacing w:after="0" w:line="270" w:lineRule="auto"/>
        <w:tabs>
          <w:tab w:leader="none" w:pos="18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7"/>
          <w:szCs w:val="17"/>
          <w:color w:val="auto"/>
        </w:rPr>
      </w:pPr>
    </w:p>
    <w:p>
      <w:pPr>
        <w:ind w:left="1860" w:right="260" w:hanging="616"/>
        <w:spacing w:after="0" w:line="270" w:lineRule="auto"/>
        <w:tabs>
          <w:tab w:leader="none" w:pos="18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7"/>
          <w:szCs w:val="17"/>
          <w:color w:val="auto"/>
        </w:rPr>
      </w:pPr>
    </w:p>
    <w:p>
      <w:pPr>
        <w:jc w:val="both"/>
        <w:ind w:left="1860" w:right="60" w:hanging="616"/>
        <w:spacing w:after="0" w:line="288" w:lineRule="auto"/>
        <w:tabs>
          <w:tab w:leader="none" w:pos="18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7"/>
          <w:szCs w:val="17"/>
          <w:color w:val="auto"/>
        </w:rPr>
      </w:pPr>
    </w:p>
    <w:p>
      <w:pPr>
        <w:ind w:left="1860" w:right="60" w:hanging="616"/>
        <w:spacing w:after="0" w:line="270" w:lineRule="auto"/>
        <w:tabs>
          <w:tab w:leader="none" w:pos="18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7"/>
          <w:szCs w:val="17"/>
          <w:color w:val="auto"/>
        </w:rPr>
      </w:pPr>
    </w:p>
    <w:p>
      <w:pPr>
        <w:ind w:left="1240" w:right="120" w:hanging="616"/>
        <w:spacing w:after="0" w:line="288" w:lineRule="auto"/>
        <w:tabs>
          <w:tab w:leader="none" w:pos="12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7"/>
          <w:szCs w:val="17"/>
          <w:color w:val="auto"/>
        </w:rPr>
      </w:pPr>
    </w:p>
    <w:p>
      <w:pPr>
        <w:ind w:left="1860" w:right="300" w:hanging="616"/>
        <w:spacing w:after="0" w:line="288" w:lineRule="auto"/>
        <w:tabs>
          <w:tab w:leader="none" w:pos="18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7"/>
          <w:szCs w:val="17"/>
          <w:color w:val="auto"/>
        </w:rPr>
      </w:pPr>
    </w:p>
    <w:p>
      <w:pPr>
        <w:ind w:left="1860" w:hanging="616"/>
        <w:spacing w:after="0" w:line="288" w:lineRule="auto"/>
        <w:tabs>
          <w:tab w:leader="none" w:pos="18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287" w:lineRule="exact"/>
        <w:rPr>
          <w:sz w:val="20"/>
          <w:szCs w:val="20"/>
          <w:color w:val="auto"/>
        </w:rPr>
      </w:pPr>
    </w:p>
    <w:tbl>
      <w:tblPr>
        <w:tblLayout w:type="fixed"/>
        <w:tblInd w:w="960" w:type="dxa"/>
        <w:tblCellMar>
          <w:top w:w="0" w:type="dxa"/>
          <w:left w:w="0" w:type="dxa"/>
          <w:bottom w:w="0" w:type="dxa"/>
          <w:right w:w="0" w:type="dxa"/>
        </w:tblCellMar>
      </w:tblPr>
      <w:tr>
        <w:trPr>
          <w:trHeight w:val="223"/>
        </w:trPr>
        <w:tc>
          <w:tcPr>
            <w:tcW w:w="5320" w:type="dxa"/>
            <w:vAlign w:val="bottom"/>
          </w:tcPr>
          <w:p>
            <w:pPr>
              <w:ind w:left="4840"/>
              <w:spacing w:after="0"/>
              <w:rPr>
                <w:sz w:val="20"/>
                <w:szCs w:val="20"/>
                <w:color w:val="auto"/>
              </w:rPr>
            </w:pPr>
            <w:r>
              <w:rPr>
                <w:rFonts w:ascii="Times New Roman" w:cs="Times New Roman" w:eastAsia="Times New Roman" w:hAnsi="Times New Roman"/>
                <w:sz w:val="17"/>
                <w:szCs w:val="17"/>
                <w:color w:val="auto"/>
              </w:rPr>
              <w:t>By:</w:t>
            </w:r>
          </w:p>
        </w:tc>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16"/>
        </w:trPr>
        <w:tc>
          <w:tcPr>
            <w:tcW w:w="5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53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ectPr>
          <w:pgSz w:w="11900" w:h="16838" w:orient="portrait"/>
          <w:cols w:equalWidth="0" w:num="1">
            <w:col w:w="11240"/>
          </w:cols>
          <w:pgMar w:left="320" w:top="102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 CHIEF EXECUTIVE OFFICER AND CHIEF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 SECTION 906 OF THE SARBANES-OXLEY ACT OF 2002</w:t>
      </w:r>
    </w:p>
    <w:p>
      <w:pPr>
        <w:spacing w:after="0" w:line="200" w:lineRule="exact"/>
        <w:rPr>
          <w:sz w:val="20"/>
          <w:szCs w:val="20"/>
          <w:color w:val="auto"/>
        </w:rPr>
      </w:pPr>
    </w:p>
    <w:p>
      <w:pPr>
        <w:spacing w:after="0" w:line="376"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I, Eric S. Yuan, certify, pursuant to 18 U.S.C. Section 1350, as adopted pursuant to Section 906 of the Sarbanes-Oxley Act of 2002, that the Annual Report on Form 10-K of Zoom Communications, Inc. for the fiscal year ended January 31, 2026 fully complies with the requirements of Section 13(a) or 15(d) of the Securities Exchange Act of 1934 and that information contained in such Annual Report on Form 10-K fairly presents, in all material respects, the financial condition and results of operations of Zoom Communications, Inc.</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6880" w:type="dxa"/>
            <w:vAlign w:val="bottom"/>
            <w:gridSpan w:val="2"/>
          </w:tcPr>
          <w:p>
            <w:pPr>
              <w:ind w:left="252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6880" w:type="dxa"/>
            <w:vAlign w:val="bottom"/>
            <w:gridSpan w:val="2"/>
          </w:tcPr>
          <w:p>
            <w:pPr>
              <w:ind w:left="2520"/>
              <w:spacing w:after="0"/>
              <w:rPr>
                <w:sz w:val="20"/>
                <w:szCs w:val="20"/>
                <w:color w:val="auto"/>
              </w:rPr>
            </w:pPr>
            <w:r>
              <w:rPr>
                <w:rFonts w:ascii="Times New Roman" w:cs="Times New Roman" w:eastAsia="Times New Roman" w:hAnsi="Times New Roman"/>
                <w:sz w:val="17"/>
                <w:szCs w:val="17"/>
                <w:color w:val="auto"/>
              </w:rPr>
              <w:t>By:  /s/ Eric S. Yuan</w:t>
            </w:r>
          </w:p>
        </w:tc>
      </w:tr>
      <w:tr>
        <w:trPr>
          <w:trHeight w:val="209"/>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Eric S. Yuan</w:t>
            </w:r>
          </w:p>
        </w:tc>
      </w:t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7"/>
        </w:trPr>
        <w:tc>
          <w:tcPr>
            <w:tcW w:w="4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 Michelle Chang, certify, pursuant to 18 U.S.C. Section 1350, as adopted pursuant to Section 906 of the Sarbanes-Oxley Act of 2002, that the Annual Report on Form 10-K of Zoom Communications, Inc. for the fiscal year ended January 31, 2026 fully complies with the requirements of Section 13(a) or 15(d) of the Securities Exchange Act of 1934 and that information contained in such Annual Report on Form 10-K fairly presents, in all material respects, the financial condition and results of operations of Zoom Communications, Inc.</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6880" w:type="dxa"/>
            <w:vAlign w:val="bottom"/>
            <w:gridSpan w:val="2"/>
          </w:tcPr>
          <w:p>
            <w:pPr>
              <w:ind w:left="252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39"/>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27, 2026</w:t>
            </w:r>
          </w:p>
        </w:tc>
        <w:tc>
          <w:tcPr>
            <w:tcW w:w="6880" w:type="dxa"/>
            <w:vAlign w:val="bottom"/>
            <w:gridSpan w:val="2"/>
          </w:tcPr>
          <w:p>
            <w:pPr>
              <w:ind w:left="2520"/>
              <w:spacing w:after="0"/>
              <w:rPr>
                <w:sz w:val="20"/>
                <w:szCs w:val="20"/>
                <w:color w:val="auto"/>
              </w:rPr>
            </w:pPr>
            <w:r>
              <w:rPr>
                <w:rFonts w:ascii="Times New Roman" w:cs="Times New Roman" w:eastAsia="Times New Roman" w:hAnsi="Times New Roman"/>
                <w:sz w:val="17"/>
                <w:szCs w:val="17"/>
                <w:color w:val="auto"/>
              </w:rPr>
              <w:t>By:  /s/ Michelle Chang</w:t>
            </w:r>
          </w:p>
        </w:tc>
      </w:tr>
      <w:tr>
        <w:trPr>
          <w:trHeight w:val="209"/>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16"/>
        </w:trPr>
        <w:tc>
          <w:tcPr>
            <w:tcW w:w="42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42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Zoom Communications,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2"/>
    </w:lvl>
  </w:abstractNum>
  <w:abstractNum w:abstractNumId="27">
    <w:nsid w:val="614FD4A1"/>
    <w:multiLevelType w:val="hybridMultilevel"/>
    <w:lvl w:ilvl="0">
      <w:lvlJc w:val="left"/>
      <w:lvlText w:val="%1."/>
      <w:numFmt w:val="decimal"/>
      <w:start w:val="3"/>
    </w:lvl>
  </w:abstractNum>
  <w:abstractNum w:abstractNumId="28">
    <w:nsid w:val="419AC241"/>
    <w:multiLevelType w:val="hybridMultilevel"/>
    <w:lvl w:ilvl="0">
      <w:lvlJc w:val="left"/>
      <w:lvlText w:val="%1."/>
      <w:numFmt w:val="decimal"/>
      <w:start w:val="4"/>
    </w:lvl>
  </w:abstractNum>
  <w:abstractNum w:abstractNumId="29">
    <w:nsid w:val="5577F8E1"/>
    <w:multiLevelType w:val="hybridMultilevel"/>
    <w:lvl w:ilvl="0">
      <w:lvlJc w:val="left"/>
      <w:lvlText w:val="%1."/>
      <w:numFmt w:val="decimal"/>
      <w:start w:val="5"/>
    </w:lvl>
  </w:abstractNum>
  <w:abstractNum w:abstractNumId="30">
    <w:nsid w:val="440BADFC"/>
    <w:multiLevelType w:val="hybridMultilevel"/>
    <w:lvl w:ilvl="0">
      <w:lvlJc w:val="left"/>
      <w:lvlText w:val="%1."/>
      <w:numFmt w:val="decimal"/>
      <w:start w:val="3"/>
    </w:lvl>
  </w:abstractNum>
  <w:abstractNum w:abstractNumId="31">
    <w:nsid w:val="5072367"/>
    <w:multiLevelType w:val="hybridMultilevel"/>
    <w:lvl w:ilvl="0">
      <w:lvlJc w:val="left"/>
      <w:lvlText w:val="%1."/>
      <w:numFmt w:val="decimal"/>
      <w:start w:val="5"/>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
      <w:numFmt w:val="bullet"/>
      <w:start w:val="1"/>
    </w:lvl>
    <w:lvl w:ilvl="1">
      <w:lvlJc w:val="left"/>
      <w:lvlText w:val="%2"/>
      <w:numFmt w:val="decimal"/>
      <w:start w:val="104"/>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6" Type="http://schemas.openxmlformats.org/officeDocument/2006/relationships/image" Target="media/image113.png"/><Relationship Id="rId150"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20" Type="http://schemas.openxmlformats.org/officeDocument/2006/relationships/hyperlink" Target="https://www.sec.gov/Archives/edgar/data/1585521/000119312519115111/d736915dex31.htm" TargetMode="External"/><Relationship Id="rId121" Type="http://schemas.openxmlformats.org/officeDocument/2006/relationships/hyperlink" Target="https://www.sec.gov/Archives/edgar/data/1585521/000158552124000257/certificateofamendmenttoce.htm" TargetMode="External"/><Relationship Id="rId122" Type="http://schemas.openxmlformats.org/officeDocument/2006/relationships/hyperlink" Target="https://www.sec.gov/Archives/edgar/data/1585521/000158552124000257/amendedandrestatedbylaws.htm" TargetMode="External"/><Relationship Id="rId123" Type="http://schemas.openxmlformats.org/officeDocument/2006/relationships/hyperlink" Target="https://www.sec.gov/Archives/edgar/data/1585521/000119312519099813/d642624dex41.htm" TargetMode="External"/><Relationship Id="rId124" Type="http://schemas.openxmlformats.org/officeDocument/2006/relationships/hyperlink" Target="https://www.sec.gov/Archives/edgar/data/1585521/000119312519083351/d642624dex101.htm" TargetMode="External"/><Relationship Id="rId125" Type="http://schemas.openxmlformats.org/officeDocument/2006/relationships/hyperlink" Target="https://www.sec.gov/Archives/edgar/data/1585521/000158552125000042/eip.htm" TargetMode="External"/><Relationship Id="rId127" Type="http://schemas.openxmlformats.org/officeDocument/2006/relationships/hyperlink" Target="https://www.sec.gov/Archives/edgar/data/1585521/000158552120000238/a20200731-10qxex103.htm" TargetMode="External"/><Relationship Id="rId128" Type="http://schemas.openxmlformats.org/officeDocument/2006/relationships/hyperlink" Target="https://www.sec.gov/Archives/edgar/data/1585521/000158552125000042/psunonexec.htm" TargetMode="External"/><Relationship Id="rId129" Type="http://schemas.openxmlformats.org/officeDocument/2006/relationships/hyperlink" Target="https://www.sec.gov/Archives/edgar/data/1585521/000158552124000094/fy25performancevesting.htm" TargetMode="External"/><Relationship Id="rId130" Type="http://schemas.openxmlformats.org/officeDocument/2006/relationships/hyperlink" Target="https://www.sec.gov/Archives/edgar/data/1585521/000158552125000042/espp.htm" TargetMode="External"/><Relationship Id="rId131" Type="http://schemas.openxmlformats.org/officeDocument/2006/relationships/hyperlink" Target="https://www.sec.gov/Archives/edgar/data/1585521/000119312519083351/d642624dex104.htm" TargetMode="External"/><Relationship Id="rId132" Type="http://schemas.openxmlformats.org/officeDocument/2006/relationships/hyperlink" Target="https://www.sec.gov/Archives/edgar/data/1585521/000158552123000035/zm-20230131xex107.htm" TargetMode="External"/><Relationship Id="rId133" Type="http://schemas.openxmlformats.org/officeDocument/2006/relationships/hyperlink" Target="https://www.sec.gov/Archives/edgar/data/1585521/000158552125000042/rsu_exec.htm" TargetMode="External"/><Relationship Id="rId134" Type="http://schemas.openxmlformats.org/officeDocument/2006/relationships/hyperlink" Target="https://www.sec.gov/Archives/edgar/data/1585521/000158552125000042/rsu_nonexec.htm" TargetMode="External"/><Relationship Id="rId135" Type="http://schemas.openxmlformats.org/officeDocument/2006/relationships/hyperlink" Target="https://www.sec.gov/Archives/edgar/data/1585521/000158552119000020/exhibit103_2019eiprsunon.htm" TargetMode="External"/><Relationship Id="rId136" Type="http://schemas.openxmlformats.org/officeDocument/2006/relationships/hyperlink" Target="https://www.sec.gov/Archives/edgar/data/1585521/000119312519083351/d642624dex105.htm" TargetMode="External"/><Relationship Id="rId137" Type="http://schemas.openxmlformats.org/officeDocument/2006/relationships/hyperlink" Target="https://www.sec.gov/Archives/edgar/data/1585521/000119312519083351/d642624dex106.htm" TargetMode="External"/><Relationship Id="rId138" Type="http://schemas.openxmlformats.org/officeDocument/2006/relationships/hyperlink" Target="https://www.sec.gov/Archives/edgar/data/1585521/000158552120000238/zm20200731ex101.htm" TargetMode="External"/><Relationship Id="rId139" Type="http://schemas.openxmlformats.org/officeDocument/2006/relationships/hyperlink" Target="https://www.sec.gov/Archives/edgar/data/1585521/000158552120000238/zm-20200731x10qxex102.htm" TargetMode="External"/><Relationship Id="rId140" Type="http://schemas.openxmlformats.org/officeDocument/2006/relationships/hyperlink" Target="https://www.sec.gov/Archives/edgar/data/1585521/000158552121000048/ex1017_napolitanoofferlett.htm" TargetMode="External"/><Relationship Id="rId141" Type="http://schemas.openxmlformats.org/officeDocument/2006/relationships/hyperlink" Target="https://www.sec.gov/Archives/edgar/data/1585521/000158552122000106/zoom-boardofferlettermcder.htm" TargetMode="External"/><Relationship Id="rId142" Type="http://schemas.openxmlformats.org/officeDocument/2006/relationships/hyperlink" Target="https://www.sec.gov/Archives/edgar/data/1585521/000158552123000035/zm-20230131xex1020.htm" TargetMode="External"/><Relationship Id="rId143" Type="http://schemas.openxmlformats.org/officeDocument/2006/relationships/hyperlink" Target="https://www.sec.gov/Archives/edgar/data/1585521/000119312524229587/d877887dex101.htm" TargetMode="External"/><Relationship Id="rId144" Type="http://schemas.openxmlformats.org/officeDocument/2006/relationships/hyperlink" Target="https://www.sec.gov/Archives/edgar/data/1585521/000119312519083351/d642624dex109.htm" TargetMode="External"/><Relationship Id="rId145" Type="http://schemas.openxmlformats.org/officeDocument/2006/relationships/hyperlink" Target="https://www.sec.gov/Archives/edgar/data/1585521/000158552119000020/exhibit105_lease4thamend.htm" TargetMode="External"/><Relationship Id="rId146" Type="http://schemas.openxmlformats.org/officeDocument/2006/relationships/hyperlink" Target="https://www.sec.gov/Archives/edgar/data/1585521/000158552120000154/zm-20200430xex101xexport.htm" TargetMode="External"/><Relationship Id="rId147" Type="http://schemas.openxmlformats.org/officeDocument/2006/relationships/hyperlink" Target="https://www.sec.gov/Archives/edgar/data/1585521/000158552122000037/ex1021_zoom-officerbonuspl.htm" TargetMode="External"/><Relationship Id="rId148" Type="http://schemas.openxmlformats.org/officeDocument/2006/relationships/hyperlink" Target="https://www.sec.gov/Archives/edgar/data/1585521/000158552122000180/exhibit102_zoom-severancea.htm" TargetMode="External"/><Relationship Id="rId149" Type="http://schemas.openxmlformats.org/officeDocument/2006/relationships/hyperlink" Target="https://www.sec.gov/Archives/edgar/data/1585521/000158552125000042/insidertradingpolicy.htm" TargetMode="External"/><Relationship Id="rId151" Type="http://schemas.openxmlformats.org/officeDocument/2006/relationships/hyperlink" Target="https://www.sec.gov/Archives/edgar/data/1585521/000158552124000030/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2026-02-27T17:50:32Z</dcterms:created>
  <dcterms:modified xsi:type="dcterms:W3CDTF">2026-02-27T17:50:32Z</dcterms:modified>
</cp:coreProperties>
</file>