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540385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565785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560" w:right="540" w:hanging="534"/>
        <w:spacing w:after="0" w:line="238" w:lineRule="auto"/>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2026</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580" w:right="500" w:hanging="534"/>
        <w:spacing w:after="0" w:line="238" w:lineRule="auto"/>
        <w:tabs>
          <w:tab w:leader="none" w:pos="5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7480" w:type="dxa"/>
            <w:vAlign w:val="bottom"/>
            <w:gridSpan w:val="6"/>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32"/>
        </w:trPr>
        <w:tc>
          <w:tcPr>
            <w:tcW w:w="3880" w:type="dxa"/>
            <w:vAlign w:val="bottom"/>
          </w:tcPr>
          <w:p>
            <w:pPr>
              <w:spacing w:after="0"/>
              <w:rPr>
                <w:sz w:val="20"/>
                <w:szCs w:val="20"/>
                <w:color w:val="auto"/>
              </w:rPr>
            </w:pPr>
          </w:p>
        </w:tc>
        <w:tc>
          <w:tcPr>
            <w:tcW w:w="36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Commission File Number 001-38865</w:t>
            </w:r>
          </w:p>
        </w:tc>
        <w:tc>
          <w:tcPr>
            <w:tcW w:w="3700" w:type="dxa"/>
            <w:vAlign w:val="bottom"/>
          </w:tcPr>
          <w:p>
            <w:pPr>
              <w:spacing w:after="0"/>
              <w:rPr>
                <w:sz w:val="20"/>
                <w:szCs w:val="20"/>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485"/>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38"/>
                <w:szCs w:val="38"/>
                <w:b w:val="1"/>
                <w:bCs w:val="1"/>
                <w:color w:val="auto"/>
                <w:w w:val="99"/>
              </w:rPr>
              <w:t>Zoom Communications, Inc.</w:t>
            </w:r>
          </w:p>
        </w:tc>
      </w:tr>
      <w:tr>
        <w:trPr>
          <w:trHeight w:val="176"/>
        </w:trPr>
        <w:tc>
          <w:tcPr>
            <w:tcW w:w="3880" w:type="dxa"/>
            <w:vAlign w:val="bottom"/>
          </w:tcPr>
          <w:p>
            <w:pPr>
              <w:spacing w:after="0"/>
              <w:rPr>
                <w:sz w:val="15"/>
                <w:szCs w:val="15"/>
                <w:color w:val="auto"/>
              </w:rPr>
            </w:pPr>
          </w:p>
        </w:tc>
        <w:tc>
          <w:tcPr>
            <w:tcW w:w="3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00" w:type="dxa"/>
            <w:vAlign w:val="bottom"/>
          </w:tcPr>
          <w:p>
            <w:pPr>
              <w:spacing w:after="0"/>
              <w:rPr>
                <w:sz w:val="15"/>
                <w:szCs w:val="15"/>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255"/>
        </w:trPr>
        <w:tc>
          <w:tcPr>
            <w:tcW w:w="388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7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rPr>
              <w:t>61-1648780</w:t>
            </w:r>
          </w:p>
        </w:tc>
      </w:tr>
      <w:tr>
        <w:trPr>
          <w:trHeight w:val="146"/>
        </w:trPr>
        <w:tc>
          <w:tcPr>
            <w:tcW w:w="3880" w:type="dxa"/>
            <w:vAlign w:val="bottom"/>
          </w:tcPr>
          <w:p>
            <w:pPr>
              <w:jc w:val="center"/>
              <w:ind w:left="159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700" w:type="dxa"/>
            <w:vAlign w:val="bottom"/>
          </w:tcPr>
          <w:p>
            <w:pPr>
              <w:jc w:val="center"/>
              <w:ind w:right="181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left="159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0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1"/>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55 Almaden Boulevard, 6</w:t>
            </w:r>
            <w:r>
              <w:rPr>
                <w:rFonts w:ascii="Times New Roman" w:cs="Times New Roman" w:eastAsia="Times New Roman" w:hAnsi="Times New Roman"/>
                <w:sz w:val="16"/>
                <w:szCs w:val="16"/>
                <w:b w:val="1"/>
                <w:bCs w:val="1"/>
                <w:color w:val="auto"/>
              </w:rPr>
              <w:t>th</w:t>
            </w:r>
            <w:r>
              <w:rPr>
                <w:rFonts w:ascii="Times New Roman" w:cs="Times New Roman" w:eastAsia="Times New Roman" w:hAnsi="Times New Roman"/>
                <w:sz w:val="18"/>
                <w:szCs w:val="18"/>
                <w:b w:val="1"/>
                <w:bCs w:val="1"/>
                <w:color w:val="auto"/>
              </w:rPr>
              <w:t xml:space="preserve"> Floor</w:t>
            </w:r>
          </w:p>
        </w:tc>
        <w:tc>
          <w:tcPr>
            <w:tcW w:w="3700" w:type="dxa"/>
            <w:vAlign w:val="bottom"/>
          </w:tcPr>
          <w:p>
            <w:pPr>
              <w:spacing w:after="0"/>
              <w:rPr>
                <w:sz w:val="24"/>
                <w:szCs w:val="24"/>
                <w:color w:val="auto"/>
              </w:rPr>
            </w:pPr>
          </w:p>
        </w:tc>
      </w:tr>
      <w:tr>
        <w:trPr>
          <w:trHeight w:val="212"/>
        </w:trPr>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San Jose, California 95113</w:t>
            </w:r>
          </w:p>
        </w:tc>
        <w:tc>
          <w:tcPr>
            <w:tcW w:w="3700" w:type="dxa"/>
            <w:vAlign w:val="bottom"/>
          </w:tcPr>
          <w:p>
            <w:pPr>
              <w:spacing w:after="0"/>
              <w:rPr>
                <w:sz w:val="18"/>
                <w:szCs w:val="18"/>
                <w:color w:val="auto"/>
              </w:rPr>
            </w:pPr>
          </w:p>
        </w:tc>
      </w:tr>
      <w:tr>
        <w:trPr>
          <w:trHeight w:val="192"/>
        </w:trPr>
        <w:tc>
          <w:tcPr>
            <w:tcW w:w="3880" w:type="dxa"/>
            <w:vAlign w:val="bottom"/>
          </w:tcPr>
          <w:p>
            <w:pPr>
              <w:spacing w:after="0"/>
              <w:rPr>
                <w:sz w:val="16"/>
                <w:szCs w:val="16"/>
                <w:color w:val="auto"/>
              </w:rPr>
            </w:pPr>
          </w:p>
        </w:tc>
        <w:tc>
          <w:tcPr>
            <w:tcW w:w="3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and Zip Code)</w:t>
            </w:r>
          </w:p>
        </w:tc>
        <w:tc>
          <w:tcPr>
            <w:tcW w:w="3700" w:type="dxa"/>
            <w:vAlign w:val="bottom"/>
          </w:tcPr>
          <w:p>
            <w:pPr>
              <w:spacing w:after="0"/>
              <w:rPr>
                <w:sz w:val="16"/>
                <w:szCs w:val="16"/>
                <w:color w:val="auto"/>
              </w:rPr>
            </w:pPr>
          </w:p>
        </w:tc>
      </w:tr>
      <w:tr>
        <w:trPr>
          <w:trHeight w:val="280"/>
        </w:trPr>
        <w:tc>
          <w:tcPr>
            <w:tcW w:w="3880" w:type="dxa"/>
            <w:vAlign w:val="bottom"/>
          </w:tcPr>
          <w:p>
            <w:pPr>
              <w:spacing w:after="0"/>
              <w:rPr>
                <w:sz w:val="24"/>
                <w:szCs w:val="24"/>
                <w:color w:val="auto"/>
              </w:rPr>
            </w:pPr>
          </w:p>
        </w:tc>
        <w:tc>
          <w:tcPr>
            <w:tcW w:w="2960" w:type="dxa"/>
            <w:vAlign w:val="bottom"/>
            <w:gridSpan w:val="3"/>
          </w:tcPr>
          <w:p>
            <w:pPr>
              <w:jc w:val="center"/>
              <w:ind w:left="361"/>
              <w:spacing w:after="0"/>
              <w:rPr>
                <w:sz w:val="20"/>
                <w:szCs w:val="20"/>
                <w:color w:val="auto"/>
              </w:rPr>
            </w:pPr>
            <w:r>
              <w:rPr>
                <w:rFonts w:ascii="Times New Roman" w:cs="Times New Roman" w:eastAsia="Times New Roman" w:hAnsi="Times New Roman"/>
                <w:sz w:val="18"/>
                <w:szCs w:val="18"/>
                <w:b w:val="1"/>
                <w:bCs w:val="1"/>
                <w:color w:val="auto"/>
                <w:w w:val="99"/>
              </w:rPr>
              <w:t>(888) 799-9666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78"/>
        </w:trPr>
        <w:tc>
          <w:tcPr>
            <w:tcW w:w="3880" w:type="dxa"/>
            <w:vAlign w:val="bottom"/>
          </w:tcPr>
          <w:p>
            <w:pPr>
              <w:spacing w:after="0"/>
              <w:rPr>
                <w:sz w:val="15"/>
                <w:szCs w:val="15"/>
                <w:color w:val="auto"/>
              </w:rPr>
            </w:pPr>
          </w:p>
        </w:tc>
        <w:tc>
          <w:tcPr>
            <w:tcW w:w="3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700" w:type="dxa"/>
            <w:vAlign w:val="bottom"/>
          </w:tcPr>
          <w:p>
            <w:pPr>
              <w:spacing w:after="0"/>
              <w:rPr>
                <w:sz w:val="15"/>
                <w:szCs w:val="15"/>
                <w:color w:val="auto"/>
              </w:rPr>
            </w:pPr>
          </w:p>
        </w:tc>
      </w:tr>
      <w:tr>
        <w:trPr>
          <w:trHeight w:val="190"/>
        </w:trPr>
        <w:tc>
          <w:tcPr>
            <w:tcW w:w="111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260"/>
        </w:trPr>
        <w:tc>
          <w:tcPr>
            <w:tcW w:w="7480" w:type="dxa"/>
            <w:vAlign w:val="bottom"/>
            <w:gridSpan w:val="6"/>
          </w:tcPr>
          <w:p>
            <w:pPr>
              <w:jc w:val="center"/>
              <w:ind w:left="3612"/>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00" w:type="dxa"/>
            <w:vAlign w:val="bottom"/>
          </w:tcPr>
          <w:p>
            <w:pPr>
              <w:spacing w:after="0"/>
              <w:rPr>
                <w:sz w:val="22"/>
                <w:szCs w:val="22"/>
                <w:color w:val="auto"/>
              </w:rPr>
            </w:pPr>
          </w:p>
        </w:tc>
      </w:tr>
      <w:tr>
        <w:trPr>
          <w:trHeight w:val="233"/>
        </w:trPr>
        <w:tc>
          <w:tcPr>
            <w:tcW w:w="3880" w:type="dxa"/>
            <w:vAlign w:val="bottom"/>
          </w:tcPr>
          <w:p>
            <w:pPr>
              <w:jc w:val="center"/>
              <w:ind w:left="232"/>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880" w:type="dxa"/>
            <w:vAlign w:val="bottom"/>
            <w:tcBorders>
              <w:top w:val="single" w:sz="8" w:color="auto"/>
            </w:tcBorders>
          </w:tcPr>
          <w:p>
            <w:pPr>
              <w:jc w:val="center"/>
              <w:ind w:left="232"/>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ZM</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4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36"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of May 8, 2026, the number of shares of the registrant’s Class A common stock outstanding was 264,645,644 and the number of shares of the registrant’s Class B common stock outstanding was 28,586,574.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9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Zoom Communications,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April 30, 2026</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38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9"/>
              </w:rPr>
              <w:t>Special Note Regarding Forward-Looking Statements</w:t>
            </w:r>
          </w:p>
        </w:tc>
        <w:tc>
          <w:tcPr>
            <w:tcW w:w="4940" w:type="dxa"/>
            <w:vAlign w:val="bottom"/>
            <w:gridSpan w:val="10"/>
            <w:vMerge w:val="restart"/>
          </w:tcPr>
          <w:p>
            <w:pPr>
              <w:spacing w:after="0"/>
              <w:rPr>
                <w:sz w:val="22"/>
                <w:szCs w:val="22"/>
                <w:color w:val="auto"/>
              </w:rPr>
            </w:pPr>
          </w:p>
        </w:tc>
        <w:tc>
          <w:tcPr>
            <w:tcW w:w="14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940" w:type="dxa"/>
            <w:vAlign w:val="bottom"/>
          </w:tcPr>
          <w:p>
            <w:pPr>
              <w:spacing w:after="0"/>
              <w:rPr>
                <w:sz w:val="14"/>
                <w:szCs w:val="14"/>
                <w:color w:val="auto"/>
              </w:rPr>
            </w:pPr>
          </w:p>
        </w:tc>
        <w:tc>
          <w:tcPr>
            <w:tcW w:w="3880" w:type="dxa"/>
            <w:vAlign w:val="bottom"/>
            <w:tcBorders>
              <w:bottom w:val="single" w:sz="8" w:color="0000FF"/>
            </w:tcBorders>
            <w:gridSpan w:val="14"/>
            <w:vMerge w:val="continue"/>
          </w:tcPr>
          <w:p>
            <w:pPr>
              <w:spacing w:after="0"/>
              <w:rPr>
                <w:sz w:val="14"/>
                <w:szCs w:val="14"/>
                <w:color w:val="auto"/>
              </w:rPr>
            </w:pPr>
          </w:p>
        </w:tc>
        <w:tc>
          <w:tcPr>
            <w:tcW w:w="4940" w:type="dxa"/>
            <w:vAlign w:val="bottom"/>
            <w:gridSpan w:val="10"/>
            <w:vMerge w:val="continue"/>
          </w:tcPr>
          <w:p>
            <w:pPr>
              <w:spacing w:after="0"/>
              <w:rPr>
                <w:sz w:val="14"/>
                <w:szCs w:val="14"/>
                <w:color w:val="auto"/>
              </w:rPr>
            </w:pPr>
          </w:p>
        </w:tc>
        <w:tc>
          <w:tcPr>
            <w:tcW w:w="14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8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2"/>
                <w:szCs w:val="22"/>
                <w:color w:val="auto"/>
              </w:rPr>
            </w:pPr>
          </w:p>
        </w:tc>
        <w:tc>
          <w:tcPr>
            <w:tcW w:w="8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400" w:type="dxa"/>
            <w:vAlign w:val="bottom"/>
            <w:gridSpan w:val="11"/>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8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April 30, 2026 and January 31, 2026</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April 30, 2026 and 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4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April 30, 2026 and 2025</w:t>
            </w:r>
          </w:p>
        </w:tc>
        <w:tc>
          <w:tcPr>
            <w:tcW w:w="3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426"/>
        </w:trPr>
        <w:tc>
          <w:tcPr>
            <w:tcW w:w="940" w:type="dxa"/>
            <w:vAlign w:val="bottom"/>
          </w:tcPr>
          <w:p>
            <w:pPr>
              <w:spacing w:after="0"/>
              <w:rPr>
                <w:sz w:val="24"/>
                <w:szCs w:val="24"/>
                <w:color w:val="auto"/>
              </w:rPr>
            </w:pPr>
          </w:p>
        </w:tc>
        <w:tc>
          <w:tcPr>
            <w:tcW w:w="8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April 30, 2026 and 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828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April 30, 2026 and 2025</w:t>
            </w:r>
          </w:p>
        </w:tc>
        <w:tc>
          <w:tcPr>
            <w:tcW w:w="540" w:type="dxa"/>
            <w:vAlign w:val="bottom"/>
            <w:gridSpan w:val="2"/>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0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600" w:type="dxa"/>
            <w:vAlign w:val="bottom"/>
            <w:tcBorders>
              <w:top w:val="single" w:sz="8" w:color="0000FF"/>
            </w:tcBorders>
            <w:gridSpan w:val="6"/>
          </w:tcPr>
          <w:p>
            <w:pPr>
              <w:spacing w:after="0"/>
              <w:rPr>
                <w:sz w:val="18"/>
                <w:szCs w:val="18"/>
                <w:color w:val="auto"/>
              </w:rPr>
            </w:pPr>
          </w:p>
        </w:tc>
        <w:tc>
          <w:tcPr>
            <w:tcW w:w="1220" w:type="dxa"/>
            <w:vAlign w:val="bottom"/>
            <w:gridSpan w:val="3"/>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60" w:type="dxa"/>
            <w:vAlign w:val="bottom"/>
            <w:gridSpan w:val="5"/>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60" w:type="dxa"/>
            <w:vAlign w:val="bottom"/>
            <w:gridSpan w:val="7"/>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040" w:type="dxa"/>
            <w:vAlign w:val="bottom"/>
            <w:gridSpan w:val="15"/>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8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64"/>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40" w:type="dxa"/>
            <w:vAlign w:val="bottom"/>
            <w:tcBorders>
              <w:top w:val="single" w:sz="8" w:color="0000FF"/>
            </w:tcBorders>
            <w:gridSpan w:val="4"/>
          </w:tcPr>
          <w:p>
            <w:pPr>
              <w:spacing w:after="0"/>
              <w:rPr>
                <w:sz w:val="22"/>
                <w:szCs w:val="22"/>
                <w:color w:val="auto"/>
              </w:rPr>
            </w:pPr>
          </w:p>
        </w:tc>
        <w:tc>
          <w:tcPr>
            <w:tcW w:w="6740" w:type="dxa"/>
            <w:vAlign w:val="bottom"/>
            <w:gridSpan w:val="14"/>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8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480" w:type="dxa"/>
            <w:vAlign w:val="bottom"/>
            <w:gridSpan w:val="8"/>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00" w:type="dxa"/>
            <w:vAlign w:val="bottom"/>
            <w:gridSpan w:val="12"/>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060" w:type="dxa"/>
            <w:vAlign w:val="bottom"/>
            <w:gridSpan w:val="16"/>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220" w:type="dxa"/>
            <w:vAlign w:val="bottom"/>
            <w:gridSpan w:val="22"/>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060" w:type="dxa"/>
            <w:vAlign w:val="bottom"/>
            <w:gridSpan w:val="21"/>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the context suggests otherwise, references in this Quarterly Report on Form 10-Q to “Zoom,” the “Company,” “we,” “us” and “our” refer to Zoom Communications, Inc. and, where appropriate, its subsidiaries.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and evolving AI capabilities; our product strategy; our efforts to enhance the security and privacy of our platform; our ability to operate our business and effectively manage our scale under evolving macroeconomic conditions, such as geopolitical conflicts, tariffs and trade tensions, inflationary pressures, interest rate fluctuations, and foreign currency exchange rate volatility; our ability to become the ubiquitous platform for communications and collaboration;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68"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has fluctuated in prior periods, and may decline in future periods.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outages in service from our co-located data centers or cloud hosting services and a variety of other factors, would impair, and in the past have impaired, the delivery of our services, require us to issue credits or pay penalties, and harm our business.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customer and partner relationships; more third-party integrations; greater accessibility across devices and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spacing w:after="0" w:line="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significantly affected by changes in the economy, including any resulting effect on consumer or business spending.</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increase sales to large organizations or introduce new products and features, our sales cycles have and could continue to lengthen, and we could experience greater deployment challenges, which could harm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the past and there are no assurances we will be able to maintain or increase profitability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respond to rapid technological changes, extend our platform or develop new features, which could make our platform obsolete or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us incurring significant liabilities, and our business being harmed.</w:t>
      </w:r>
    </w:p>
    <w:p>
      <w:pPr>
        <w:spacing w:after="0" w:line="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grown and continues to grow in scale, complexity, and scope, which makes it difficult to evaluate our prospects and future results of operations.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failure by us, our customers, partners, or vendors to comply with stringent and evolving laws and regulations, industry standards, policies, and contractual obligations relating to privacy, data protection, information security laws, and other matters could harm, and has in the past harmed, our reputation and business or subject us to significant fines and liability.</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lose the services of our Chief Executive Officer or other members of our senior management team, we may not be able to execute our business strategy.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and expanding operations outside the United States, which may subject us to increased business, regulatory, and economic risks that could harm our business.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our products, including Zoom Phone, are subject to U.S. federal and international regulation, and other products we may introduce in the future may also be subject to U.S. federal, state, or international laws, rules, and regulations. Failure to comply with such laws, rules, and regulations could harm our business and expose us to liability.</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generative artificial intelligence (“AI”), including in our products and services, which may result in operational challenges, legal liability, reputational concerns, competitive risks and regulatory concerns that could adversely affect our business and results of operations.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1"/>
                <w:szCs w:val="11"/>
                <w:color w:val="auto"/>
              </w:rPr>
            </w:pPr>
          </w:p>
        </w:tc>
        <w:tc>
          <w:tcPr>
            <w:tcW w:w="1360" w:type="dxa"/>
            <w:vAlign w:val="bottom"/>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1,272,877</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6,830,037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6,544,031</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$19,120 and $18,348 as of April 30, 2026 and January 31, 2026,</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497,339</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contract acquisition costs, 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108,856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234,856</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8,575,004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8,657,959</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215,533</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264,525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52,423</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investments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1,876,419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1,578,611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400,392</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646,640</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144,333</w:t>
            </w:r>
          </w:p>
        </w:tc>
        <w:tc>
          <w:tcPr>
            <w:tcW w:w="0" w:type="dxa"/>
            <w:vAlign w:val="bottom"/>
          </w:tcPr>
          <w:p>
            <w:pPr>
              <w:spacing w:after="0"/>
              <w:rPr>
                <w:sz w:val="1"/>
                <w:szCs w:val="1"/>
                <w:color w:val="auto"/>
              </w:rPr>
            </w:pPr>
          </w:p>
        </w:tc>
      </w:tr>
      <w:tr>
        <w:trPr>
          <w:trHeight w:val="20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12,162,017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11,960,416</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581,773</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1,479,635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1,411,149</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2,031,525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1,999,190</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13,195</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30,710</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109,063</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2,190,869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2,152,158</w:t>
            </w:r>
          </w:p>
        </w:tc>
        <w:tc>
          <w:tcPr>
            <w:tcW w:w="0" w:type="dxa"/>
            <w:vAlign w:val="bottom"/>
          </w:tcPr>
          <w:p>
            <w:pPr>
              <w:spacing w:after="0"/>
              <w:rPr>
                <w:sz w:val="1"/>
                <w:szCs w:val="1"/>
                <w:color w:val="auto"/>
              </w:rPr>
            </w:pPr>
          </w:p>
        </w:tc>
      </w:tr>
      <w:tr>
        <w:trPr>
          <w:trHeight w:val="19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$0.001 par value per share, 2,000,000,000 Class A shares authorized as of April 30, 2026 and</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January 31, 2026; 264,877,071 and 266,805,638 shares issued and outstanding as of April 30, 2026 and</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January 31, 2026, respectively; 300,000,000 Class B shares authorized as of April 30, 2026 and January 31, 2026;</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28,610,574 and 28,721,770 shares issued and outstanding as of April 30, 2026 and January 31, 2026, respectively</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3,853,641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4,099,753</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6,125,343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5,699,666</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9,971,148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9,808,258</w:t>
            </w:r>
          </w:p>
        </w:tc>
        <w:tc>
          <w:tcPr>
            <w:tcW w:w="0" w:type="dxa"/>
            <w:vAlign w:val="bottom"/>
          </w:tcPr>
          <w:p>
            <w:pPr>
              <w:spacing w:after="0"/>
              <w:rPr>
                <w:sz w:val="1"/>
                <w:szCs w:val="1"/>
                <w:color w:val="auto"/>
              </w:rPr>
            </w:pPr>
          </w:p>
        </w:tc>
      </w:tr>
      <w:tr>
        <w:trPr>
          <w:trHeight w:val="20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12,162,017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11,960,416</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1,174,715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274,287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278,402</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896,313</w:t>
            </w:r>
          </w:p>
        </w:tc>
        <w:tc>
          <w:tcPr>
            <w:tcW w:w="0" w:type="dxa"/>
            <w:vAlign w:val="bottom"/>
          </w:tcPr>
          <w:p>
            <w:pPr>
              <w:spacing w:after="0"/>
              <w:rPr>
                <w:sz w:val="1"/>
                <w:szCs w:val="1"/>
                <w:color w:val="auto"/>
              </w:rPr>
            </w:pP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205,416</w:t>
            </w: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346,970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654,721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241,592</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87,792</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315,765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61,162</w:t>
            </w: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425,677</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254,603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Net income per share:</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294,434,952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304,908,652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300,233,667</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312,783,861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425,677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254,603</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76"/>
        </w:trPr>
        <w:tc>
          <w:tcPr>
            <w:tcW w:w="78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(loss) gain on available-for-sale marketable securities, net of income tax benefit (expense) of</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$5,410 and $(3,123) for the three months ended April 30, 2026 and 2025, respectively</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(16,673)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409,004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264,758</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April 30, 2026</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06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31, 2026</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295,527,408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4,099,753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5,699,666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9,808,258</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2,642,984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related to net share settlement of equity awards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(762,179)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(62,168)</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(4,169,208)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(363,563)</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179,113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(16,673)</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425,677</w:t>
            </w:r>
          </w:p>
        </w:tc>
        <w:tc>
          <w:tcPr>
            <w:tcW w:w="0" w:type="dxa"/>
            <w:vAlign w:val="bottom"/>
          </w:tcPr>
          <w:p>
            <w:pPr>
              <w:spacing w:after="0"/>
              <w:rPr>
                <w:sz w:val="1"/>
                <w:szCs w:val="1"/>
                <w:color w:val="auto"/>
              </w:rPr>
            </w:pPr>
          </w:p>
        </w:tc>
      </w:tr>
      <w:tr>
        <w:trPr>
          <w:trHeight w:val="221"/>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April 30, 2026</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293,487,645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6,125,343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9,971,148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April 30, 2025</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4"/>
                <w:szCs w:val="24"/>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060" w:type="dxa"/>
            <w:vAlign w:val="bottom"/>
            <w:gridSpan w:val="2"/>
            <w:vMerge w:val="restart"/>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31,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305,740,864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5,130,271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3,799,518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8,935,084</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4,016,633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related to net share settlement of equity awards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(1,171,871)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(82,153)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(5,561,920)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(419,906)</w:t>
            </w:r>
          </w:p>
        </w:tc>
        <w:tc>
          <w:tcPr>
            <w:tcW w:w="0" w:type="dxa"/>
            <w:vAlign w:val="bottom"/>
          </w:tcPr>
          <w:p>
            <w:pPr>
              <w:spacing w:after="0"/>
              <w:rPr>
                <w:sz w:val="1"/>
                <w:szCs w:val="1"/>
                <w:color w:val="auto"/>
              </w:rPr>
            </w:pPr>
          </w:p>
        </w:tc>
      </w:tr>
      <w:tr>
        <w:trPr>
          <w:trHeight w:val="195"/>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203,631</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254,603</w:t>
            </w:r>
          </w:p>
        </w:tc>
        <w:tc>
          <w:tcPr>
            <w:tcW w:w="0" w:type="dxa"/>
            <w:vAlign w:val="bottom"/>
          </w:tcPr>
          <w:p>
            <w:pPr>
              <w:spacing w:after="0"/>
              <w:rPr>
                <w:sz w:val="1"/>
                <w:szCs w:val="1"/>
                <w:color w:val="auto"/>
              </w:rPr>
            </w:pPr>
          </w:p>
        </w:tc>
      </w:tr>
      <w:tr>
        <w:trPr>
          <w:trHeight w:val="221"/>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April 30,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303,379,326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4,832,800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4,054,121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8,902,368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425,677</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254,603</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201,569</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69,557</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35,316</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(24,690)</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(Gains) losses on strategic investments,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13,619</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accounts receivable allowances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foreign exchange losses (gains)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(7,626)</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6,108</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discount/premium on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(12,845)</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12,485</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(12,293)</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(48,148)</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(80,383)</w:t>
            </w:r>
          </w:p>
        </w:tc>
      </w:tr>
      <w:tr>
        <w:trPr>
          <w:trHeight w:val="195"/>
        </w:trPr>
        <w:tc>
          <w:tcPr>
            <w:tcW w:w="8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72,141</w:t>
            </w:r>
          </w:p>
        </w:tc>
      </w:tr>
      <w:tr>
        <w:trPr>
          <w:trHeight w:val="210"/>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(7,401)</w:t>
            </w:r>
          </w:p>
        </w:tc>
      </w:tr>
      <w:tr>
        <w:trPr>
          <w:trHeight w:val="189"/>
        </w:trPr>
        <w:tc>
          <w:tcPr>
            <w:tcW w:w="8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521,610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489,261</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(1,172,217)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(1,135,024)</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858,125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1,033,279</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of marketable securities</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(25,910)</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strategic investments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(145,695)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strategic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(125,130)</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employee equity transactions to be remitted to employees and tax authorities,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8,690</w:t>
            </w: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repurchases of common stock</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(361,683)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(418,021)</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(82,153)</w:t>
            </w:r>
          </w:p>
        </w:tc>
      </w:tr>
      <w:tr>
        <w:trPr>
          <w:trHeight w:val="190"/>
        </w:trPr>
        <w:tc>
          <w:tcPr>
            <w:tcW w:w="81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(394,110)</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(490,530)</w:t>
            </w:r>
          </w:p>
        </w:tc>
      </w:tr>
      <w:tr>
        <w:trPr>
          <w:trHeight w:val="20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11,854</w:t>
            </w:r>
          </w:p>
        </w:tc>
      </w:tr>
      <w:tr>
        <w:trPr>
          <w:trHeight w:val="189"/>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(114,545)</w:t>
            </w: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1,283,781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1,361,417</w:t>
            </w:r>
          </w:p>
        </w:tc>
      </w:tr>
      <w:tr>
        <w:trPr>
          <w:trHeight w:val="189"/>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930,879</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1,246,872</w:t>
            </w:r>
          </w:p>
        </w:tc>
      </w:tr>
      <w:tr>
        <w:trPr>
          <w:trHeight w:val="27"/>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5"/>
        </w:trPr>
        <w:tc>
          <w:tcPr>
            <w:tcW w:w="8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37"/>
        </w:trPr>
        <w:tc>
          <w:tcPr>
            <w:tcW w:w="81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within the condensed consolidated balance sheets to the amounts shown</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0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the condensed consolidated statements of cash flows above: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5"/>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890,938</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1,228,847</w:t>
            </w:r>
          </w:p>
        </w:tc>
      </w:tr>
      <w:tr>
        <w:trPr>
          <w:trHeight w:val="21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 current included in 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18,025</w:t>
            </w:r>
          </w:p>
        </w:tc>
      </w:tr>
      <w:tr>
        <w:trPr>
          <w:trHeight w:val="189"/>
        </w:trPr>
        <w:tc>
          <w:tcPr>
            <w:tcW w:w="8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930,879</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1,246,872</w:t>
            </w:r>
          </w:p>
        </w:tc>
      </w:tr>
      <w:tr>
        <w:trPr>
          <w:trHeight w:val="27"/>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Zoom provides an AI-first, open work platform that enables a system of action for modern work, turning live collaboration into completed results and moving conversations to completion. Zoom enables customers to seamlessly collaborate, communicate, and drive outcomes across meetings, chat, phone, contact center, events, and more — all with the built-in assistance of Zoom AI Companion. We were incorporated in the state of Delaware in April 2011, and are headquartered in San Jose, California.</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fiscal year ends on January 31. References to fiscal year 2027, for example, refer to the fiscal year ending January 31, 2027.</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Communications, Inc., its subsidiaries, and variable interest entities for which we are the primary beneficiary. All intercompany balances and transactions have been eliminated in consolidation.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January 31, 2026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fairly present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included in our Annual Report on Form 10-K for the year ended January 31, 2026, filed with the SEC on February 27, 2026.</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fair value of marketable securities, acquired intangible assets and goodwill, the valuation of deferred income tax assets and uncertain tax positions, and accruals and contingencies. Actual results could materially differ from those estimates.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1. “Summary of Business and Significant Accounting Policies” in the notes to consolidated financial statements included in our Annual Report on Form 10-K for the year ended January 31, 2026, filed with the SEC on February 27, 2026. There have been no significant changes to these policies during the three months ended April 30, 2026.</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(“ASU 2024-03”), which aims to improve financial reporting by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disclosure about specific expense categories in the notes to financial statements at interim and annual reporting periods. ASU 2024-03 is effective for fiscal years beginning after December 15, 2026 and interim periods within fiscal years beginning after December 15, 2027. Early adoption is permitted. We are currently evaluating the impact of the adoption of this ASU on our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issued ASU No. 2025-06,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Targeted Improvements to the Accounting for Internal-Use Software </w:t>
      </w:r>
      <w:r>
        <w:rPr>
          <w:rFonts w:ascii="Times New Roman" w:cs="Times New Roman" w:eastAsia="Times New Roman" w:hAnsi="Times New Roman"/>
          <w:sz w:val="18"/>
          <w:szCs w:val="18"/>
          <w:color w:val="auto"/>
        </w:rPr>
        <w:t>(“ASU 2025-06”), which aims to modernize financial reporting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updating how entities recognize and disclose costs incurred for software developed for internal use. ASU 2025-06 is effective for fiscal years beginning after December 15, 2027, and interim periods within those fiscal years. Early adoption is permitted. We are currently evaluating the impact of the adoption of this ASU on our consolidated financial statements.</w:t>
      </w:r>
    </w:p>
    <w:p>
      <w:pPr>
        <w:spacing w:after="0" w:line="1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37"/>
        </w:trPr>
        <w:tc>
          <w:tcPr>
            <w:tcW w:w="6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ind w:right="124"/>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ind w:right="142"/>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434"/>
        </w:trPr>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893,572</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847,696</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37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 (“APAC”)</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150,510</w:t>
            </w:r>
          </w:p>
        </w:tc>
        <w:tc>
          <w:tcPr>
            <w:tcW w:w="140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141,770</w:t>
            </w:r>
          </w:p>
        </w:tc>
        <w:tc>
          <w:tcPr>
            <w:tcW w:w="142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37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194,924</w:t>
            </w:r>
          </w:p>
        </w:tc>
        <w:tc>
          <w:tcPr>
            <w:tcW w:w="140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185,249</w:t>
            </w:r>
          </w:p>
        </w:tc>
        <w:tc>
          <w:tcPr>
            <w:tcW w:w="142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1,239,006</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1,174,715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was $87.8 million and $84.9 million as of April 30, 2026 and January 31, 2026, respectively.</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Contract liabilities consist of deferred revenue. Revenue is deferred when we have the right to invoice in advance of performance under a customer contract. The current portion of deferred revenue balances is recognized over the next 12 months. Revenue recognized from amounts included in deferred revenue at the beginning of each period totaled $656.3 million and $624.1 million for the three months ended April 30, 2026 and 2025,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terms of our subscription agreements are monthly, annual, and multiyear, and we may bill for the full term in advance or on an annual, quarterly, or monthly basis, depending on the billing terms with customers. As of April 30, 2026, the aggregate amount of the transaction price allocated to our remaining performance obligations was $4,298.6 million, which consists of both billed consideration in the amount of $1,493.4 million and unbilled consideration in the amount of $2,805.2 million that we expect to recognize as revenue. We expect to recognize 58% of our remaining performance obligations as revenue over the next 12 months and the remainder thereafter.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Investments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April 30, 2026 and January 31, 2026, our marketable securities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0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8"/>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5,598,728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5,590,416</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1,195,153</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44,468</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6,841,552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6,830,037</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00" w:type="dxa"/>
            <w:vAlign w:val="bottom"/>
          </w:tcPr>
          <w:p>
            <w:pPr>
              <w:jc w:val="center"/>
              <w:ind w:right="158"/>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1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9"/>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5,373,782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5,383,887</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1,095,471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64,673</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6,533,457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6,544,031</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Unrealized losses for securities that have been in an unrealized loss position for less than 12 months were $15.4 million and $1.5 million as of April 30, 2026 and January 31, 2026, respectively. Unrealized losses for securities that have been in an unrealized loss position for 12 months or longer were de minimis as of both April 30, 2026 and January 31, 2026. We review the individual securities that have unrealized losses on a regular basis to evaluate whether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income for the three months ended April 30, 2026 and 2025.</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our marketable securities as of April 30, 2026 and January 31,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4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3,118,570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4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3,711,467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6,830,037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6,544,031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4160" w:type="dxa"/>
            <w:vAlign w:val="bottom"/>
            <w:tcBorders>
              <w:top w:val="single" w:sz="8" w:color="CFF0FC"/>
              <w:bottom w:val="single" w:sz="8" w:color="CFF0FC"/>
            </w:tcBorders>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investments by type and measurement category as of April 30, 2026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Measurement Category</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4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4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1,872,441</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48"/>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Strategic investments</w:t>
            </w: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1,876,419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investments by type and measurement category as of January 31, 2026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Measurement Category</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43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4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4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1,574,643</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48"/>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Strategic investments</w:t>
            </w: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1,578,611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April 30, 2026, we made an additional $46.0 million investment in preferred stock of Anthropic, PBC (“Anthropic”), bringing the total carrying value of our Anthropic preferred stock to $1,266.9 million, based on the valuation implied by Anthropic’s financing round announced on February 12, 2026. Additionally, during the three months ended April 30, 2026, we made a total of $99.7 million of strategic investments in equity securities of other private companies developing AI products. Based on the terms of these investments in privately-held securities, we determined that we do not have a controlling interest or the ability to exercise significant influence over the operating and financial policies of the investees. Therefore, these investments are accounted for under the measurement alternative method.</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we recorded net unrealized gains of $154.5 million on our investments accounted for under the measurement alternative method, which were attributable to investments other than our investment in Anthropic.</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financial instruments that are measured at fair value on a recurring basis and indicate the level within the fair value hierarchy of the key valuation inputs utilized to determine such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9"/>
        </w:trPr>
        <w:tc>
          <w:tcPr>
            <w:tcW w:w="5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5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470,662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474,148</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470,662</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6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6,830,037</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6,830,037</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 held debt securities included in strategic investments</w:t>
            </w:r>
          </w:p>
        </w:tc>
        <w:tc>
          <w:tcPr>
            <w:tcW w:w="6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6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7,308,163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470,662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6,833,523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0"/>
        </w:trPr>
        <w:tc>
          <w:tcPr>
            <w:tcW w:w="5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30"/>
        </w:trPr>
        <w:tc>
          <w:tcPr>
            <w:tcW w:w="5020" w:type="dxa"/>
            <w:vAlign w:val="bottom"/>
          </w:tcPr>
          <w:p>
            <w:pPr>
              <w:spacing w:after="0"/>
              <w:rPr>
                <w:sz w:val="24"/>
                <w:szCs w:val="24"/>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9"/>
        </w:trPr>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724,236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763,410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724,236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5,383,887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5,383,887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6,544,031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6,544,031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held debt securities included in strategic investments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7,311,409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6,583,205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classify our highly liquid money market funds as Level 1 of the fair value hierarchy because they are valued based on quoted market prices in active markets. We classify our agency bonds, U.S. government agency securities, and treasury bills as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1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BrightHire, Inc.</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1, 2025, we acquired 100% of the issued and outstanding share capital of BrightHire, Inc., a private company providing AI-powered interview intelligence and hiring automation, for all-cash purchase consideration of $98.0 million. The acquisition expands Zoom Workplaces’s capabilities in recruiting and candidate engagement. The acquisition was accounted for as a business combination.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allocating the purchase consideration for the acquisition, the following table summarizes the amounts attributed to goodwill, identifiable intangible assets, and other net assets acquired: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73,657</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 assets acquired</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r>
      <w:tr>
        <w:trPr>
          <w:trHeight w:val="223"/>
        </w:trPr>
        <w:tc>
          <w:tcPr>
            <w:tcW w:w="9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97,955</w:t>
            </w: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goodwill amount represents synergies related to our existing products expected to be realized from the acquisition and assembled workforce. The associated goodwill is not deductible for tax purposes. The allocation of the purchase price is based upon a preliminary valuation, and as additional information becomes available, our estimates and assumptions may be subject to refinement within the measurement period, which may be up to one year from the acquisition date. Uncertain tax positions are initially established in connection with the acquisition as of the acquisition date. We continue to collect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and reevaluate these estimates and assumptions quarterly. We will record any adjustments to our preliminary estimates to goodwill, provided that it is within the one-year measurement period.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96"/>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6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3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Intangible assets are amortized using the straight-line method over their respective estimated useful lives. Amortization of developed technology is recorded within cost of revenue, and amortization of customer relationships and trade names is recorded within sales and marketing expense in the consolidated statements of operations.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Transaction costs incurred in connection with this acquisition were immaterial. The results of operations of BrightHire, Inc., which are not material, have been included in our consolidated financial statements from the date of the acquisition. Pro forma results of operations reflecting the acquisition of BrightHire, Inc. have not been presented, as the results do not have a material effect on any of the periods presented in our consolidated statements of operations.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31, 2026, we also completed other acquisitions that were immaterial and included the results in our consolidated financial statements from the date of the acquisitions.</w:t>
      </w:r>
    </w:p>
    <w:p>
      <w:pPr>
        <w:spacing w:after="0" w:line="158" w:lineRule="exact"/>
        <w:rPr>
          <w:sz w:val="20"/>
          <w:szCs w:val="20"/>
          <w:color w:val="auto"/>
        </w:rPr>
      </w:pPr>
    </w:p>
    <w:p>
      <w:pPr>
        <w:jc w:val="right"/>
        <w:ind w:left="500" w:right="8820" w:hanging="492"/>
        <w:spacing w:after="0" w:line="378" w:lineRule="auto"/>
        <w:tabs>
          <w:tab w:leader="none" w:pos="32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Balance Sheet Components </w:t>
      </w:r>
      <w:r>
        <w:rPr>
          <w:rFonts w:ascii="Times New Roman" w:cs="Times New Roman" w:eastAsia="Times New Roman" w:hAnsi="Times New Roman"/>
          <w:sz w:val="18"/>
          <w:szCs w:val="18"/>
          <w:b w:val="1"/>
          <w:bCs w:val="1"/>
          <w:i w:val="1"/>
          <w:iCs w:val="1"/>
          <w:color w:val="auto"/>
        </w:rPr>
        <w:t>Accounts Receivable, Net</w:t>
      </w:r>
    </w:p>
    <w:p>
      <w:pPr>
        <w:ind w:left="500"/>
        <w:spacing w:after="0"/>
        <w:rPr>
          <w:sz w:val="20"/>
          <w:szCs w:val="20"/>
          <w:color w:val="auto"/>
        </w:rPr>
      </w:pPr>
      <w:r>
        <w:rPr>
          <w:rFonts w:ascii="Times New Roman" w:cs="Times New Roman" w:eastAsia="Times New Roman" w:hAnsi="Times New Roman"/>
          <w:sz w:val="18"/>
          <w:szCs w:val="18"/>
          <w:color w:val="auto"/>
        </w:rPr>
        <w:t>Accounts receivable are recorded for invoiced amounts and amounts for which revenue has been recognized, but not invoiced, net of allowances.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short-term accounts receivable consist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19"/>
        </w:trPr>
        <w:tc>
          <w:tcPr>
            <w:tcW w:w="7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4"/>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515,687</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returns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2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497,339</w:t>
            </w: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is a rollforward of our allowance for credit losses for the three months ended April 30, 2026 and 2025: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w:t>
            </w:r>
          </w:p>
        </w:tc>
        <w:tc>
          <w:tcPr>
            <w:tcW w:w="516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41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April 30</w:t>
            </w:r>
          </w:p>
        </w:tc>
        <w:tc>
          <w:tcPr>
            <w:tcW w:w="4140" w:type="dxa"/>
            <w:vAlign w:val="bottom"/>
          </w:tcPr>
          <w:p>
            <w:pPr>
              <w:spacing w:after="0"/>
              <w:rPr>
                <w:sz w:val="19"/>
                <w:szCs w:val="19"/>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14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7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203,443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261,096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234,856</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386,702</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157,347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653,460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(388,935)</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252,807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264,525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and amortization expense was $28.3 million and $32.0 million for the three months ended April 30, 2026 and 2025, respectively.</w:t>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Assets, Noncurrent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noncurrent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noncurrent</w:t>
            </w:r>
          </w:p>
        </w:tc>
        <w:tc>
          <w:tcPr>
            <w:tcW w:w="36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 noncurrent</w:t>
            </w:r>
          </w:p>
        </w:tc>
        <w:tc>
          <w:tcPr>
            <w:tcW w:w="3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noncurrent</w:t>
            </w:r>
          </w:p>
        </w:tc>
        <w:tc>
          <w:tcPr>
            <w:tcW w:w="3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3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192,478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206,367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non-income tax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37,563</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581,773</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 noncurrent consisted of the following:</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219"/>
        </w:trPr>
        <w:tc>
          <w:tcPr>
            <w:tcW w:w="7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non-income tax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2026, there have been no material changes to our outstanding non-cancelable purchase obligations from those disclosed in Note 9. “Commitments and Contingencies” in the notes to consolidated financial statements included in our Annual Report on Form 10-K for the year ended January 31, 2026 filed with the SEC on February 27, 2026.</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sought documents and information relating to various security, data protection and privacy matters, including our encryption, and our statements relating thereto, as well as calculation of usage metrics and related public statements. In addition, the NDCA subpoena sought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During the fiscal year ended January 31, 2025, we recorded an $18.0 million accrual with respect to a tentative settlement offer for the SEC matter. On July 30, 2025, the SEC informed us that their investigation has concluded and they do not intend to recommend an enforcement action. As a result, during the three months ended July 31, 2025, we reversed the $18.0 million previously accrued. The EDNY and NDCA investigations are ongoing, and a negative outcome in any or all of these matters could cause us to incur substantial fines, penalties, or other financial exposure, as well as reputational harm. We do not know when the EDNY and NDCA matters will be completed, which facts we will ultimately discover as a result of the investigations, or what actions the government may or may not take. We are unable to predict the ultimate outcome of these matters and are unable to reasonably estimate any range of possible loss for these matters.</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Stockholders’ Equity and Equity Incentive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February 2024, our Board of Directors authorized a stock repurchase program of up to $1.5 billion of our Class A common stock. In November 2024, our Board of Directors authorized the repurchase of an additional $1.2 billion of our outstanding Class A common stock. In November 2025, our Board of Directors authorized the repurchase of an additional $1.0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 The repurchase program, which has no expiration date, does not obligate us to repurchase any specific number of shares and may be discontinued at any time.</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we repurchased and subsequently retired 4,169,208 shares of our Class A common stock for an aggregate amount of $361.7 million. As of April 30, 2026, $625.0 million of the repurchase authorization remained available.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May 2026, our Board of Directors authorized the repurchase of an additional $1.0 billion of our outstanding Class A common stock, under our existing repurchase program.</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two equity incentive plans: the 2011 Global Share Plan (“2011 Plan”) and the 2019 Equity Incentive Plan (“2019 Plan”). All shares that remain available for future grants are under the 2019 Plan.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 activity under our equity incentive plan and related information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6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1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life, and per share data)</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1,542,753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124,080</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19,837</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Canceled/forfeited/expired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as of April 30, 2026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1,294,113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108,007</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April 30, 2026, all options have vested and there is no unrecognized stock-based compensation expense remaining.</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RSU activity under our equity incentive plan and related information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7860" w:type="dxa"/>
            <w:vAlign w:val="bottom"/>
          </w:tcPr>
          <w:p>
            <w:pPr>
              <w:spacing w:after="0"/>
              <w:rPr>
                <w:sz w:val="11"/>
                <w:szCs w:val="11"/>
                <w:color w:val="auto"/>
              </w:rPr>
            </w:pPr>
          </w:p>
        </w:tc>
        <w:tc>
          <w:tcPr>
            <w:tcW w:w="164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8"/>
              <w:spacing w:after="0" w:line="137"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0"/>
        </w:trPr>
        <w:tc>
          <w:tcPr>
            <w:tcW w:w="78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5,217,795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(2,642,984)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(818,494)</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April 30,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21,862,622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April 30, 2026, unrecognized stock-based compensation expense related to RSUs was $1,585.6 million, which is expected to be recognized over a weighted-average period of 3.0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April 2019, we adopted the 2019 Employee Stock Purchase Plan (“ESPP”). As of April 30, 2026, unrecognized stock-based compensation expense related to the ESPP was $9.4 million, which is expected to be recognized over a weighted-average period of 1.1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by line item in the accompanying condensed consolidated statements of operations is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435"/>
        </w:trPr>
        <w:tc>
          <w:tcPr>
            <w:tcW w:w="7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24"/>
                <w:szCs w:val="24"/>
                <w:color w:val="auto"/>
              </w:rPr>
            </w:pPr>
          </w:p>
        </w:tc>
      </w:tr>
      <w:tr>
        <w:trPr>
          <w:trHeight w:val="23"/>
        </w:trPr>
        <w:tc>
          <w:tcPr>
            <w:tcW w:w="7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72,936</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68,433</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32,773</w:t>
            </w: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178,953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201,569</w:t>
            </w:r>
          </w:p>
        </w:tc>
      </w:tr>
      <w:tr>
        <w:trPr>
          <w:trHeight w:val="229"/>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(38,161)</w:t>
            </w:r>
          </w:p>
        </w:tc>
      </w:tr>
      <w:tr>
        <w:trPr>
          <w:trHeight w:val="248"/>
        </w:trPr>
        <w:tc>
          <w:tcPr>
            <w:tcW w:w="7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 recorded to net income</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145,256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163,408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compute our provision for income taxes by applying the estimated annual effective tax rate to year-to-date ordinary income and adjust the provision for discrete tax items recorded in the period. In each quarter, we update the estimated annual effective tax rate and make a year-to-date adjustment to the provision.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the provision for income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7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7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2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3"/>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531,620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315,765</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19"/>
                <w:szCs w:val="19"/>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105,943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61,162</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bl>
    <w:p>
      <w:pPr>
        <w:spacing w:after="0" w:line="18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For both the three months ended April 30, 2026 and 2025, the effective tax rate differed from the U.S. federal statutory rate due primarily to the foreign-derived deduction eligible income, tax benefits related to stock-based compensation, and research credits offset by tax shortfalls on stock-based compensation, state income taxes, and other compensation-related permanent differences.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9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60" w:type="dxa"/>
            <w:vAlign w:val="bottom"/>
          </w:tcPr>
          <w:p>
            <w:pPr>
              <w:spacing w:after="0"/>
              <w:rPr>
                <w:sz w:val="24"/>
                <w:szCs w:val="24"/>
                <w:color w:val="auto"/>
              </w:rPr>
            </w:pPr>
          </w:p>
        </w:tc>
        <w:tc>
          <w:tcPr>
            <w:tcW w:w="3680" w:type="dxa"/>
            <w:vAlign w:val="bottom"/>
            <w:gridSpan w:val="9"/>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41,474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35,390</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Reallocation of net income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42,423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income per share, basic</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265,748,247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28,686,705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262,526,502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42,382,150</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income per share, diluted</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270,312,284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29,921,383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268,527,554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44,256,307</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per share for the periods presented, because including them would have been anti-dilutive,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90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2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rights committed under the ESPP</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258,618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76,424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341,918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2,565,977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164,192 shares of issued Class A common stock held by us as of April 30, 2026 and 2025 that are reserved for the sole purpose of being transferred to nonprofit organizations.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CEO is the Chief Operating Decision Maker (“CODM”) of the Company. The Company manages the business activities on a consolidated basis and all information provided to and reviewed by our CODM is compiled at the consolidated entity level. Therefore, we have only one operating and reportable segment. The description of the types of products and services from which the reportable segment derives its revenue is the same as those described in the Summary of Business and Significant Accounting Policies.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measure of segment profit or loss that our CODM uses to allocate resources and assess performance is our consolidated net income. The CODM uses net income to monitor results and to decide whether to reinvest profits. Our CODM does not assess segment performance or make decisions using asset or liability information.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significant segment expenses regularly provided to the CODM as well as other segment items: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35"/>
        </w:trPr>
        <w:tc>
          <w:tcPr>
            <w:tcW w:w="7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24"/>
                <w:szCs w:val="24"/>
                <w:color w:val="auto"/>
              </w:rPr>
            </w:pPr>
          </w:p>
        </w:tc>
      </w:tr>
      <w:tr>
        <w:trPr>
          <w:trHeight w:val="23"/>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1,174,715</w:t>
            </w:r>
          </w:p>
        </w:tc>
      </w:tr>
      <w:tr>
        <w:trPr>
          <w:trHeight w:val="270"/>
        </w:trPr>
        <w:tc>
          <w:tcPr>
            <w:tcW w:w="7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revenue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244,631</w:t>
            </w:r>
          </w:p>
        </w:tc>
      </w:tr>
      <w:tr>
        <w:trPr>
          <w:trHeight w:val="230"/>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research and development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127,079</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sales and marketing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271,799</w:t>
            </w:r>
          </w:p>
        </w:tc>
      </w:tr>
      <w:tr>
        <w:trPr>
          <w:trHeight w:val="230"/>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general and administrative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201,569</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(81,782)</w:t>
            </w:r>
          </w:p>
        </w:tc>
      </w:tr>
      <w:tr>
        <w:trPr>
          <w:trHeight w:val="230"/>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31,774</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105,943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61,162</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stock-based compensation expense and related payroll taxes, acquisition-related expenses, and litigation settlements, net.</w:t>
      </w:r>
    </w:p>
    <w:p>
      <w:pPr>
        <w:ind w:firstLine="8"/>
        <w:spacing w:after="0" w:line="239" w:lineRule="auto"/>
        <w:tabs>
          <w:tab w:leader="none" w:pos="149"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payroll taxes related to stock-based compensation, acquisition-related expenses, litigation settlements, net, gains on strategic investments, net, and other income, net excluding interest income.</w:t>
      </w:r>
    </w:p>
    <w:p>
      <w:pPr>
        <w:spacing w:after="0" w:line="17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May 2026, our Board of Directors authorized the repurchase of an additional $1.0 billion of our outstanding Class A common stock, incremental to the $625.0 million remaining authorization as of April 30, 2026, under our existing repurchase program. Repurchases of our Class A common stock may be effected, from time to time, either on the open market (including pre-set trading plans), in privately negotiated transactions, and other transactions in accordance with applicable securities laws. The repurchase program, which has no expiration date, does not obligate us to acquire any particular amount of Class A common stock, and the repurchase program may be suspended or discontinued at any time at our discretion.</w:t>
      </w:r>
    </w:p>
    <w:p>
      <w:pPr>
        <w:spacing w:after="0" w:line="1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Zoom is redefining modern work as a system of action, turning live collaboration into completed results and moving conversations to completion. From entrepreneurs to global enterprises, customers choose Zoom to seamlessly collaborate, communicate, and drive outcomes across meetings, chat, phone, contact center, events, and more — all with the built-in assistance of Zoom AI Companion. Our culture of delivering happiness, grounded in our core value of care, is fundamental to everything we do at Zoom.</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AI-first, open work platform bridges work both inside and outside the organization by integrating AI capabilities across employee collaboration and customer-facing workflows, enabling seamless communication, collaboration, and engagement through Zoom Workplace and Zoom Business Services. Zoom Workplace with AI Companion brings together Zoom’s core communication and productivity tools—including Zoom Meetings, Zoom Phone, Zoom Team Chat, Zoom Canvas (formerly Zoom Docs), Zoom Whiteboard, and Workvivo—to support collaboration across organizations of varying sizes. Zoom’s Business Services offerings support customer engagement across the customer lifecycle, including Zoom Contact Center and Zoom Virtual Agent for customer service teams, Zoom Revenue Accelerator for sales teams, and Zoom Events and Zoom Webinars for marketing teams. Trust is a cornerstone of the Zoom platform. We equip users with a comprehensive set of tools designed to make their interactions safe, secure, and private. We believe that strong security should never compromise a great user experience.</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AI is core to Zoom’s product innovation. We continue to advance our AI capabilities, focusing on three priorities that bring our system of action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elevating Zoom Workplace with AI, driving growth of new AI products, and scaling AI-first customer experience. Zoom AI Companion is our smart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designed to empower workers to increase productivity, improve team effectiveness, and enhance skills. Our federated approach to AI enables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multiple large language models (“LLMs”), including Zoom’s own, to complete tasks for users. Zoom’s federated approach allows its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architecture to dynamically select from multiple AI models, which currently include those from OpenAI, Anthropic, and NVIDIA, making AI accessible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affordable so more people can incorporate it into their day-to-day workflows. In addition to AI Companion, we have embedded AI capabilities across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broader product portfolio, including Zoom Revenue Accelerator and Zoom Virtual Agent, to support sales and customer service use cases. With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advancements in AI Companion and across our AI-enabled products, we believe we are well-positioned as AI technology continues to advance. We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enhancing our agentic AI capabilities within AI Companion to continue delivering practical value to customers while advancing our ambitious vision of 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truly amplifies human potential. In line with our commitment to responsible AI, Zoom does not use customer audio, video, chat, screen sharing,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or other communications (such as poll results, whiteboard, and reactions) to train Zoom’s or third-party AI models.</w:t>
      </w:r>
    </w:p>
    <w:p>
      <w:pPr>
        <w:spacing w:after="0" w:line="9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Zoom’s platform prioritizes security and privacy, with 18 co-located data centers globally and robust encryption options. We are committed to safeguarding our customers' data.</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is driven by subscriptions to Zoom Workplace and Zoom Business Services. Our core offerings include Zoom Workplace Pro, Business, and Enterprise bundles, as well as vertical-specific plans for Education, Healthcare, and Government. We also offer Zoom Phone, with regional and international calling plans, and Zoom Contact Center, providing advanced customer experience solutions designed to meet diverse customer needs.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revenue was $1,239.0 million and $1,174.7 million for the three months ended April 30, 2026 and 2025, respectively, representing period-over-period growth of 5.5%. We generated net income of $425.7 million and $254.6 million for the three months ended April 30, 2026 and 2025, respectively. Net cash provided by operating activities was $521.6 million and $489.3 million for the three months ended April 30,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 and Other Factors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macroeconomic environment, including ongoing geopolitical uncertainties, evolving monetary policy, energy market volatility, and foreign currency exchange rate fluctuations, has created and may continue to create uncertainty in demand for subscriptions to our AI-first, open work platform. Recent geopolitical events, including the conflict involving Iran and disruptions to energy supply routes, have contributed to elevated energy prices and heightened volatility in financial markets, which may influence inflation expectations, corporate cost structures, and global growth prospects. Although headline inflation in many major economies has moderated relative to prior years, cost pressures remain uneven across regions, and the combined effects of interest rates, policy actions, and slower global growth conditions continue to influence corporate spending patterns. These dynamics, together with shifts in customers’ internal priorities, including budget realignment and evolving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focus, have contributed to variability in sales cycles and continued caution in enterprise spending decisions, potentially affecting customer upsell, downsell, or renewal activity.</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continue to monitor the potential effects of these circumstances as well as the overall global economy and geopolitical landscape on our business and financial results. The implications of macroeconomic conditions on our business, results of operations, and overall financial position, particularly over the long term, remain uncertain.</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Refer to “Part II—Other Information, Item 1A. Risk Factors” of this Quarterly Report on Form 10-Q for further discussions of the potential impacts of the current macroeconomic conditions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Factors Affecting Our Performance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review the following key business metrics and strategic factors to measure our performance, identify trends, formulate financial projections, and make strategic decisions, including evaluating our ability to grow the number of customers who use our AI-first, open work platform. Our operating results and growth prospects will depend, in part, on our ability to attract new customers. While we believe there is a significant market opportunity for our platform, it is difficult to predict customer adoption rates, the future growth rate, or the size of the market for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Large Enterprise Customers - Customers Contributing More Than $100,000 of Trailing 12 Months Revenue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focus on growing the number of customers that contribute more than $100,000 of trailing 12 months revenue as it is a measure of our ability to scale with our customers and attract larger organizations to Zoom. Revenue from these customers represented 32.7% and 31.9% of total revenue for the three months ended April 30, 2026 and 2025, respectively. As of April 30, 2026 and 2025, we had 4,534 and 4,192 customers, respectively, that contributed more than $100,000 of trailing 12 months revenue, demonstrating our increasing penetration of larger organizations. These customers are a subset of Enterprise customers.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Expansion of Zoom Across Existing Enterprise Customers - Net Dollar Expansion Rate</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there is a large opportunity for growth with many of our existing Enterprise customers. Historically, customers have increased the size of their subscriptions as they expanded their use of our AI-first, open work platform across their operations. Over the past few years, macroeconomic headwinds resulted in slower hiring and higher seat count downsells from our existing Enterprise customers in key markets, which impacted the rate of expansion and caused our net dollar expansion rate for Enterprise customers to drop below one hundred percent. Despite the decline, we believe there are still opportunities for future growth with our existing Enterprise customers as we innovate our platform with additional product offerings and by incorporating AI. Expansion in the use of our platform also provides us with opportunities to market and sell additional products to our customers, such as Zoom Phone, Zoom Contact Center, and Workvivo. To address this opportunity and expand the use of our products by our existing Enterprise customers, we will need to maintain the reliability of our platform and produce new features and functionality that are responsive to our customers’ requirements for enterprise-grade solutions.</w:t>
      </w:r>
    </w:p>
    <w:p>
      <w:pPr>
        <w:spacing w:after="0" w:line="8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61.0% and 60.0% of total revenue for the three months ended April 30, 2026 and 2025, respectively. Our net dollar expansion rate includes the increase in user adoption within our Enterprise customers, as our subscription revenue is primarily driven by the number of paid licenses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contractions, and attrition. We divide the Current Period ARR by the Prior Period ARR to arrive at the net dollar expansion rate. For the trailing 12 months calculation, we take an average of the net dollar expansion rate over the trailing 12 months. Our net dollar expansion rate may fluctuate as a result of a number of factors, including the level of penetration within our Enterprise customer base, expansion of products and features, and our ability to retain our Enterprise customers. Our trailing 12-month net dollar expansion rate for Enterprise customers was 99% and 98% as of April 30, 2026 and 2025, respectively.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Retention of Online Customers - Average Monthly Churn Rate &amp; Percentage of MRR from ≥16-Month Customers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Enterprise customers, we also have a significant number of customers who subscribe to our services directly through our website (“Online customers” or “Online business”). Online customers represent a diverse customer base, ranging from individual consumers to small and medium-sized businesses. We continue to focus on acquisition and retention of our Online customer base through various strategies to improve the features and functionalities of our products and services. Revenue from Online customers represented 39.0% and 40.0% of total revenue for the three months ended April 30, 2026 and 2025, respectively. Our ability to retain these Online customers will have an impact on our future revenue. The online monthly average churn for our Online customers was 3.0% and 2.8% per month for the three months ended April 30, 2026 and 2025, respectively. One of the dynamics in the Online portion of the business is the MRR contribution from customers who have retained Zoom services for a certain portion of time as these customers tend to maintain their subscriptions and contribute meaningfully to the Online business. As of April 30, 2026 and 2025, the percentage of total Online MRR from Online customers with a continuous term of service of at least 16 months was 74.4% and 74.2%, respectively.</w:t>
      </w:r>
    </w:p>
    <w:p>
      <w:pPr>
        <w:spacing w:after="0" w:line="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calculate the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We then divide that amount by three to calculate the Online average monthly churn for the applicable quarter.</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Expansion of Our Platform</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invest and enhance the capabilities of Zoom Workplace and Zoom Business Services, including ongoing investments in AI, with a focus on expanding agentic AI skills, agents, and models.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recently introduced a series of new products and enhancements across Zoom Workplace and Zoom Business Services. These included My Notes, which provides a personal AI note-taker that captures context across Zoom, in-person, and third-party meetings, helping users stay present while turning conversations into organized takeaways, action items, and follow-through; AI Expert Assist 3.0, a Contact Center capability understands and reasons across the full customer context; Zoom Virtual Agent 3.0, which preserves customer history and context across channels while orchestrating actions, triggering workflows, and applying knowledge to future interactions; CX Insights; AI Companion 3.0 across Zoom Phone; a voice translator with live audio translation in Meetings; and realistic and stylized avatars for Zoom Meetings. These offerings expand our agentic AI capabilities across collaboration, customer support, and industry-specific workflows through new integrations and platform enhancements.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also enhanced the Custom AI Companion add-on, a paid add-on for Zoom Workplace that enables organizations to tailor AI Companion to their specific business needs. These enhancements are designed to allow customers to connect AI Companion to relevant enterprise data sources and third-party applications, configure custom agents and workflows, and apply organization-specific context to support information retrieval, task automation, and workflow execution across applications.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Zoom is an AI-first, open work platform, and third-party developers are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modern work as a system of action, turning live collaboration into completed results and moving conversations to completion. We will need to expend additional resources to continue introducing new products, features, and AI functionality, and supporting the efforts of third parties to enhance the value of our platform with their own applications.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International Opportunities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AI-first, open work platform addresses the communications and collaboration needs of users worldwide, and international expansion remains a meaningful component of our long-term growth strategy. Our revenue outside of the Americas (APAC and EMEA) represented 27.9% and 27.8% of our total revenue for the three months ended April 30, 2026 and 2025, respectively.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free cash flow (“FCF”) is a non-GAAP financial measure that we believe is useful in evaluating our liquidity.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or other corporate purposes. FCF is 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presented and a reconciliation of FCF to net cash provided by operating activities, the most directly comparable financial measure calculated in accordance with GAAP:</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489,261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(25,910)</w:t>
            </w:r>
          </w:p>
        </w:tc>
        <w:tc>
          <w:tcPr>
            <w:tcW w:w="0" w:type="dxa"/>
            <w:vAlign w:val="bottom"/>
          </w:tcPr>
          <w:p>
            <w:pPr>
              <w:spacing w:after="0"/>
              <w:rPr>
                <w:sz w:val="1"/>
                <w:szCs w:val="1"/>
                <w:color w:val="auto"/>
              </w:rPr>
            </w:pPr>
          </w:p>
        </w:tc>
      </w:tr>
      <w:tr>
        <w:trPr>
          <w:trHeight w:val="221"/>
        </w:trPr>
        <w:tc>
          <w:tcPr>
            <w:tcW w:w="7820" w:type="dxa"/>
            <w:vAlign w:val="bottom"/>
            <w:tcBorders>
              <w:bottom w:val="single" w:sz="8" w:color="CCEEFF"/>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Free cash flow (non-GAAP)</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500,497</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463,351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(480,716)</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(125,130)</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(490,530)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derive our revenue from subscription agreements with customers for access to our AI-first, open work platform. Our customers generally do not have the ability to take possession of our software. We also provide services, which include professional services, consulting services, and online event hosting, which are generally considered distinct from the access to our AI-first, open work platform. The amount of revenue recognized reflects the consideration that we expect to receive in exchange for these services over the contract term, which can include a free period discount.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primarily consists of costs related to hosting our AI-first, open work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customer transactions and amortization of deferred contract acquisition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associated with our finance, legal, and other organizations; professional fees for external legal, accounting, and other consulting services; expected credit losses; insurance; certain indirect taxes; litigation settlements; corporate security and regulatory expenses; and allocated overhead.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Strategic Investments,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Gains on strategic investments, net consist primarily of remeasurement gains or losses on our equity investments.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net accretion on our marketable securities and effect of changes in foreign currency exchange rates.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condensed consolidated statements of operations data and such data as a percentage of revenue for each of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7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r>
      <w:tr>
        <w:trPr>
          <w:trHeight w:val="23"/>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1,239,006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1,174,715</w:t>
            </w:r>
          </w:p>
        </w:tc>
      </w:tr>
      <w:tr>
        <w:trPr>
          <w:trHeight w:val="229"/>
        </w:trPr>
        <w:tc>
          <w:tcPr>
            <w:tcW w:w="78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274,287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278,402</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964,719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896,313</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8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205,416</w:t>
            </w:r>
          </w:p>
        </w:tc>
      </w:tr>
      <w:tr>
        <w:trPr>
          <w:trHeight w:val="229"/>
        </w:trPr>
        <w:tc>
          <w:tcPr>
            <w:tcW w:w="78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346,970</w:t>
            </w:r>
          </w:p>
        </w:tc>
      </w:tr>
      <w:tr>
        <w:trPr>
          <w:trHeight w:val="229"/>
        </w:trPr>
        <w:tc>
          <w:tcPr>
            <w:tcW w:w="78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102,335</w:t>
            </w:r>
          </w:p>
        </w:tc>
      </w:tr>
      <w:tr>
        <w:trPr>
          <w:trHeight w:val="223"/>
        </w:trPr>
        <w:tc>
          <w:tcPr>
            <w:tcW w:w="7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654,246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654,721</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241,592</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87,792</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315,765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61,162</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425,677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254,603</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0" w:hanging="174"/>
        <w:spacing w:after="0"/>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360" w:type="dxa"/>
            <w:vAlign w:val="bottom"/>
            <w:gridSpan w:val="3"/>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20,963</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27,427</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71,026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72,936</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58,039</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68,433</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28,925</w:t>
            </w: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32,773</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178,953</w:t>
            </w: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201,569</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3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5"/>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5"/>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8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3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April 30, 2026 and 2025</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1,239,006</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1,174,715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Revenue for the three months ended April 30, 2026 increased by $64.3 million, or 5.5%, compared to the three months ended April 30, 2025. The </w:t>
      </w:r>
      <w:r>
        <w:rPr>
          <w:rFonts w:ascii="Times New Roman" w:cs="Times New Roman" w:eastAsia="Times New Roman" w:hAnsi="Times New Roman"/>
          <w:sz w:val="18"/>
          <w:szCs w:val="18"/>
          <w:color w:val="000000"/>
        </w:rPr>
        <w:t xml:space="preserve">increase was driven by 7.2% growth in revenue from Enterprise customers, of which 47.3% and 52.7% was from new and existing customers, respectively, and by a </w:t>
      </w:r>
      <w:r>
        <w:rPr>
          <w:rFonts w:ascii="Times New Roman" w:cs="Times New Roman" w:eastAsia="Times New Roman" w:hAnsi="Times New Roman"/>
          <w:sz w:val="18"/>
          <w:szCs w:val="18"/>
          <w:color w:val="231F20"/>
        </w:rPr>
        <w:t>2.8%</w:t>
      </w:r>
      <w:r>
        <w:rPr>
          <w:rFonts w:ascii="Times New Roman" w:cs="Times New Roman" w:eastAsia="Times New Roman" w:hAnsi="Times New Roman"/>
          <w:sz w:val="18"/>
          <w:szCs w:val="18"/>
          <w:color w:val="000000"/>
        </w:rPr>
        <w:t xml:space="preserve"> increase in revenue from Online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8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274,287</w:t>
            </w:r>
          </w:p>
        </w:tc>
        <w:tc>
          <w:tcPr>
            <w:tcW w:w="76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278,402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896,313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9"/>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77.9 %</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Cost of revenue for the three months ended April 30, 2026 decreased by $4.1 million, or 1.5%, compared to the three months ended April 30, 2025. The decline was mainly due to a $6.5 million reduction in stock-based compensation. The reduction in stock-based compensation is due to changes in our equity program.</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Gross margin grew to 77.9% for the three months ended </w:t>
      </w:r>
      <w:r>
        <w:rPr>
          <w:rFonts w:ascii="Times New Roman" w:cs="Times New Roman" w:eastAsia="Times New Roman" w:hAnsi="Times New Roman"/>
          <w:sz w:val="18"/>
          <w:szCs w:val="18"/>
          <w:color w:val="231F20"/>
        </w:rPr>
        <w:t>April 30, 2026, from</w:t>
      </w:r>
      <w:r>
        <w:rPr>
          <w:rFonts w:ascii="Times New Roman" w:cs="Times New Roman" w:eastAsia="Times New Roman" w:hAnsi="Times New Roman"/>
          <w:sz w:val="18"/>
          <w:szCs w:val="18"/>
          <w:color w:val="auto"/>
        </w:rPr>
        <w:t xml:space="preserve"> 76.3% for the three months ended </w:t>
      </w:r>
      <w:r>
        <w:rPr>
          <w:rFonts w:ascii="Times New Roman" w:cs="Times New Roman" w:eastAsia="Times New Roman" w:hAnsi="Times New Roman"/>
          <w:sz w:val="18"/>
          <w:szCs w:val="18"/>
          <w:color w:val="231F20"/>
        </w:rPr>
        <w:t>April 30, 2025. The increase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gross margin was driven by the decrease in stock-based compensation as well as other operational efficiencies.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227,926</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11.0 %</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three months ended April 30, 2026 increased by $22.5 million, or 11.0%, compared to the three months ended April 30, 2025. The increase was mainly driven by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$20.0 million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in personnel-related expenses as a result of higher headcount as we invested in AI innovation, partially offset by a $1.9 million </w:t>
      </w:r>
      <w:r>
        <w:rPr>
          <w:rFonts w:ascii="Times New Roman" w:cs="Times New Roman" w:eastAsia="Times New Roman" w:hAnsi="Times New Roman"/>
          <w:sz w:val="18"/>
          <w:szCs w:val="18"/>
          <w:color w:val="000000"/>
        </w:rPr>
        <w:t>decrease</w:t>
      </w:r>
      <w:r>
        <w:rPr>
          <w:rFonts w:ascii="Times New Roman" w:cs="Times New Roman" w:eastAsia="Times New Roman" w:hAnsi="Times New Roman"/>
          <w:sz w:val="18"/>
          <w:szCs w:val="18"/>
          <w:color w:val="231F20"/>
        </w:rPr>
        <w:t xml:space="preserve"> in stock-based compe</w:t>
      </w:r>
      <w:r>
        <w:rPr>
          <w:rFonts w:ascii="Times New Roman" w:cs="Times New Roman" w:eastAsia="Times New Roman" w:hAnsi="Times New Roman"/>
          <w:sz w:val="18"/>
          <w:szCs w:val="18"/>
          <w:color w:val="000000"/>
        </w:rPr>
        <w:t>nsation due to changes in our equity program.</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330,050</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346,970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Sales and marketing expense for the three months ended April 30, 2026 decreased by $16.9 million, or 4.9%, compared to the three months ended April 30, 2025. The decrease was primarily driven by a $22.0 million decrease in commissions expense, which includes both internal and external costs, from the change in the amortization period for deferred contract acquisition costs from three years to five years, effective January 31, 2026, in addition to </w:t>
      </w:r>
      <w:r>
        <w:rPr>
          <w:rFonts w:ascii="Times New Roman" w:cs="Times New Roman" w:eastAsia="Times New Roman" w:hAnsi="Times New Roman"/>
          <w:sz w:val="18"/>
          <w:szCs w:val="18"/>
          <w:color w:val="000000"/>
        </w:rPr>
        <w:t>lower stock-based compensation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$10.4 million due to changes in our equity program. These decreases were partially offset by a $6.4 million increase in personnel-related expenses and continued investments supporting customer acquisition, retention, and expansion initiatives.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96,270</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102,335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31F20"/>
        </w:rPr>
        <w:t>General and administrative expense for the three months ended April 30, 2026 decreased by $6.1 million, or 5.9%, compared to the three months ended April 30, 2025. The decrease was primarily driven by a $3.8 million decrease in stock-based compe</w:t>
      </w:r>
      <w:r>
        <w:rPr>
          <w:rFonts w:ascii="Times New Roman" w:cs="Times New Roman" w:eastAsia="Times New Roman" w:hAnsi="Times New Roman"/>
          <w:sz w:val="18"/>
          <w:szCs w:val="18"/>
          <w:color w:val="000000"/>
        </w:rPr>
        <w:t>nsation due to changes in our equity program.</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Strategic Investments,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6"/>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1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152,297</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179"/>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Gains on strategic investments, net for the three months ended April 30, 2026 were primarily driven by changes in the fair value of our privately held securities, which were attributable to investments other than Anthropic, while losses on strategic investments, net for the three months ended April 30, 2025 were primarily driven by changes in the fair value of our publicly held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68,850</w:t>
            </w:r>
          </w:p>
        </w:tc>
        <w:tc>
          <w:tcPr>
            <w:tcW w:w="6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87,792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Other income, net for the three months ended April 30, 2026 decreased by $18.9 million, or 21.6%, compared to the three months ended April 30, 2025. The decrease was primarily driven by an $11.5 million decrease in interest income from cash and marketable securities and a $7.0 million unfavorable impact from changes in foreign currency exchange rates.</w:t>
      </w: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24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9"/>
        </w:trPr>
        <w:tc>
          <w:tcPr>
            <w:tcW w:w="6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105,943</w:t>
            </w:r>
          </w:p>
        </w:tc>
        <w:tc>
          <w:tcPr>
            <w:tcW w:w="6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73.2 %</w:t>
            </w: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for the three months ended April 30, 2026 increased by $44.8 million, or 73.2%, compared to the three months ended April 30, 2025. The year-over-year change was primarily due to an increase in income before taxes partially offset by a decrease in tax shortfalls and increase in tax benefits related to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April 30, 2026, our principal sources of liquidity were cash, cash equivalents, and marketable securities of $7.7 billion, which were held for working capital purposes and for investment in growth opportunities. Our marketable securities generally consist of agency bonds, U.S. government agency securities, and treasury bills.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finance our operations primarily through income from operations. Cash from operations may also be affected by various risks and uncertainties, including, but not limited to, macroeconomic factors, such as geopolitical conflicts, tariffs and trade tensions, inflationary pressures, interest rate fluctuations, and the fluctuations in foreign currency exchange rates. These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factors and other risks detailed in the section titled “Risk Factors” could impact the timing of cash collections from our customers.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enter into debt agreements on terms acceptable to us or at all. If we are unable to raise additional capital when desired, our business, results of operations, and financial condition would be materially and adversely affected.</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cash requirements from known contractual and other obligations from those disclosed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filed with the SEC on February 27, 2026.</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7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r>
      <w:tr>
        <w:trPr>
          <w:trHeight w:val="23"/>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8"/>
                <w:szCs w:val="18"/>
                <w:color w:val="auto"/>
              </w:rPr>
              <w:t>521,610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489,261</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center"/>
              <w:ind w:left="419"/>
              <w:spacing w:after="0"/>
              <w:rPr>
                <w:sz w:val="20"/>
                <w:szCs w:val="20"/>
                <w:color w:val="auto"/>
              </w:rPr>
            </w:pPr>
            <w:r>
              <w:rPr>
                <w:rFonts w:ascii="Times New Roman" w:cs="Times New Roman" w:eastAsia="Times New Roman" w:hAnsi="Times New Roman"/>
                <w:sz w:val="18"/>
                <w:szCs w:val="18"/>
                <w:color w:val="auto"/>
                <w:w w:val="99"/>
              </w:rPr>
              <w:t>(480,716)</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rPr>
              <w:t>(125,130)</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color w:val="auto"/>
                <w:w w:val="99"/>
              </w:rPr>
              <w:t>(394,110)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rPr>
              <w:t>(490,530)</w:t>
            </w:r>
          </w:p>
        </w:tc>
      </w:tr>
    </w:tbl>
    <w:p>
      <w:pPr>
        <w:spacing w:after="0" w:line="3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customers for subscriptions to our AI-first, open work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$521.6 million for the three months ended April 30, 2026, compared to $489.3 million for the three months ended April 30, 2025. The increase in operating cash flow was mainly due to higher collections driven by revenue growth.</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$480.7 million for the three months ended April 30, 2026 was primarily driven by net purchases of marketable securities of $314.1 million, purchases of strategic investments of $145.7 million, which included an additional $46.0 million investment in preferred stock of Anthropic, and purchases of property and equipment of $21.1 million.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$125.1 million for the three months ended April 30, 2025 was due to net purchases of marketable securities of $99.2 million and purchases of property and equipment of $25.9 million.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$394.1 million for the three months ended April 30, 2026 was primarily due to cash paid for repurchases of common stock of $361.7 million and taxes paid related to net share settlement of equity awards of $62.2 million, partially offset by proceeds from employee equity transactions to be remitted to employees and tax authorities, net, of $29.2 million.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$490.5 million for the three months ended April 30, 2025 was primarily due to cash paid for repurchases of common stock of $418.0 million and taxes paid related to net share settlement of equity awards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$82.2 million, partially offset by proceeds from employee equity transactions to be remitted to employees and tax authorities, net, of $8.7 million.</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February 2024, our Board of Directors authorized a stock repurchase program of up to $1.5 billion of our Class A common stock. In November 2024, our Board of Directors authorized the repurchase of an additional $1.2 billion of our outstanding Class A common stock. In November 2025, our Board of Directors authorized another $1.0 billion in repurchases of our outstanding Class A common stock. Repurchases of our Class A common stock may be effected, from time to time, either on the open market (including pre-set trading plans), in privately negotiated transactions, and other transactions in accordance with applicable securities laws.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which has no expiration date, does not obligate us to acquire any particular amount of Class A common stock, and the repurchase program may be suspended or discontinued at any time at our discretion.</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2026, we repurchased and subsequently retired 4,169,208 shares of our Class A common stock for an aggregate amount of $361.7 million. As of April 30, 2026, $625.0 million of the repurchase authorization remained available.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May 2026, our Board of Directors authorized the repurchase of an additional $1.0 billion of our outstanding Class A common stock, under our existing repurchase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estimates described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filed with the SEC on February 27, 2026.</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Exchange Risk</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majority of our cash generated from revenue is denominated in U.S. dollars, with a portion in amounts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For the three months ended </w:t>
      </w:r>
      <w:r>
        <w:rPr>
          <w:rFonts w:ascii="Times New Roman" w:cs="Times New Roman" w:eastAsia="Times New Roman" w:hAnsi="Times New Roman"/>
          <w:sz w:val="18"/>
          <w:szCs w:val="18"/>
          <w:color w:val="231F20"/>
        </w:rPr>
        <w:t>April 30, 2026</w:t>
      </w:r>
      <w:r>
        <w:rPr>
          <w:rFonts w:ascii="Times New Roman" w:cs="Times New Roman" w:eastAsia="Times New Roman" w:hAnsi="Times New Roman"/>
          <w:sz w:val="18"/>
          <w:szCs w:val="18"/>
          <w:color w:val="auto"/>
        </w:rPr>
        <w:t xml:space="preserve"> and 2025, 20.4% and 19.3% of our revenue, respectively, and 20.5% and 16.5% of our expenses, respectively, were denominated in currencies other than the U.S. dollar. The effect of a hypothetical 10% change in foreign currency exchange rates applicable to our business would not have had a material impact on our historical condensed consolidated financial statements for the three months ended April 30, 2026 and 2025.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had cash and cash equivalents of $890.9 million and marketable securities of $6,830.0 million as of April 30, 2026. Cash and cash equivalents consist of bank deposits, money market funds,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These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exposed to, material risks due to changes in interest rates. A hypothetical 10% change in interest rates during any of the periods presented would not have had a material impact on our historical condensed consolidated financial statements for the three months ended April 30, 2026 and 2025.</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April 30, 2026, our privately held equity and debt securities totaled $1,876.4 million, of which $1,266.9 million relates to our investment in preferred stock of Anthropic. The majority of our investments in privately held equity securities is accounted for under the measurement alternative and are adjusted for observable price changes or impairments. Valuations of private companies are inherently more complex due to the lack of readily available market data; as such, we believe that providing market sensitivities is not practicable. Changes in the valuation of these investments due to future market conditions could result in material gains or losses in our consolidated financial statements.</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Times New Roman" w:cs="Times New Roman" w:eastAsia="Times New Roman" w:hAnsi="Times New Roman"/>
          <w:sz w:val="18"/>
          <w:szCs w:val="18"/>
          <w:color w:val="231F20"/>
        </w:rPr>
        <w:t>April 30, 2026</w:t>
      </w:r>
      <w:r>
        <w:rPr>
          <w:rFonts w:ascii="Times New Roman" w:cs="Times New Roman" w:eastAsia="Times New Roman" w:hAnsi="Times New Roman"/>
          <w:sz w:val="18"/>
          <w:szCs w:val="18"/>
          <w:color w:val="000000"/>
        </w:rPr>
        <w:t>, our disclosure controls and procedures were effective at a reasonable assurance level.</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There has been no change in our internal control over financial reporting (as defined in Rules 13a-15(d) and 15d-15(d) under the Exchange Act) that occurred during the quarter ended </w:t>
      </w:r>
      <w:r>
        <w:rPr>
          <w:rFonts w:ascii="Times New Roman" w:cs="Times New Roman" w:eastAsia="Times New Roman" w:hAnsi="Times New Roman"/>
          <w:sz w:val="18"/>
          <w:szCs w:val="18"/>
          <w:color w:val="231F20"/>
        </w:rPr>
        <w:t>April 30, 2026</w:t>
      </w:r>
      <w:r>
        <w:rPr>
          <w:rFonts w:ascii="Times New Roman" w:cs="Times New Roman" w:eastAsia="Times New Roman" w:hAnsi="Times New Roman"/>
          <w:sz w:val="18"/>
          <w:szCs w:val="18"/>
          <w:color w:val="auto"/>
        </w:rPr>
        <w:t xml:space="preserve"> that has materially affected, or is reasonably likely to materially affect, our internal control over financial reporting.</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Disclosure Controls and Procedures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w:t>
      </w:r>
    </w:p>
    <w:p>
      <w:pPr>
        <w:spacing w:after="0" w:line="5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the composition of our customer base dissatisfaction with our products and support, a customer no longer having a need for our products, or a belief that a competitor’s product is better, more secure, or less expensive than our products and platform.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rate has fluctuated in prior periods, and may decline in future periods.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revenue growth has fluctuated in prior periods. You should not rely on the revenue growth of any prior quarterly or annual period as an indication of our future performance. There are no assurances we will be able to sustain our revenue growth in future periods, and our revenue growth rate may remain flat or decline in future periods. Many factors have and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 business, among others. Our growth rate could adversely affect investors’ perceptions of our business and the trading price of our Class A common stock could be adversely affected.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delays, or outages in service from our co-located data centers or cloud hosting services and a variety of other factors, would impair, and in the past have impaired, the delivery of our services, require us to issue credits or pay penalties, and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currently serve our users from various co-located data centers located throughout the world. We also utilize cloud hosting services such as Amazon Web Services and Oracle Cloud for the hosting of certain critical aspects of our business and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(including cloud hosting)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if our data centers or cloud hosting services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co-located data centers throughout the world to meet increased demand, but we may be unable to bring additional data centers online in a timely manner, including as a result of current shortages for certain parts, such as servers.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do not control, or in some cases have limited control over, the operation of the co-located data center facilities and cloud hosting services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or disruption of the cloud hosting services we use, it may take a significant period of time to achieve full resumption of our services and our disaster recovery planning may not account for all eventualities. Despite precautions taken at these data center facilities, the occurrence of a natural disaster, an act of terrorism, or other act of malfeasance, a decision to close the facilities without adequate notice or other unanticipated problems at the facilities would harm our business.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we must continue to compete effectively.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market for communication and collaboration technologies platforms is competitive and rapidly changing and includes companies ranging from new market entrants to hyperscalers that provide technologies to improve communication and collaboration technologies platforms either as bundled solutions or standalone products. Given the range of companies in this space, maintaining an open and robust marketplace with fair competition is important. Certain features of our current platform compete in the communication and collaboration technologies market with products offered by:</w:t>
      </w:r>
    </w:p>
    <w:p>
      <w:pPr>
        <w:spacing w:after="0" w:line="33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bundled productivity suite providers with communication offerings, including Microsoft 365 (with Teams) and Google Workspace (with Meet);</w:t>
      </w:r>
    </w:p>
    <w:p>
      <w:pPr>
        <w:spacing w:after="0" w:line="8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web-based meeting providers, including Cisco Webex and GoTo;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UCaaS and legacy PBX providers, including Avaya, RingCentral, and 8x8;</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Center providers, including Five9, Inc., Genesys, and NICE inContact;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consumer-facing platforms that can support small- or medium-sized businesses, including Amazon, Apple, and Facebook.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large established companies may also make investments in video communications tools. In addition, as we introduce new products and services into our platform, and with the introduction of new technologies and market entrants, including AI, we expect competition to continue to intensify.</w:t>
      </w:r>
    </w:p>
    <w:p>
      <w:pPr>
        <w:spacing w:after="0" w:line="5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we continue to build out our platform, we may face increased competition from companies that offer similar services and new competitors that may enter that market in the future. Our customers also include consumers or small and medium-sized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customer and partner relationships; more third-party integrations; greater accessibility across devices and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In some cases, we have been forced to engage in price-cutting initiatives or other discounts to attract and retain customers in response to competitive pressures, and may have to do so in the future. We, on occasion, offer customers a free period of time at the beginning of the subscription term that can result in deferred billings or long-term accounts receivable and increase the risk of loss on uncollected accounts receivable.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fluctuated and may in the future fluctuate significantly and may not fully reflect the underlying performance of our business.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Fluctuations in our results may negatively impact the value of our securities. Factors that may cause fluctuations in our results of operations include, without limitation, those listed below:</w:t>
      </w:r>
    </w:p>
    <w:p>
      <w:pPr>
        <w:spacing w:after="0" w:line="8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upgrade customers to higher-priced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upgrade free users to one of our paid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in particular those responsible for the selling or marketing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organize and compensate our sales teams;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large organizations;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effectiveness of new sales and marketing initiatives;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experienced research and development personnel to design new products, features, and functionality that meet our privacy and security standards;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functionality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service, network outages, or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any future acquisitions;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affected by changes in the economy, including any resulting effect on consumer or business spending.</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business may be significantly affected by changes in the economy, such as high inflation and the responses by central banking authorities to control such inflation, recessionary or uncertain environments, fluctuations in the foreign currency exchange rates and geopolitical tensions and military conflicts, tariffs, the threat of new or increased tariffs and trade tensions, including the United States' ongoing trade disputes with China and other countries, and the conflict involving Iran and disruptions to energy supply routes, which have contributed to elevated energy prices and heightened volatility in financial markets.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spacing w:after="0" w:line="19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increase sales to large organizations or introduce new products and features, our sales cycles have and could continue to lengthen, and we could experience greater deployment challenges.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invest significant resources into sales to large organizations as well as to develop new products and features.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some or all aspects of our platform. Large organizations may demand additional features, support services and pricing concessions, or require additional security management or control features. In addition, new products and features that differ meaningfully from our existing offerings, including those that incorporate or leverage artificial intelligence, may require prospective customers to conduct more extensive technical, legal, and operational evaluations prior to purchase, resulting in sales cycles that are longer, less predictable, or more variable than those associated with our established products, and there can be no assurance that customers who do purchase such offerings will adopt or utilize them at the levels or within the timeframes we anticipate. We may spend substantial time, effort, and money on sales efforts to large organizations as well as to develop new products and features,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6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awareness of the communications and collaboration technologies category;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modes of communications and collaboration that may be developed in the future;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customer information technology spending budgets, or a consolidation of spending budgets on our competitors' platforms, especially during periods of inflation or recessionary or uncertain economic environments;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platform experience;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of our platform, including frequency of outages;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support;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there are no assurances we will be able to maintain or increase profitability in the future.</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be able to increase or maintain profitability in future periods. If we fail to grow our revenue sufficiently to keep pace with our investments and other expenses, our business would be harmed.</w:t>
      </w:r>
    </w:p>
    <w:p>
      <w:pPr>
        <w:spacing w:after="0" w:line="192"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provide, develop, and create applications for our platform partners that integrate our platform with our partners’ various offerings. For example, our Zoom Workplace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requires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respond to rapid technological changes, extend our platform, or develop new features.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6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generative AI including in our products and services, which may result in operational challenges, legal liability, reputational concerns, competitive risks and regulatory concerns that could adversely affect our business and results of operations.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generative AI processes and algorithms, including by deploying generative AI features in our products and services, which may result in adverse effects to our operations, legal liability, reputation and competitive risks. The use of generative and agentic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rely on third parties for certain AI features of our products and if such third parties do not provide us those features (or do not do so on acceptable terms), experience interruptions, or cease operating, we may need to work with another provider, which may take time or may not be possible, and could result in the disruption of certain of our products or services, affect our reputation or brand, and negatively affect our financial results. We could also face claims from third parties claiming infringement of their intellectual property or other proprietary rights with respect to materials used or created by generative or agentic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We currently offer certain of our AI features at no additional cost, as we believe they will ultimately enhance user satisfaction, improve customer retention, and drive revenue. If such benefits are not realized, the associated investment costs could further negatively impact our margins. Further, use of generative AI tools by our employees or others could result in disclosure of confidential or sensitive company and customer data, reputational harm, and legal liability.</w:t>
      </w:r>
    </w:p>
    <w:p>
      <w:pPr>
        <w:spacing w:after="0" w:line="19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Unlike traditional communications and collaboration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proposing to reinstate the 2015 rules, and on April 24, 2024, adopted an order that substantially reinstated those rules. On January 2, 2025, the U.S. Court of Appeals for the Sixth Circuit issued a decision overturning the FCC order. A petition for rehearing of the decision filed by proponents of network neutrality was denied on March 11, 2025. On August 8, 2025, the proponents of network neutrality announced that they would not seek Supreme Court review of the Sixth Circuit decision. On November 3, 2025, the FCC released a notice of proposed rulemaking that proposed changes to the rules for disclosure of information on broadband services provided to consumers. We cannot predict the impact of the Sixth Circuit decision, the reinstatement of the prior rules or the proposed changes to the rules on our operations or business.</w:t>
      </w:r>
    </w:p>
    <w:p>
      <w:pPr>
        <w:spacing w:after="0" w:line="8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a number of states have adopted or are adopting or considering legislation or executive actions that would regulate the conduct of broadband providers, including legislation to impose state-level network requirements in New York. After a federal court judge denied a request for a preliminary injunction against California’s state-specific network neutrality law, California began enforcing that law on March 25, 2021. Several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Under the FCC’s 2018 rules, which currently remain in effect,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there are changes to the regulatory structures in the United States or elsewhere that reduce investment in infrastructure by internet service providers, including a return of the network neutrality regulations that were overturned, any impacts of reduced investment that reduce network capacity or speed could have a negative effect on our business, operating results, and financial condition.</w:t>
      </w:r>
    </w:p>
    <w:p>
      <w:pPr>
        <w:spacing w:after="0" w:line="172"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security measures, and those of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if our products and services are perceived as not being secure, this could result in customers and users curtailing or ceasing their use of our products, us incurring significant liabilities, and our business being harmed.</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We routinely investigate security incidents, which have occurred in the past and may occur in the future, that result in unauthorized access to, loss or unauthorized disclosure of, or inadvertent disclosure of confidential, proprietary, and sensitive information.</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Cyberattacks, other malicious internet-based activity, online and offline fraud, and other similar activities threaten the confidentiality, integrity, and availability of our proprietary, confidential, and sensitive data and information technology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systems, and those of the third parties with whom we work.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which could materially disrupt our systems and operations, supply chain, and ability to provide our services. We and the third parties with whom we work are subject to a variety of evolving threats, including but not limited to social-engineering attacks (including through deep fakes, which may be increasingly difficult to identify as fake, and phishing attacks), malicious code (such as viruses and worms), malware (including as a result of advanced persistent threat intrusions), denial-of-service attacks, credential stuffing, 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Moreover, we and many similarly situated companies have been targeted by nation-state sponsored schemes intended to defraud companies through remote-work IT scams. While to date, these scams have not been successful, if they were to succeed, these scams could expose us to governmental and regulatory as well as market and media scrutiny regarding the actual or perceived integrity of our platform or data security, as well as other potential liability and consequences.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have discovered, and may in the future discover security issues that were not found during due diligence of such acquired or integrated entities, and it may be difficult to integrate companies into our information technology environment and security program.</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may place certain security obligations on us. For example, some of our customers may be subject to the EU’s Digital Operational Resilience Act (DORA) and similar UK regulatory requirements on operational resilience. These laws may obligate our customers to impose contractual provisions on us, including certain mandatory third-party risk management provisions. If we fail to materially comply with these contractual requirements, we may be subject to investigations, audits or other adverse consequences.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 parties has in the past and could continue to introduce new cybersecurity risks and vulnerabilities, including supply-chain attacks, and other threats to our business operations. We rely on third parties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and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supply chains have not been compromised.</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our security measures are compromised, as has occurred in the past,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information systems and those of third parties with whom we work,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experienced difficulties in hiring and retaining qualified security personnel, especially after our recent restructuring actions. We may experience delays in developing and deploying remedial measures, including patches, designed to address identified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vulnerabilities, and our remedial measures may require action by our customers such as installing patches or updates, which may increase the amount of time a vulnerability remains unremediated. We have not always been able in the past and may be unable in the future to anticipate or prevent threats or techniques used to detect or exploit vulnerabilities in our information systems or third-party software, or obtain unauthorized access to or compromise our systems.</w:t>
      </w:r>
    </w:p>
    <w:p>
      <w:pPr>
        <w:spacing w:after="0" w:line="7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 services and information systems that we may become aware of in the future, or there may be delays in developing patches that can be effectively deployed to address vulnerabilities.</w:t>
      </w:r>
    </w:p>
    <w:p>
      <w:pPr>
        <w:spacing w:after="0" w:line="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with whom we work. A security incident or other interruption could disrupt our ability (and that of third parties with whom we work) to provide our services. We expend significant resources or modify our business activities to try to protect against security incidents. Additionally, certain privacy, data protection, and information security obligations require us to implement and maintain certain security measures or industry-standard or reasonable security measures to protect our information technology systems and sensitive data.</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data security incidents, including those recently promulgated by the SEC. These laws may also require us to take certain measures, such as providing credit monitoring to individuals. Such laws are inconsistent, compliance in the event of a widespread data breach is costly, and the disclosure or the failure to comply with such requirements could lead to adverse consequences. In addition, some of our customers require us to notify them of data security breaches.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Actual or perceived security gaps or security compromises experienced in our industry or by our competitors, our customers, a third party with whom we work, or us could cause us to experience adverse consequences, such as government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Increased usage of our services, novel uses of our services, and additional awareness of Zoom and our brand have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workplace collaboration solution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business, financial condition and results of operations may be harmed.</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While our employee headcount both in the United States and internationally has generally increased over time, we have undertaken, and may undertake from time to time in the future, restructuring actions to better align our financial model. For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example, in February 2023, we commenced certain restructuring actions, designed to reduce operating costs and continue advancing our ongoing commitment to profitable growth.</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platform could be harmed by real or perceived material defects or errors in our platform.</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6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reduction in revenue or delay in market acceptance of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issue refunds to our customers or expose us to claims for damages;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lose existing customers and make it more difficult to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our development resources or require us to make extensive changes to our platform, which would increase our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technical support costs;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platform addresses the communications and collaboration needs of users worldwide, and we see international expansion as a major opportunity. Our revenue from APAC and EMEA collectively represented 27.9% and 28.2% of our revenue for the three months ended April 30, 2026 and 2025, respectively.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internationally subjects us to new risks and increases risks that we currently face, including risks associated 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foreign jurisdictions where the government may impede or interrupt our ability to provide our services or develop new products, features, and functionality;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the United States and the practical enforcement of such intellectual property rights outside of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partners outside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other political tensions between countries in which we do business;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continuing deterioration in diplomatic relations between the United States and China, or deterioration in diplomatic relations between the United States and countries with which the United States has traditionally enjoyed close ties and alliances, and ongoing military conflicts;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these laws and regulations or manage the complexity of our global operations successfully, we may need to relocate or cease operations in certain foreign jurisdictions.</w:t>
      </w:r>
    </w:p>
    <w:p>
      <w:pPr>
        <w:spacing w:after="0" w:line="5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and international anti-corruption laws, and any failure to comply with such laws could harm our business, financial condition, and results of operations.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tension between the United States and China, or between other economies, such as Taiwan, and China, may intensify and lead to increased scrutiny of our business operations in China.</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do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 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conducted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who increase their use of our platform or upgrade to a higher-priced plan must be recognized over the applicable subscription term.</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for our customers and users may harm our relationships with our customers and users and, consequently, our business.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 maintain high-quality support, or a market perception that we do not maintain high-quality support for our customers and users, would harm our business.</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 offerings and processes requires significant time and resources. For resellers in certain emerging markets, we may be unable to effectively oversee and quality-check certain processes, such as customer due diligence, which has and may continue to impact such resellers’ ability to implement robust customer verification protocols and mitigate fraud risk.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which are reported in U.S. dollars, could be adversely affected if currency exchange rates fluctuate substantially in the future.</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three months ended April 30, 2026 and 2025, 20.4% and 19.3% of our revenue, respectively, and 20.5% and 16.5%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three months ended April 30, 2026, our total revenue was lower than anticipated in part due to the strengthening of the U.S. dollar. We do not currently maintain a program to hedge exposures to non-U.S. dollar currencies.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sales to government entities and other government contractors are subject to a number of additional challenges and risks.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governmental entities are subject to termination for the convenience of the customer;</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U.S. government contractor, we may be subject to executive orders and regulatory changes affecting various aspects of our operations, including compliance with nondiscrimination plans, and any required elimination or modification of such plans in response to new executive orders could pose challenges in hiring or retaining employees and may lead to other adverse operational impacts, while failure to comply with these requirements could expose us to administrative, civil, or criminal liabilities, including fines, penalties, repayments or suspension or debarment from eligibility for future U.S. government contracts; and</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demand and payment for our products may be influenced, among other things, by public sector budgetary cycles and funding authorizations, with funding reductions or delays having an adverse impact on public sector demand for our products.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foreign government initiatives intended to reduce reliance on non-domestic technology may cause foreign governmental agency customers to stop using our solutions, decrease the profitability of sales to such customers, or make it less likely that we are able to sell our solutions to other foreign governmental agencies.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January 2025, the current administration began issuing Executive Orders identifying new government policy and directing U.S. federal agencies to evaluate their current actions, including certain spending, to ensure that such actions are consistent with new Administration priorities. Some of those Executive Orders are the subjects of pending litigation, and there remains significant uncertainty about the ways in which agencies will implement the new Executive Orders. Such implementation could negatively affect our current and future business with U.S. government agencies.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impact our ability to market and sell such products to new and existing customers. The short- and long-term impact of any major change to our products, or the introduction of new products, is particularly difficult to predict. If new or enhanced products, including those incorporating AI features,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who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90"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spacing w:after="0" w:line="72"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The provision for taxes on our condensed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4"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18"/>
          <w:szCs w:val="18"/>
          <w:color w:val="auto"/>
        </w:rPr>
        <w:t>Future changes in our financial results, business operations, or the interpretation and application of OBBBA provisions could cause us to become subject to the Corporate Alternative Minimum Tax ("CAMT") in subsequent periods, which may materially increase our effective tax rate. On February 18, 2026, the U.S. Department of the Treasury and the Internal Revenue Service released Notice 2026-07 guidance addressing adjustments to adjusted financial statement income (AFSI) under CAMT related to domestic research and development expenditures capitalized under Section 174. We believe the guidance is intended to mitigate certain book-tax timing differences associated with the capitalization and amortization of domestic research and development expenditures. As these rules continue to evolve with new legislation and guidance, we will continue to monitor and account for the potential impacts such updates may have on our effective tax rate and cash flows.</w:t>
      </w:r>
    </w:p>
    <w:p>
      <w:pPr>
        <w:spacing w:after="0" w:line="8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may also be subject to additional tax liabilities due to changes in non-income-based taxes resulting from changes in U.S. federal, state, local, or foreign tax laws; changes in taxing jurisdictions’ administrative interpretations, decisions, policies,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certain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OECD has also been working on a Base Erosion and Profits Shifting project that, upon implementation, would change various aspects of the existing framework under which our tax obligations are determined in many of the countries in which we operate. In this regard, the OECD has proposed policies aiming to modernize global tax systems, including a country-by-country 15% minimum effective tax rate (“Pillar Two”) for multinational companies. Numerous countries have enacted, or are in the process of enacting, legislation to implement the Pillar Two model rules with a subset of the rules having become effective during our fiscal year ended January 31, 2025 and January 31, 2026, and the remaining rules becoming effective in later periods. Further, on June 28, 2025, the G7 released a joint statement that it had reached an understanding to modify the approach to Pillar Two, aiming to simplify administration of the rules. On January 5, 2026, the OECD issued administrative guidance outlining a framework under which U.S.-parented groups may be excluded from the application of the OECD’s global minimum tax rules. Each member jurisdiction will need to adopt this guidance into local law, and the timing and manner of adoption may vary. As these rules continue to evolve with new legislation and guidance, we will continue to monitor and account for the enactment of Pillar Two rules in the countries where we operate, and the potential impacts such rules may have on our effective tax rate and cash flows in future years.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grown and continues to grow in scale, complexity, and scope, which makes it difficult to evaluate our prospects and future results of operations.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During fiscal year 2021, we experienced rapid growth in usage of our unified communications and collaboration platform largely due to the COVID-19 pandemic. This usage dramatically changed the scale of our business. Since then, our business has continued to evolve as we expand our platform capabilities, serve a broader and more diverse customer base, and adapt to changing work environments, including remote and hybrid models. As a result, our ability to forecast our future results of operations is difficult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continually seeking to improve our ability to measure our key business metrics, and regularly review our processes to assess potential improvements.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and has in the past harmed, our reputation and business and subject us to significant fines and liability.</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and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Laws in the United States</w:t>
      </w:r>
    </w:p>
    <w:p>
      <w:pPr>
        <w:spacing w:after="0" w:line="11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privacy, data protection, and information security laws, including data breach notification laws, personal information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fines and allows private litigants affected by certain data breaches to recover significant statutory damages. Similar laws have been enacted and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are required to obtain certain consents to process personal information. For example, some of our data processing practices may be challenged under wiretapping laws when we obtain consumer information from third parties through various methods, including AI features, chatbot and session replay providers, or via third-party marketing pixels. These practices are subject to increased challenges by class action plaintiffs. Several states and foreign jurisdictions have enacted statutes imposing obligations on businesses collecting or processing biometric information. For example, Illinois’ Biometric Information Privacy Act (“BIPA”) regulates the collection, use, safeguarding, and storage of biometric information and provides for substantial penalties and statutory damages. The Federal Trade Commission (“FTC”), has indicated that use of biometric technologies (including facial recognition technologies) may be subject to additional scrutiny. Our inability or failure to obtain consent for these practices could result in adverse consequences, including class action litigation, mass arbitration demands, and regulatory attention.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Laws Outside of the United States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related to privacy, data protection, and information security may govern.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China’s PIPL imposes a set of specific obligations on covered businesses in connection with their processing and transfer of personal information and imposes fines of up to RMB 50 million or 5% of the prior year’s total annual revenue of the violator. The Swiss Federal Act on Data Protection (“FADP”), also applies to the collection and processing of personal information, including health-related information, by companies located in Switzerland, or in certain circumstances, by companies located outside of Switzerland.</w:t>
      </w:r>
    </w:p>
    <w:p>
      <w:pPr>
        <w:spacing w:after="0" w:line="70"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We also market to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spacing w:after="0" w:line="8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 The United States is also increasingly scrutinizing certain data transfers and may also impose certain data localization requirements.</w:t>
      </w:r>
    </w:p>
    <w:p>
      <w:pPr>
        <w:spacing w:after="0" w:line="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become subject to new laws that regulate non-personal information.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information outside the EEA. Depending on how this Act and any similar laws are implemented and interpreted, we may have to adapt our business practices, contractual arrangements, and products and services to comply with such obligations.</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Artificial Intelligence</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development and use of AI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technology featuring AI. The EU AI Act sets out a risk-based framework, subjecting certain AI technologies to numerous compliance obligations, including transparency, conformity and risk assessment, monitoring and human oversight requirements. Under the EU AI Act, non-compliant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may be subject to administrative fines of up to 35 million Euros or 7% of a company’s total worldwide annual turnover for the preceding financial year, whichever is the higher. Obligations on AI may make it harder for us to conduct our business using, or build products incorporating, AI, require us to change our business practices, require us to retrain our algorithms, require us to disclose or provide greater transparency regarding the nature of our AI tools and the data we have employed to train them, or prevent or limit our use of AI. For example, the FTC has required other companies to turn over (or disgorge) valuable insights or trainings generated through the use of AI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 If we do not develop or incorporate AI in a manner consistent with these factors, and consistent with customer expectations, it has in the past and may in the future result in an adverse impact to our reputation, our business may be less efficient, or we may be at a competitive disadvantage. Similarly, if customers and users do not widely adopt our new product AI experiences, features, and capabilities, or they do not perform as expected, we may not be able to realize a return on our investment.</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Laws Relating to Minors</w:t>
      </w:r>
    </w:p>
    <w:p>
      <w:pPr>
        <w:spacing w:after="0" w:line="11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Additionally, regulators are increasingly scrutinizing companies that process minors' data and/or provide online services or other interactive platforms used by minors. Numerous laws, regulations, and legally-binding codes, such as the Children’s 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and in some cases already have been subject to legal challenges and changing interpretations which may further complicate our efforts to comply with laws 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Consumer Preferences and Protection</w:t>
      </w:r>
    </w:p>
    <w:p>
      <w:pPr>
        <w:spacing w:after="0" w:line="11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For example, in September 2024, the FCC adopted new rules scheduled to take effect in 2027 that require video conferencing services to include features that expand accessibility requirements for consumers of our products and services.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Industry Standards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privacy, data protection and information security laws, we are contractually subject to certain industry standards adopted by industry groups and may become subject to additional such obligations in the future. We also have certain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standards or cannot comply with such contractual obligations, our reputation and business may be harmed. We also publish privacy policies, marketing materials, whitepapers and other statements, such as compliance with certain certifications or self-regulatory principles, regarding privacy, data protection, artificial intelligence and information security. Regulators in the United States have scrutinized and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Government Inquiries and Investigations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II, Item 1 “Legal Proceedings” for additional information.</w:t>
      </w:r>
    </w:p>
    <w:p>
      <w:pPr>
        <w:spacing w:after="0" w:line="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On July 30, 2025, the SEC informed us that its investigation has concluded and they do not intend to recommend an enforcement action. The EDNY and NDCA investigations are ongoing, and a negative outcome in any or all of these matters could cause us to incur substantial fines, penalties, or other financial exposure, as well as material reputational harm, a loss of customer and user confidence and business, additional expenses, and other harm to our business. We do not know when the EDNY and NDCA matters will be completed, which facts we will ultimately discover as a result of the investigations, or what actions the government may or may not take.</w:t>
      </w:r>
    </w:p>
    <w:p>
      <w:pPr>
        <w:spacing w:after="0" w:line="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Consents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Public Perception</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Failure to Comply with our Obligations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has and may continue to necessitate changes to our services, information technologies, systems, and practices and to those of any third parties that process personal information on our behalf.</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8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could limit our ability to sell our products to certain customers, which may have a material adverse effect on our sales and results of operations.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U.S. or foreign governments have taken and may in the future take administrative, legislative, or regulatory action, including imposing tariffs, that could materially interfere with our ability to sell products in certain countries, and the recent announcements of substantial new tariffs and other restrictive trade policies have created a dynamic and unpredictable trade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landscape, which may adversely impact our business.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current administration or future administrations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the U.S. Government has expressed concerns with the security of information and communications technology and services (“ICTS”) sourced from providers in China, Russia, and other jurisdictions. In May 2019, an executive order was issued invoking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liabilities on past sales for taxes, surcharges, and fees.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 inadvertently make our software products available to some customers in potential violation of the EAR. Therefore, 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processes,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 or policy could compel us or limit our ability to engage in content moderation, or otherwise limit the ability of users to engage in inappropriate or harmful behavior, and could expose us to liability.</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have been various Congressional and executive efforts to eliminate or modify Section 230 of the Communications Act of 1934, enacted as part of the Communications Decency Act of 1996. Section 230 provides protection for providers of online service from liability for content produced by third parties and protects the right to engage in moderation of user content. The current administration and many members of Congress from both parties support the reform or repeal of Section 230, so the possibility of Congressional action remains. In addition, the FCC is considering a petition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that, if successful, would greatly limit the scope of Section 230. The U.S.</w:t>
      </w:r>
    </w:p>
    <w:p>
      <w:pPr>
        <w:spacing w:after="0" w:line="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Supreme Court recently declined to limit the applicability of Section 230 in certain circumstances, but future cases may not yield the same results and a recent decision by the U.S. Court of Appeals for the Third Circuit would limit the applicability of Section 230 to curated content.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customers’ or other users’ activities, we could be required to pay fines or penalties, redesign business methods, or otherwise expend resources to remedy any damages caused by such actions and to avoid future liability.</w:t>
      </w:r>
    </w:p>
    <w:p>
      <w:pPr>
        <w:spacing w:after="0" w:line="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Implementation of the Florida and Texas statutes has been stayed by various federal courts, including the U.S. Supreme Court. On August 18, 2022,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it would review both the Florida and Texas decisions, and on July 1, 2024, the Court issued a decision returning both cases to the trial courts for additional analysis. The district court in Texas, on August 29, 2024, issued a decision staying some portions of the Texas law and allowing others to go into effect, relying on analysis under both Section 230 and the First Amendment. On November 18, 2024, the Fifth Circuit issued an order setting parameters for the district court's consideration of the issues raised by the Supreme Court. On January 31, 2025, the plaintiffs refiled their complaint with revisions to reflect the Supreme Court decision. The August 2024 decision is subject to a pending appeal. The district court in Florida denied a motion to dismiss the suit in that state on May 22, 2025. Florida amended its statute in an effort to address issues that led the court to issue the stay. It is likely that any other such state legislation also would be challenged under the First Amendment to the U.S. Constitution and on the ground that it is preempted by Section 230. In addition, on August 27, 2024, the U.S. Court of Appeals for the Third Circuit issued a decision limiting the protections afforded by Section 230 in cases where a social media company curates user feeds to the extent that the feed becomes the speech of the company, reversing a trial court decision that immunized the company under Section 230. We cannot predict whether any such state legislation will be adopted, enforced, modified, overturned, or vacated.</w:t>
      </w:r>
    </w:p>
    <w:p>
      <w:pPr>
        <w:spacing w:after="0" w:line="85"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spacing w:after="0" w:line="199"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In June 2025, the Supreme Court rejected a challenge to the USF contribution rules. However, a new lawsuit has been filed seeking to invalidate the system on other grounds in the U.S. Court of Appeals for the Fifth Circuit on October 1, 2025. Congress or the FCC may expand the scope of Zoom Phone’s regulatory obligations at any time. On October 29, 2025, the FCC released a notice of proposed rulemaking that could result in substantial changes in the regulatory regime governing interconnection among providers of voice service.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described above, the FCC reinstated its prior network neutrality regulations in 2024, but the FCC order was reversed by the Sixth Circuit Court of Appeals.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 and have been challenged in federal court. The initial appeal of the rules was denied in August 2025, but the parties requested review by the full court, and the court granted an FCC request to hold the appeal in abeyance while it considers whether to revise or revoke the rules. We cannot predict the impact of the new rules on our operations or business or whether they will be overturned in court.</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FCC has adopted rules that prohibit Chinese companies that are deemed to be a national security risk by other federal agencies from obtaining new authorizations and placed on a list known as the Covered List to sell telecommunications equipment in the U.S. and on October 28, 2025, adopted rules that created a process to ban those companies from selling previously-authorized equipment or could prohibit the use of their equipment in the U.S. Zoom does not currently have any equipment from the companies subject to the ban in its network, but if other companies are added to the Covered List and the FCC adopts rules that ban sales or use of equipment from such companies, we could be required to find new sources for similar equipment or replace existing equipment entirely. On May 27, 2025, the FCC released a notice of proposed rulemaking that proposes requiring companies holding FCC licenses or authorizations to certify whether they are owned, controlled, or subject to the authority of foreign adversaries and, if so, to disclose their ownership. These rules were adopted on January 29, 2026, and become effective on June 9, 2026, but the certification requirements will not go into effect until a later FCC announcement. We cannot predict any impact of these rules on our operations or business.</w:t>
      </w:r>
    </w:p>
    <w:p>
      <w:pPr>
        <w:spacing w:after="0" w:line="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12, 2025, the FCC opened a proceeding to begin the process of identifying FCC rules, regulations, and guidance documents for elimination or modification to alleviate unnecessary regulatory burdens and eliminating or modifying such rules. This proceeding could result in substantial changes to the FCC’s rules, including the elimination or modification of rules that impose burdens on us and rules that benefit us, including those that prevent anticompetitive behavior by competitors. We cannot predict which rules will be affected by this initiative, when the FCC will act, or the impact of any elimination or modification of existing FCC rules on our operations or business.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has adopted an order requiring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For additional information on this order, see the risk factor titled “Failures in internet infrastructure or interference with broadband access could cause current or potential users to believe that our systems are unreliable, possibly leading our customers to switch to our competitors, or to cancel their subscriptions to our platform.” We cannot predict whether other state initiatives will be enforced, modified, overturned, or vacated.</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International Regulation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proprietary rights of others. Some companies, including some of our competitors, own large numbers of patents, as well as valuable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use of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121"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We primarily rely and expect to continue to rely on a combination of patent, trademark and domain name protection, trade secret and copyright laws, confidentiality and invention assignment agreements with our employees and consultants, as well as licenses with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diminished or impaired, which could harm our brand and our business. Third parties may knowingly or unknowingly infringe our intellectual property or proprietary rights; third parties may challenge our intellectual property or proprietary rights;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develop similar technologies or processes, or independently discover our trade secrets, in which case we would not be able to assert our trade secret rights. Further, the laws of certain foreign countries do not provide the same level of intellectual property protection of corporate proprietary information and assets such as rights to patents, copyrights,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parties, the value of our platform, brand, and other intangible assets may be diminished, and competitors may be able to more effectively replicate our platform and its features. Any of these events would harm our business.</w:t>
      </w:r>
    </w:p>
    <w:p>
      <w:pPr>
        <w:spacing w:after="0" w:line="15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incorporated, and may in the future incorporate, third-party open source software (including our open source AI models)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 Furthermore, with respect to our use of third-party open source AI models, some licenses to third-party open source AI models contain additional use restrictions pertaining to research-only limitations or, in some cases, vague notions of responsible uses for the AI models, which may not in all instances comport with our business practices.</w:t>
      </w:r>
    </w:p>
    <w:p>
      <w:pPr>
        <w:spacing w:after="0" w:line="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6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social, economic and market conditions, in both domestic and our foreign markets, including effects of increased interest rates and inflationary pressures.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As of April 30, 2026, the holders of our outstanding Class B common stock held 51.9% of the voting power of our outstanding capital stock, with our directors, executive officers and 5% stockholders and their respective affiliates holding 45.9% of such voting power in the aggregate. As of April 30, 2026, our founder, President and Chief Executive Officer, Eric S. Yuan, together with his affiliates, held approximately 7.1% of our outstanding capital stock but controlled approximately 37.7%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so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only be removed for cause;</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for directors;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voting to amend some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requires all stockholder actions to be taken at a meeting of our stockholders;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w:t>
      </w:r>
    </w:p>
    <w:p>
      <w:pPr>
        <w:spacing w:after="0" w:line="17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record all fair value adjustments of our publicly traded and privately held non-marketable securities through the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 accounting or disclosure violation, which significantly increases the enforcement risk faced by us and other public companies for any weaknesses in disclosure controls and internal control over financial reporting.</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Regulators', investors’ and other stakeholders’ expectations of our performance relating to environmental, social and governance factors may impose additional costs and expose us to new risks.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regulators, investors, customers and other stakeholders concerning environmental, social and governance matters. To the extent we share information about our practices in this area, we could be criticized for the accuracy, adequacy, or completeness of such disclosures. In addition, we may communicate related goals or initiatives from time to time, which can be costly to achieve and difficult to implement. There is no assurance that we will achieve any of these goals, that our initiatives will achieve their intended outcome, and our ability to implement these initiatives or achieve these goals may be dependent on external factors outside our control. Further, we may experience backlash from customers, government entities, advocacy groups, employees, or other stakeholders who disagree with our actual or perceived positions, or with our lack of position on social, environmental, governance, political, public policy, economic, geopolitical, or other sensitive issues. Any perceived lack of transparency about these matters could harm our brand and reputation, our employees’ engagement and retention, and the willingness of our customers and partners to do business with us.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an impact on our business.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are inherent climate-related risks wherever business is conducted. We have a global workforce, and operate in leased office spaces and data centers, and the short, medium and long term climate impacts to our business are unclear. Changing market dynamics, global policy developments and the increasing frequency and impact of extreme weather events to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repurchases of Class A common stock during the three months ended April 30,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6"/>
          <w:szCs w:val="16"/>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right="180"/>
        <w:spacing w:after="0" w:line="310" w:lineRule="auto"/>
        <w:rPr>
          <w:sz w:val="20"/>
          <w:szCs w:val="20"/>
          <w:color w:val="auto"/>
        </w:rPr>
      </w:pPr>
      <w:r>
        <w:rPr>
          <w:rFonts w:ascii="Times New Roman" w:cs="Times New Roman" w:eastAsia="Times New Roman" w:hAnsi="Times New Roman"/>
          <w:sz w:val="16"/>
          <w:szCs w:val="16"/>
          <w:color w:val="auto"/>
        </w:rPr>
        <w:t>February 1 – 28, 2026 March 1 – 31, 2026 April 1 – 30, 2026 Total</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6"/>
                <w:szCs w:val="16"/>
                <w:color w:val="auto"/>
              </w:rPr>
            </w:pPr>
          </w:p>
        </w:tc>
        <w:tc>
          <w:tcPr>
            <w:tcW w:w="2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Number of Shares</w:t>
            </w:r>
          </w:p>
        </w:tc>
        <w:tc>
          <w:tcPr>
            <w:tcW w:w="1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Approximate Dollar Value of</w:t>
            </w:r>
          </w:p>
        </w:tc>
      </w:tr>
      <w:tr>
        <w:trPr>
          <w:trHeight w:val="162"/>
        </w:trPr>
        <w:tc>
          <w:tcPr>
            <w:tcW w:w="2220" w:type="dxa"/>
            <w:vAlign w:val="bottom"/>
          </w:tcPr>
          <w:p>
            <w:pPr>
              <w:jc w:val="right"/>
              <w:ind w:right="641"/>
              <w:spacing w:after="0" w:line="163" w:lineRule="exact"/>
              <w:rPr>
                <w:sz w:val="20"/>
                <w:szCs w:val="20"/>
                <w:color w:val="auto"/>
              </w:rPr>
            </w:pPr>
            <w:r>
              <w:rPr>
                <w:rFonts w:ascii="Times New Roman" w:cs="Times New Roman" w:eastAsia="Times New Roman" w:hAnsi="Times New Roman"/>
                <w:sz w:val="14"/>
                <w:szCs w:val="14"/>
                <w:color w:val="auto"/>
              </w:rPr>
              <w:t>Purchased</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Purchased as Part of Publicly</w:t>
            </w:r>
          </w:p>
        </w:tc>
        <w:tc>
          <w:tcPr>
            <w:tcW w:w="120" w:type="dxa"/>
            <w:vAlign w:val="bottom"/>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 that May Yet Be</w:t>
            </w:r>
          </w:p>
        </w:tc>
      </w:tr>
      <w:tr>
        <w:trPr>
          <w:trHeight w:val="175"/>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40" w:type="dxa"/>
            <w:vAlign w:val="bottom"/>
          </w:tcPr>
          <w:p>
            <w:pPr>
              <w:jc w:val="center"/>
              <w:spacing w:after="0" w:line="175" w:lineRule="exact"/>
              <w:rPr>
                <w:sz w:val="20"/>
                <w:szCs w:val="20"/>
                <w:color w:val="auto"/>
              </w:rPr>
            </w:pPr>
            <w:r>
              <w:rPr>
                <w:rFonts w:ascii="Times New Roman" w:cs="Times New Roman" w:eastAsia="Times New Roman" w:hAnsi="Times New Roman"/>
                <w:sz w:val="15"/>
                <w:szCs w:val="15"/>
                <w:color w:val="auto"/>
              </w:rPr>
              <w:t>Announced Program</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Purchased Under Publicly</w:t>
            </w:r>
          </w:p>
        </w:tc>
      </w:tr>
      <w:tr>
        <w:trPr>
          <w:trHeight w:val="176"/>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Announced Program (in</w:t>
            </w:r>
          </w:p>
        </w:tc>
      </w:tr>
      <w:tr>
        <w:trPr>
          <w:trHeight w:val="243"/>
        </w:trPr>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thousands)</w:t>
            </w:r>
            <w:r>
              <w:rPr>
                <w:rFonts w:ascii="Times New Roman" w:cs="Times New Roman" w:eastAsia="Times New Roman" w:hAnsi="Times New Roman"/>
                <w:sz w:val="21"/>
                <w:szCs w:val="21"/>
                <w:color w:val="auto"/>
                <w:w w:val="95"/>
                <w:vertAlign w:val="superscript"/>
              </w:rPr>
              <w:t>(1)</w:t>
            </w:r>
          </w:p>
        </w:tc>
      </w:tr>
      <w:tr>
        <w:trPr>
          <w:trHeight w:val="210"/>
        </w:trPr>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89.38</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843,350</w:t>
            </w:r>
          </w:p>
        </w:tc>
      </w:tr>
      <w:tr>
        <w:trPr>
          <w:trHeight w:val="229"/>
        </w:trPr>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801,344</w:t>
            </w:r>
          </w:p>
        </w:tc>
      </w:tr>
      <w:tr>
        <w:trPr>
          <w:trHeight w:val="233"/>
        </w:trPr>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2,031,498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2,031,498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624,989</w:t>
            </w:r>
          </w:p>
        </w:tc>
      </w:tr>
      <w:tr>
        <w:trPr>
          <w:trHeight w:val="213"/>
        </w:trPr>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4,169,208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86.75</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4,169,208</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
        </w:trPr>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-616585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-325120</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720"/>
            <w:col w:w="88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8"/>
        <w:spacing w:after="0" w:line="218" w:lineRule="auto"/>
        <w:tabs>
          <w:tab w:leader="none" w:pos="187"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February 2024, our Board of Directors authorized a stock repurchase program of up to $1.5 billion of our Class A common stock, which we publicly announced on February 26, 2024. In November 2024, our Board of Directors authorized the repurchase of an additional $1.2 billion of our outstanding Class A common stock, which we publicly announced on November 25, 2024. In November 2025, our Board of Directors authorized another $1.0 billion in repurchases of our outstanding Class A common stock, which we publicly announced on November 24, 2025. In May 2026, our Board of Directors authorized an additional $1.0 billion in repurchases of our outstanding Class A common stock, which we publicly announced on May 21, 2026. Repurchases of our Class A common stock may be effected, from time to time, either on the open market (including pre-set trading plans), in privately negotiated transactions, and other transactions in accordance with applicable securities laws. The repurchase program, which has no expiration date, does not obligate us to acquire any particular amount of Class A common stock, and the repurchase program may be suspended or discontinued at any time at our discretion. See Note 8 "Stockholders’ Equity and Equity Incentive Plans" of this Quarterly Report on Form 10-Q for additional information related to share repurchases. All shares purchased reported in this column were purchased pursuant to our publicly announced stock repurchase program.</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9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Company’s last fiscal quarter, the Company’s directors and officers (as defined in Rule 16a-1(f) under the Exchange Act) adopted, modified, or terminated the contracts, instructions or written plans for the purchase or sale of the Company’s securities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40575" cy="1534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0575" cy="153416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76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8"/>
        </w:trPr>
        <w:tc>
          <w:tcPr>
            <w:tcW w:w="36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76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6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7"/>
        </w:trPr>
        <w:tc>
          <w:tcPr>
            <w:tcW w:w="3640" w:type="dxa"/>
            <w:vAlign w:val="bottom"/>
            <w:tcBorders>
              <w:right w:val="single" w:sz="8" w:color="auto"/>
            </w:tcBorders>
          </w:tcPr>
          <w:p>
            <w:pPr>
              <w:ind w:left="1100"/>
              <w:spacing w:after="0" w:line="188" w:lineRule="exact"/>
              <w:rPr>
                <w:sz w:val="20"/>
                <w:szCs w:val="20"/>
                <w:color w:val="auto"/>
              </w:rPr>
            </w:pPr>
            <w:r>
              <w:rPr>
                <w:rFonts w:ascii="Times New Roman" w:cs="Times New Roman" w:eastAsia="Times New Roman" w:hAnsi="Times New Roman"/>
                <w:sz w:val="18"/>
                <w:szCs w:val="18"/>
                <w:b w:val="1"/>
                <w:bCs w:val="1"/>
                <w:color w:val="auto"/>
              </w:rPr>
              <w:t>Name and Position</w:t>
            </w:r>
          </w:p>
        </w:tc>
        <w:tc>
          <w:tcPr>
            <w:tcW w:w="1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Action</w:t>
            </w:r>
          </w:p>
        </w:tc>
        <w:tc>
          <w:tcPr>
            <w:tcW w:w="14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Adoption/</w:t>
            </w:r>
          </w:p>
        </w:tc>
        <w:tc>
          <w:tcPr>
            <w:tcW w:w="9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Rule 10b5-</w:t>
            </w:r>
          </w:p>
        </w:tc>
        <w:tc>
          <w:tcPr>
            <w:tcW w:w="9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7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Total Shares of Class</w:t>
            </w:r>
          </w:p>
        </w:tc>
        <w:tc>
          <w:tcPr>
            <w:tcW w:w="128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Expiration</w:t>
            </w:r>
          </w:p>
        </w:tc>
      </w:tr>
      <w:tr>
        <w:trPr>
          <w:trHeight w:val="203"/>
        </w:trPr>
        <w:tc>
          <w:tcPr>
            <w:tcW w:w="36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Termination</w:t>
            </w:r>
          </w:p>
        </w:tc>
        <w:tc>
          <w:tcPr>
            <w:tcW w:w="9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1*</w:t>
            </w:r>
          </w:p>
        </w:tc>
        <w:tc>
          <w:tcPr>
            <w:tcW w:w="9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Rule 10b5-</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 Common Stock to</w:t>
            </w:r>
          </w:p>
        </w:tc>
        <w:tc>
          <w:tcPr>
            <w:tcW w:w="128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38"/>
        </w:trPr>
        <w:tc>
          <w:tcPr>
            <w:tcW w:w="36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2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 Sold***</w:t>
            </w:r>
          </w:p>
        </w:tc>
        <w:tc>
          <w:tcPr>
            <w:tcW w:w="1280" w:type="dxa"/>
            <w:vAlign w:val="bottom"/>
          </w:tcPr>
          <w:p>
            <w:pPr>
              <w:spacing w:after="0"/>
              <w:rPr>
                <w:sz w:val="20"/>
                <w:szCs w:val="20"/>
                <w:color w:val="auto"/>
              </w:rPr>
            </w:pPr>
          </w:p>
        </w:tc>
      </w:tr>
      <w:tr>
        <w:trPr>
          <w:trHeight w:val="27"/>
        </w:trPr>
        <w:tc>
          <w:tcPr>
            <w:tcW w:w="36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3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Velchamy Sankarlingam, Executive Officer</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04/15/2026</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8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Up to 83,094</w:t>
            </w:r>
          </w:p>
        </w:tc>
        <w:tc>
          <w:tcPr>
            <w:tcW w:w="12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07/22/2027</w:t>
            </w:r>
          </w:p>
        </w:tc>
      </w:tr>
    </w:tbl>
    <w:p>
      <w:pPr>
        <w:ind w:left="40"/>
        <w:spacing w:after="0"/>
        <w:rPr>
          <w:sz w:val="20"/>
          <w:szCs w:val="20"/>
          <w:color w:val="auto"/>
        </w:rPr>
      </w:pPr>
      <w:r>
        <w:rPr>
          <w:rFonts w:ascii="Times New Roman" w:cs="Times New Roman" w:eastAsia="Times New Roman" w:hAnsi="Times New Roman"/>
          <w:sz w:val="18"/>
          <w:szCs w:val="18"/>
          <w:color w:val="auto"/>
        </w:rPr>
        <w:t>* Contract, instruction or written plan intended to satisfy the affirmative defense conditions of Rule 10b5-1(c) under the Exchange Act.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“Non-Rule 10b5-1 trading arrangement” as defined in Item 408(c) of Regulation S-K under the Exchange Act.</w:t>
      </w:r>
    </w:p>
    <w:p>
      <w:pPr>
        <w:spacing w:after="0" w:line="63" w:lineRule="exact"/>
        <w:rPr>
          <w:sz w:val="20"/>
          <w:szCs w:val="20"/>
          <w:color w:val="auto"/>
        </w:rPr>
      </w:pPr>
    </w:p>
    <w:p>
      <w:pPr>
        <w:ind w:left="40" w:right="160"/>
        <w:spacing w:after="0" w:line="266" w:lineRule="auto"/>
        <w:rPr>
          <w:sz w:val="20"/>
          <w:szCs w:val="20"/>
          <w:color w:val="auto"/>
        </w:rPr>
      </w:pPr>
      <w:r>
        <w:rPr>
          <w:rFonts w:ascii="Times New Roman" w:cs="Times New Roman" w:eastAsia="Times New Roman" w:hAnsi="Times New Roman"/>
          <w:sz w:val="18"/>
          <w:szCs w:val="18"/>
          <w:color w:val="auto"/>
        </w:rPr>
        <w:t>*** Represents the maximum number of shares that may be sold pursuant to the 10b5-1 arrangement. The actual number of shares sold will be dependent on the satisfaction of certain conditions as set forth in the written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60" w:type="dxa"/>
            <w:vAlign w:val="bottom"/>
            <w:vMerge w:val="continue"/>
          </w:tcPr>
          <w:p>
            <w:pPr>
              <w:spacing w:after="0"/>
              <w:rPr>
                <w:sz w:val="3"/>
                <w:szCs w:val="3"/>
                <w:color w:val="auto"/>
              </w:rPr>
            </w:pPr>
          </w:p>
        </w:tc>
        <w:tc>
          <w:tcPr>
            <w:tcW w:w="4800" w:type="dxa"/>
            <w:vAlign w:val="bottom"/>
            <w:gridSpan w:val="12"/>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0" w:type="dxa"/>
            <w:vAlign w:val="bottom"/>
            <w:gridSpan w:val="12"/>
            <w:vMerge w:val="continue"/>
          </w:tcPr>
          <w:p>
            <w:pPr>
              <w:spacing w:after="0"/>
              <w:rPr>
                <w:sz w:val="16"/>
                <w:szCs w:val="16"/>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1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800" w:type="dxa"/>
            <w:vAlign w:val="bottom"/>
            <w:gridSpan w:val="12"/>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Certificate of Incorporation of Zoom</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001-38865</w:t>
            </w:r>
          </w:p>
        </w:tc>
        <w:tc>
          <w:tcPr>
            <w:tcW w:w="12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3.1</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23, 2019</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08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Video Communications, Inc.</w:t>
              </w:r>
            </w:hyperlink>
          </w:p>
        </w:tc>
        <w:tc>
          <w:tcPr>
            <w:tcW w:w="2280" w:type="dxa"/>
            <w:vAlign w:val="bottom"/>
            <w:tcBorders>
              <w:top w:val="single" w:sz="8" w:color="0000FF"/>
            </w:tcBorders>
            <w:gridSpan w:val="5"/>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3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Certificate of Amendment to Certificate of Incorporation of</w:t>
              </w:r>
            </w:hyperlink>
          </w:p>
        </w:tc>
        <w:tc>
          <w:tcPr>
            <w:tcW w:w="1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001-38865</w:t>
            </w:r>
          </w:p>
        </w:tc>
        <w:tc>
          <w:tcPr>
            <w:tcW w:w="12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3.1</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25, 2024</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Zoom Communications, Inc.</w:t>
              </w:r>
            </w:hyperlink>
          </w:p>
        </w:tc>
        <w:tc>
          <w:tcPr>
            <w:tcW w:w="2220" w:type="dxa"/>
            <w:vAlign w:val="bottom"/>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800" w:type="dxa"/>
            <w:vAlign w:val="bottom"/>
            <w:gridSpan w:val="12"/>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Amended and Restated Bylaws of Zoom Communications, Inc.</w:t>
              </w:r>
            </w:hyperlink>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001-38865</w:t>
            </w:r>
          </w:p>
        </w:tc>
        <w:tc>
          <w:tcPr>
            <w:tcW w:w="12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3.2</w:t>
            </w:r>
          </w:p>
        </w:tc>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25, 2024</w:t>
            </w: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5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24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1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4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20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3"/>
          </w:tcPr>
          <w:p>
            <w:pPr>
              <w:spacing w:after="0"/>
              <w:rPr>
                <w:sz w:val="14"/>
                <w:szCs w:val="14"/>
                <w:color w:val="auto"/>
              </w:rPr>
            </w:pPr>
          </w:p>
        </w:tc>
        <w:tc>
          <w:tcPr>
            <w:tcW w:w="220" w:type="dxa"/>
            <w:vAlign w:val="bottom"/>
            <w:gridSpan w:val="4"/>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Chief Financial</w:t>
            </w:r>
          </w:p>
        </w:tc>
        <w:tc>
          <w:tcPr>
            <w:tcW w:w="380" w:type="dxa"/>
            <w:vAlign w:val="bottom"/>
            <w:gridSpan w:val="5"/>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800" w:type="dxa"/>
            <w:vAlign w:val="bottom"/>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w:t>
            </w: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46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60" w:type="dxa"/>
            <w:vAlign w:val="bottom"/>
            <w:vMerge w:val="continue"/>
          </w:tcPr>
          <w:p>
            <w:pPr>
              <w:spacing w:after="0"/>
              <w:rPr>
                <w:sz w:val="20"/>
                <w:szCs w:val="20"/>
                <w:color w:val="auto"/>
              </w:rPr>
            </w:pP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800" w:type="dxa"/>
            <w:vAlign w:val="bottom"/>
            <w:gridSpan w:val="12"/>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80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4800" w:type="dxa"/>
            <w:vAlign w:val="bottom"/>
            <w:gridSpan w:val="12"/>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180" w:right="5400" w:hanging="1154"/>
        <w:spacing w:after="0" w:line="237" w:lineRule="auto"/>
        <w:tabs>
          <w:tab w:leader="none" w:pos="11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360" w:lineRule="exact"/>
        <w:rPr>
          <w:sz w:val="20"/>
          <w:szCs w:val="20"/>
          <w:color w:val="auto"/>
        </w:rPr>
      </w:pPr>
    </w:p>
    <w:p>
      <w:pPr>
        <w:ind w:left="660" w:hanging="652"/>
        <w:spacing w:after="0" w:line="266" w:lineRule="auto"/>
        <w:tabs>
          <w:tab w:leader="none" w:pos="3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0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rPr>
              <w:t>ZOOM COMMUNICATIONS, INC.</w:t>
            </w:r>
          </w:p>
        </w:tc>
      </w:tr>
      <w:tr>
        <w:trPr>
          <w:trHeight w:val="48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31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 Yuan</w:t>
            </w:r>
          </w:p>
        </w:tc>
      </w:tr>
      <w:tr>
        <w:trPr>
          <w:trHeight w:val="218"/>
        </w:trPr>
        <w:tc>
          <w:tcPr>
            <w:tcW w:w="4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Eric S. Yuan</w:t>
            </w:r>
          </w:p>
        </w:tc>
      </w:tr>
      <w:tr>
        <w:trPr>
          <w:trHeight w:val="228"/>
        </w:trPr>
        <w:tc>
          <w:tcPr>
            <w:tcW w:w="4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4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31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Chang</w:t>
            </w:r>
          </w:p>
        </w:tc>
      </w:tr>
      <w:tr>
        <w:trPr>
          <w:trHeight w:val="218"/>
        </w:trPr>
        <w:tc>
          <w:tcPr>
            <w:tcW w:w="4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Michelle Chang</w:t>
            </w:r>
          </w:p>
        </w:tc>
      </w:tr>
      <w:tr>
        <w:trPr>
          <w:trHeight w:val="228"/>
        </w:trPr>
        <w:tc>
          <w:tcPr>
            <w:tcW w:w="4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 AND 15d-14(a) 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Communications, Inc.;</w:t>
      </w:r>
    </w:p>
    <w:p>
      <w:pPr>
        <w:spacing w:after="0" w:line="18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2117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78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7"/>
          <w:szCs w:val="17"/>
          <w:color w:val="auto"/>
        </w:rPr>
        <w:t>Eric S. Yuan</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 AND 15d-14(a) AS ADOPTED PURSUANT TO SECTION 302 OF THE SARBANES-OXLEY ACT OF 2002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Chang, certify that:</w:t>
      </w:r>
    </w:p>
    <w:p>
      <w:pPr>
        <w:spacing w:after="0" w:line="18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Communications, Inc.;</w:t>
      </w:r>
    </w:p>
    <w:p>
      <w:pPr>
        <w:spacing w:after="0" w:line="19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79"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Michelle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17145</wp:posOffset>
            </wp:positionV>
            <wp:extent cx="22117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92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color w:val="auto"/>
        </w:rPr>
        <w:t>Michelle Chang</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062"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0" w:lineRule="exact"/>
        <w:rPr>
          <w:sz w:val="20"/>
          <w:szCs w:val="20"/>
          <w:color w:val="auto"/>
        </w:rPr>
      </w:pPr>
    </w:p>
    <w:p>
      <w:pPr>
        <w:spacing w:after="0" w:line="20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Communications, Inc. for the fiscal quarter ended April 30, 2026 fully complies with the requirements of Section 13(a) or 15(d) of the Exchange Act and that information contained in such Quarterly Report on Form 10-Q fairly presents, in all material respects, the financial condition and results of operations of Zoom Communications, Inc.</w:t>
      </w:r>
    </w:p>
    <w:p>
      <w:pPr>
        <w:spacing w:after="0" w:line="252" w:lineRule="exact"/>
        <w:rPr>
          <w:sz w:val="20"/>
          <w:szCs w:val="20"/>
          <w:color w:val="auto"/>
        </w:rPr>
      </w:pPr>
    </w:p>
    <w:p>
      <w:pPr>
        <w:ind w:left="20"/>
        <w:spacing w:after="0"/>
        <w:tabs>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031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Eric S. Yuan</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8"/>
          <w:szCs w:val="18"/>
          <w:color w:val="auto"/>
        </w:rPr>
        <w:t>I, Michelle Chang, certify, pursuant to the requirement set forth in Rule 13a-14(b) of the Exchange Act and 18 U.S.C. Section 1350, as adopted pursuant to Section 906 of the Sarbanes-Oxley Act of 2002, that to the best of my knowledge, the Quarterly Report on Form 10-Q of Zoom Communications, Inc. for the fiscal quarter ended April 30, 2026 fully complies with the requirements of Section 13(a) or 15(d) of the Exchange Act and that information contained in such Quarterly Report on Form 10-Q fairly presents, in all material respects, the financial condition and results of operations of Zoom Communications, Inc.</w:t>
      </w:r>
    </w:p>
    <w:p>
      <w:pPr>
        <w:spacing w:after="0" w:line="252" w:lineRule="exact"/>
        <w:rPr>
          <w:sz w:val="20"/>
          <w:szCs w:val="20"/>
          <w:color w:val="auto"/>
        </w:rPr>
      </w:pPr>
    </w:p>
    <w:p>
      <w:pPr>
        <w:ind w:left="20"/>
        <w:spacing w:after="0"/>
        <w:tabs>
          <w:tab w:leader="none" w:pos="6720" w:val="left"/>
          <w:tab w:leader="none" w:pos="716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color w:val="auto"/>
        </w:rPr>
        <w:t>By:</w:t>
        <w:tab/>
        <w:t>/s/ Michelle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031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Michelle Chang</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6"/>
    </w:lvl>
  </w:abstractNum>
  <w:abstractNum w:abstractNumId="6">
    <w:nsid w:val="41A7C4C9"/>
    <w:multiLevelType w:val="hybridMultilevel"/>
    <w:lvl w:ilvl="0">
      <w:lvlJc w:val="left"/>
      <w:lvlText w:val="%1."/>
      <w:numFmt w:val="decimal"/>
      <w:start w:val="1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lvl w:ilvl="1">
      <w:lvlJc w:val="left"/>
      <w:lvlText w:val="%2"/>
      <w:numFmt w:val="decimal"/>
      <w:start w:val="104"/>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0" Type="http://schemas.openxmlformats.org/officeDocument/2006/relationships/hyperlink" Target="https://www.sec.gov/Archives/edgar/data/1585521/000119312519115111/d736915dex31.htm" TargetMode="External"/><Relationship Id="rId91" Type="http://schemas.openxmlformats.org/officeDocument/2006/relationships/hyperlink" Target="https://www.sec.gov/Archives/edgar/data/1585521/000158552124000257/certificateofamendmenttoce.htm" TargetMode="External"/><Relationship Id="rId92" Type="http://schemas.openxmlformats.org/officeDocument/2006/relationships/hyperlink" Target="https://www.sec.gov/Archives/edgar/data/1585521/000158552124000257/amendedandrestat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2026-05-22T15:13:00Z</dcterms:created>
  <dcterms:modified xsi:type="dcterms:W3CDTF">2026-05-22T15:13:00Z</dcterms:modified>
</cp:coreProperties>
</file>