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60" w:right="540" w:hanging="534"/>
        <w:spacing w:after="0" w:line="238"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580" w:right="500" w:hanging="534"/>
        <w:spacing w:after="0" w:line="238" w:lineRule="auto"/>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2"/>
        </w:trPr>
        <w:tc>
          <w:tcPr>
            <w:tcW w:w="3880" w:type="dxa"/>
            <w:vAlign w:val="bottom"/>
          </w:tcPr>
          <w:p>
            <w:pPr>
              <w:spacing w:after="0"/>
              <w:rPr>
                <w:sz w:val="20"/>
                <w:szCs w:val="20"/>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tc>
        <w:tc>
          <w:tcPr>
            <w:tcW w:w="3700" w:type="dxa"/>
            <w:vAlign w:val="bottom"/>
          </w:tcPr>
          <w:p>
            <w:pPr>
              <w:spacing w:after="0"/>
              <w:rPr>
                <w:sz w:val="20"/>
                <w:szCs w:val="20"/>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485"/>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Zoom Communications, Inc.</w:t>
            </w:r>
          </w:p>
        </w:tc>
      </w:tr>
      <w:tr>
        <w:trPr>
          <w:trHeight w:val="175"/>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55"/>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61-1648780</w:t>
            </w:r>
          </w:p>
        </w:tc>
      </w:tr>
      <w:tr>
        <w:trPr>
          <w:trHeight w:val="146"/>
        </w:trPr>
        <w:tc>
          <w:tcPr>
            <w:tcW w:w="3880" w:type="dxa"/>
            <w:vAlign w:val="bottom"/>
          </w:tcPr>
          <w:p>
            <w:pPr>
              <w:jc w:val="center"/>
              <w:ind w:left="159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00" w:type="dxa"/>
            <w:vAlign w:val="bottom"/>
          </w:tcPr>
          <w:p>
            <w:pPr>
              <w:jc w:val="center"/>
              <w:ind w:right="181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tc>
        <w:tc>
          <w:tcPr>
            <w:tcW w:w="3700" w:type="dxa"/>
            <w:vAlign w:val="bottom"/>
          </w:tcPr>
          <w:p>
            <w:pPr>
              <w:spacing w:after="0"/>
              <w:rPr>
                <w:sz w:val="24"/>
                <w:szCs w:val="24"/>
                <w:color w:val="auto"/>
              </w:rPr>
            </w:pPr>
          </w:p>
        </w:tc>
      </w:tr>
      <w:tr>
        <w:trPr>
          <w:trHeight w:val="212"/>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San Jose, California 95113</w:t>
            </w:r>
          </w:p>
        </w:tc>
        <w:tc>
          <w:tcPr>
            <w:tcW w:w="3700" w:type="dxa"/>
            <w:vAlign w:val="bottom"/>
          </w:tcPr>
          <w:p>
            <w:pPr>
              <w:spacing w:after="0"/>
              <w:rPr>
                <w:sz w:val="18"/>
                <w:szCs w:val="18"/>
                <w:color w:val="auto"/>
              </w:rPr>
            </w:pPr>
          </w:p>
        </w:tc>
      </w:tr>
      <w:tr>
        <w:trPr>
          <w:trHeight w:val="192"/>
        </w:trPr>
        <w:tc>
          <w:tcPr>
            <w:tcW w:w="3880" w:type="dxa"/>
            <w:vAlign w:val="bottom"/>
          </w:tcPr>
          <w:p>
            <w:pPr>
              <w:spacing w:after="0"/>
              <w:rPr>
                <w:sz w:val="16"/>
                <w:szCs w:val="16"/>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3700" w:type="dxa"/>
            <w:vAlign w:val="bottom"/>
          </w:tcPr>
          <w:p>
            <w:pPr>
              <w:spacing w:after="0"/>
              <w:rPr>
                <w:sz w:val="16"/>
                <w:szCs w:val="16"/>
                <w:color w:val="auto"/>
              </w:rPr>
            </w:pPr>
          </w:p>
        </w:tc>
      </w:tr>
      <w:tr>
        <w:trPr>
          <w:trHeight w:val="280"/>
        </w:trPr>
        <w:tc>
          <w:tcPr>
            <w:tcW w:w="3880" w:type="dxa"/>
            <w:vAlign w:val="bottom"/>
          </w:tcPr>
          <w:p>
            <w:pPr>
              <w:spacing w:after="0"/>
              <w:rPr>
                <w:sz w:val="24"/>
                <w:szCs w:val="24"/>
                <w:color w:val="auto"/>
              </w:rPr>
            </w:pPr>
          </w:p>
        </w:tc>
        <w:tc>
          <w:tcPr>
            <w:tcW w:w="2960" w:type="dxa"/>
            <w:vAlign w:val="bottom"/>
            <w:gridSpan w:val="3"/>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w w:val="99"/>
              </w:rPr>
              <w:t>(888) 799-9666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8"/>
        </w:trPr>
        <w:tc>
          <w:tcPr>
            <w:tcW w:w="3880" w:type="dxa"/>
            <w:vAlign w:val="bottom"/>
          </w:tcPr>
          <w:p>
            <w:pPr>
              <w:spacing w:after="0"/>
              <w:rPr>
                <w:sz w:val="15"/>
                <w:szCs w:val="15"/>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60"/>
        </w:trPr>
        <w:tc>
          <w:tcPr>
            <w:tcW w:w="7480" w:type="dxa"/>
            <w:vAlign w:val="bottom"/>
            <w:gridSpan w:val="6"/>
          </w:tcPr>
          <w:p>
            <w:pPr>
              <w:jc w:val="center"/>
              <w:ind w:left="361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00" w:type="dxa"/>
            <w:vAlign w:val="bottom"/>
          </w:tcPr>
          <w:p>
            <w:pPr>
              <w:spacing w:after="0"/>
              <w:rPr>
                <w:sz w:val="22"/>
                <w:szCs w:val="22"/>
                <w:color w:val="auto"/>
              </w:rPr>
            </w:pPr>
          </w:p>
        </w:tc>
      </w:tr>
      <w:tr>
        <w:trPr>
          <w:trHeight w:val="233"/>
        </w:trPr>
        <w:tc>
          <w:tcPr>
            <w:tcW w:w="3880" w:type="dxa"/>
            <w:vAlign w:val="bottom"/>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8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3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November 15, 2024, the number of shares of the registrant’s Class A common stock outstanding was 262,100,087 and the number of shares of the registrant’s Class B common stock outstanding was 44,394,844.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Zoom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October 31, 2024</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4940" w:type="dxa"/>
            <w:vAlign w:val="bottom"/>
            <w:gridSpan w:val="10"/>
            <w:vMerge w:val="restart"/>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4"/>
                <w:szCs w:val="14"/>
                <w:color w:val="auto"/>
              </w:rPr>
            </w:pPr>
          </w:p>
        </w:tc>
        <w:tc>
          <w:tcPr>
            <w:tcW w:w="3880" w:type="dxa"/>
            <w:vAlign w:val="bottom"/>
            <w:tcBorders>
              <w:bottom w:val="single" w:sz="8" w:color="0000FF"/>
            </w:tcBorders>
            <w:gridSpan w:val="15"/>
            <w:vMerge w:val="continue"/>
          </w:tcPr>
          <w:p>
            <w:pPr>
              <w:spacing w:after="0"/>
              <w:rPr>
                <w:sz w:val="14"/>
                <w:szCs w:val="14"/>
                <w:color w:val="auto"/>
              </w:rPr>
            </w:pPr>
          </w:p>
        </w:tc>
        <w:tc>
          <w:tcPr>
            <w:tcW w:w="4940" w:type="dxa"/>
            <w:vAlign w:val="bottom"/>
            <w:gridSpan w:val="10"/>
            <w:vMerge w:val="continue"/>
          </w:tcPr>
          <w:p>
            <w:pPr>
              <w:spacing w:after="0"/>
              <w:rPr>
                <w:sz w:val="14"/>
                <w:szCs w:val="14"/>
                <w:color w:val="auto"/>
              </w:rPr>
            </w:pPr>
          </w:p>
        </w:tc>
        <w:tc>
          <w:tcPr>
            <w:tcW w:w="14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00" w:type="dxa"/>
            <w:vAlign w:val="bottom"/>
            <w:gridSpan w:val="11"/>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31, 2024 and January 31,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31, 2024 and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October 31, 2024</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66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October 31, 2024 and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4"/>
              </w:rPr>
              <w:t>2023</w:t>
            </w: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7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October 31, 2024 and 2023</w:t>
            </w:r>
          </w:p>
        </w:tc>
        <w:tc>
          <w:tcPr>
            <w:tcW w:w="1080" w:type="dxa"/>
            <w:vAlign w:val="bottom"/>
            <w:gridSpan w:val="4"/>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20" w:type="dxa"/>
            <w:vAlign w:val="bottom"/>
            <w:gridSpan w:val="9"/>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60" w:type="dxa"/>
            <w:vAlign w:val="bottom"/>
            <w:gridSpan w:val="7"/>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 w:type="dxa"/>
            <w:vAlign w:val="bottom"/>
            <w:tcBorders>
              <w:top w:val="single" w:sz="8" w:color="0000FF"/>
            </w:tcBorders>
            <w:gridSpan w:val="4"/>
          </w:tcPr>
          <w:p>
            <w:pPr>
              <w:spacing w:after="0"/>
              <w:rPr>
                <w:sz w:val="22"/>
                <w:szCs w:val="22"/>
                <w:color w:val="auto"/>
              </w:rPr>
            </w:pPr>
          </w:p>
        </w:tc>
        <w:tc>
          <w:tcPr>
            <w:tcW w:w="674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8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00" w:type="dxa"/>
            <w:vAlign w:val="bottom"/>
            <w:gridSpan w:val="1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060" w:type="dxa"/>
            <w:vAlign w:val="bottom"/>
            <w:gridSpan w:val="16"/>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60" w:type="dxa"/>
            <w:vAlign w:val="bottom"/>
            <w:gridSpan w:val="2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6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8"/>
        </w:trPr>
        <w:tc>
          <w:tcPr>
            <w:tcW w:w="940" w:type="dxa"/>
            <w:vAlign w:val="bottom"/>
          </w:tcPr>
          <w:p>
            <w:pPr>
              <w:spacing w:after="0"/>
              <w:rPr>
                <w:sz w:val="24"/>
                <w:szCs w:val="24"/>
                <w:color w:val="auto"/>
              </w:rPr>
            </w:pPr>
          </w:p>
        </w:tc>
        <w:tc>
          <w:tcPr>
            <w:tcW w:w="6200" w:type="dxa"/>
            <w:vAlign w:val="bottom"/>
            <w:gridSpan w:val="19"/>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such as the launch of an enhanced version of AI Companion,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has fluctuated in prior periods, and may continue to decline in future periods.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significantly affected by changes in the economy, including any resulting effect on consumer or business spending.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increase sales to large organizations, our sales cycles have and could continue to lengthen, and we could experience greater deployment challenges.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there are no assurances we will be able to maintain or increase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respond to rapid technological changes, extend our platform or develop new features.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which makes it difficult to evaluate our prospects and future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our reputation and business or subject us to significant fines and liability.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other members of our senior management team, we may not be able to execute our business strategy.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and expanding operations outside the United States, which may subject us to increased business, regulatory, and economic risks that could harm our business.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our products, including Zoom Phone, are subject to U.S. federal and international regulation, and other products we may introduce in the future may also be subject to U.S. federal, state, or international laws, rules,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regulations. Any failure to comply with such laws, rules, and regulations could harm our business and expose us to liability.</w:t>
      </w:r>
    </w:p>
    <w:p>
      <w:pPr>
        <w:spacing w:after="0" w:line="117"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300" w:type="dxa"/>
            <w:vAlign w:val="bottom"/>
          </w:tcPr>
          <w:p>
            <w:pPr>
              <w:spacing w:after="0"/>
              <w:rPr>
                <w:sz w:val="11"/>
                <w:szCs w:val="11"/>
                <w:color w:val="auto"/>
              </w:rPr>
            </w:pPr>
          </w:p>
        </w:tc>
        <w:tc>
          <w:tcPr>
            <w:tcW w:w="1360" w:type="dxa"/>
            <w:vAlign w:val="bottom"/>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1,558,252</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6,428,214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5,404,233</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$23,724 and $32,371 as of October 31, 2024 and January 31, 2024,</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536,078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208,474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219,182</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8,532,415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7,926,219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138,724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293,704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409,222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662,177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133,477</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10,679,869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9,929,793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500,164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1,251,848</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1,762,187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81,378</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2,000,035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1,910,387</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October 31, 2024 and</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2024; 260,989,188 and 260,896,822 shares issued and outstanding as of October 31, 2024 and</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2024, respectively; 300,000,000 Class B shares authorized as of October 31, 2024 and January 31,</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2024; 45,635,091 and 46,661,531 shares issued and outstanding as of October 31, 2024 and January 31, 2024,</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5,241,088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5,228,756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3,431,653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2,789,280</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8,679,834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8,019,406</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10,679,869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9,929,793</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80" w:type="dxa"/>
            <w:vAlign w:val="bottom"/>
          </w:tcPr>
          <w:p>
            <w:pPr>
              <w:spacing w:after="0"/>
              <w:rPr>
                <w:sz w:val="16"/>
                <w:szCs w:val="16"/>
                <w:color w:val="auto"/>
              </w:rPr>
            </w:pPr>
          </w:p>
        </w:tc>
        <w:tc>
          <w:tcPr>
            <w:tcW w:w="30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3,380,767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801,494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2,579,273</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597,905</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1,170,255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2,222,524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356,749</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114,206</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140,799</w:t>
            </w: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207,050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141,212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642,373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338,630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307,529,696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302,493,182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308,443,893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299,037,999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314,191,269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310,389,905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314,514,244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306,852,190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80" w:type="dxa"/>
            <w:vAlign w:val="bottom"/>
          </w:tcPr>
          <w:p>
            <w:pPr>
              <w:spacing w:after="0"/>
              <w:rPr>
                <w:sz w:val="16"/>
                <w:szCs w:val="16"/>
                <w:color w:val="auto"/>
              </w:rPr>
            </w:pPr>
          </w:p>
        </w:tc>
        <w:tc>
          <w:tcPr>
            <w:tcW w:w="298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338,630</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6"/>
        </w:trPr>
        <w:tc>
          <w:tcPr>
            <w:tcW w:w="4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available-for-sale marketable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43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securities, net of income tax expense of $1,410 and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432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$2,892 for the three months ended October 31, 2024 and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6"/>
        </w:trPr>
        <w:tc>
          <w:tcPr>
            <w:tcW w:w="4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2023, respectively, and $1,756 and $7,013 for the nine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months ended October 31, 2024 and 2023, respectively</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648,097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361,906</w:t>
            </w:r>
          </w:p>
        </w:tc>
      </w:tr>
      <w:tr>
        <w:trPr>
          <w:trHeight w:val="20"/>
        </w:trPr>
        <w:tc>
          <w:tcPr>
            <w:tcW w:w="4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307,995,624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5,298,145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3,224,603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8,525,247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(4,377,296)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(301,618)</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242,662</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207,050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306,624,279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5,241,088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3,431,653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8,679,834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300,956,027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4,689,521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2,349,236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7,002,352</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259,589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141,212</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304,337,965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7,413,401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307,558,353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2,789,280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8,019,406</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(739,311)</w:t>
            </w: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713,627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642,373</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31,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306,624,279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3,431,653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8,679,834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293,822,850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2,151,818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6,206,607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1,214,532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804,039</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23,276</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338,630</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October 31,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304,337,965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4,949,757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2,490,448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338,630</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802,788</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203,908</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77,179</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20,056</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on strategic investments, net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(8,474)</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29,062</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foreign exchange losses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23,281</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discount/premium on marketable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71,993</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(124,455)</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(146,354)</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(16,931)</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1,520,742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1,247,611</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(3,702,166)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(2,963,597)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2,690,418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2,358,078</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(108,413)</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(52,800)</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strategic investments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107,244</w:t>
            </w:r>
          </w:p>
        </w:tc>
      </w:tr>
      <w:tr>
        <w:trPr>
          <w:trHeight w:val="196"/>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net of cash acquired</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(204,918)</w:t>
            </w:r>
          </w:p>
        </w:tc>
      </w:tr>
      <w:tr>
        <w:trPr>
          <w:trHeight w:val="203"/>
        </w:trPr>
        <w:tc>
          <w:tcPr>
            <w:tcW w:w="816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(1,101,138)</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(864,406)</w:t>
            </w:r>
          </w:p>
        </w:tc>
      </w:tr>
      <w:tr>
        <w:trPr>
          <w:trHeight w:val="19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for employee stock purchase plan</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32,513</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employee equity transactions to be remitted to employees and tax authorities,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r>
      <w:tr>
        <w:trPr>
          <w:trHeight w:val="196"/>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Cash paid for repurchases of common stock</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(739,311)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(699,106)</w:t>
            </w: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35,952</w:t>
            </w:r>
          </w:p>
        </w:tc>
      </w:tr>
      <w:tr>
        <w:trPr>
          <w:trHeight w:val="19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(21,273)</w:t>
            </w:r>
          </w:p>
        </w:tc>
      </w:tr>
      <w:tr>
        <w:trPr>
          <w:trHeight w:val="20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397,884</w:t>
            </w:r>
          </w:p>
        </w:tc>
      </w:tr>
      <w:tr>
        <w:trPr>
          <w:trHeight w:val="19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1,565,380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1,100,243</w:t>
            </w: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1,498,127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1"/>
        </w:trPr>
        <w:tc>
          <w:tcPr>
            <w:tcW w:w="8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37"/>
        </w:trPr>
        <w:tc>
          <w:tcPr>
            <w:tcW w:w="81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 shown</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the condensed consolidated statements of cash flows above: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1,273,823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1,492,910</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r>
      <w:tr>
        <w:trPr>
          <w:trHeight w:val="196"/>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noncurrent included in other assets, noncurrent</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21"/>
        </w:trPr>
        <w:tc>
          <w:tcPr>
            <w:tcW w:w="8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1,282,858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1,498,127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On November 25, 2024, we changed our corporate name from Zoom Video Communications, Inc. to Zoom Communications, Inc. Zoom Communications, Inc. and its subsidiaries (collectively, “Zoom,” the “Company,” “we,” “us,” or “our”) provide a workplace collaboration platform that connects people through frictionless and secure meetings, phone, chat, content sharing and more. We were incorporated in the state of Delaware in April 2011, and are headquartered in San Jose, California.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2025, for example, refer to the fiscal year ending January 31, 2025.</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Communications, Inc., its subsidiaries, and variable interest entities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2024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2024, filed with the SEC on March 4, 2024.</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2024, filed with the SEC on March 4, 2024. Except for an update to our stock-based compensation policy covering our fiscal year 2025 grants of restricted stock units (“RSUs”) that contain both service and performance conditions as noted below, there have been no significant changes to these policies during the nine months ended October 31, 2024.</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related to stock awards with only service conditions, including stock options, RSUs, and shares issued pursuant to our employee stock purchase plan (“ESPP”), are measured based on the fair value of the awards granted and recognized as an expense on a straight-line basis over the requisite service period. For RSUs with service and performance conditions, expense is recognized over the requisite service period if it is probable the performance condition will be achieved. The probability of achievement is assessed quarterly, and the effect of any change in the estimated number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performance-based awards expected to vest is recognized in the period in which those estimates are revised as a cumulative catch-up adjustment to stock-based compensation expense.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each RSU award is based on the fair value of the underlying common stock as of the grant date.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aims to improve financial reporting by requiring disclosure of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This ASU will likely result in us including the additional required disclosures when adopted. We are currently evaluating the impact from the adoption of this ASU on our consolidated financial statements and will adopt it for the year ending January 31, 2025.</w:t>
      </w:r>
    </w:p>
    <w:p>
      <w:pPr>
        <w:spacing w:after="0" w:line="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aims to improve the disclosures about a public business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by requiring more detailed information about the types of expenses in commonly presented expense captions. ASU 2024-03 is effective for fiscal years beginning after December 15, 2026 and early adoption is permitted. We are currently evaluating the impact from the adoption of this ASU on our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434"/>
        </w:trPr>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846,289</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2,500,700</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2,407,333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33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144,339</w:t>
            </w:r>
          </w:p>
        </w:tc>
        <w:tc>
          <w:tcPr>
            <w:tcW w:w="132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143,917</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424,968</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429,703</w:t>
            </w:r>
          </w:p>
        </w:tc>
        <w:tc>
          <w:tcPr>
            <w:tcW w:w="13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3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and Africa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186,913</w:t>
            </w:r>
          </w:p>
        </w:tc>
        <w:tc>
          <w:tcPr>
            <w:tcW w:w="132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178,499</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555,627</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543,731</w:t>
            </w:r>
          </w:p>
        </w:tc>
        <w:tc>
          <w:tcPr>
            <w:tcW w:w="13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1,177,541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1,136,727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3,481,295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3,380,767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$122.6 million and $124.8 million as of October 31, 2024 and January 31, 2024, respectively, and the amount of unbilled accounts receivable included within other assets, noncurrent was immaterial as of October 31, 2024 and January 31, 2024.</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October 31, 2024 and 2023 that was included in deferred revenue at the beginning of each period was $626.5 million and $600.8 million, respectively, and $1,165.9 million and $1,159.6 million during the nine months ended October 31, 2024 and 2023,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October 31, 2024, the aggregate amount of the transaction price allocated to our remaining performance obligations was $3,740.7 million, which consists of both billed consideration in the amount of $1,379.0 million and unbilled consideration in the amount of $2,361.7 million that we expect to recognize as revenue. We expect to recognize 61% of our remaining performance obligations as revenue over the next 12 months and the remainder thereafter.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Investments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2024 and January 31, 2024, our marketable securities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1,414,848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4,104,053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168,605</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6,420,007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6,428,214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1,666,683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663,159</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3,004,842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5,403,503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5,404,233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Unrealized losses for securities that have been in an unrealized loss position for less than 12 months were $6.6 million and $6.0 million as of October 31, 2024 and January 31, 2024, respectively. Unrealized losses for securities that have been in an unrealized loss position for 12 months or longer were $0.5 million and $4.8 million as of October 31, 2024 and January 31, 2024,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nine months ended October 31, 2024 and 2023.</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October 31, 2024 and January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4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3,462,229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2,965,985</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6,428,214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5,404,233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October 31,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440,216</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January 31,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405,394</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774,293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774,293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6,428,214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6,428,214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5480" w:type="dxa"/>
            <w:vAlign w:val="bottom"/>
          </w:tcPr>
          <w:p>
            <w:pPr>
              <w:spacing w:after="0"/>
              <w:rPr>
                <w:sz w:val="24"/>
                <w:szCs w:val="24"/>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974,599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851,100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5,404,233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5,404,233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6,406,074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874,260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5,527,986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Workvivo Limited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date of the acquisition, the developed technology and customer relationships both had an estimated useful life of 5.0 years, and both are amortized using the straight-line method over their respective estimated useful lives. Amortization of developed technology and customer relationships is recorded within cost of revenue and sales and marketing expense, respectively, within the condensed consolidated statements of operations. As of October 31, 2024, the developed technology and customer relationships both had a remaining useful life of 3.5 years.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left="500" w:right="8820" w:hanging="492"/>
        <w:spacing w:after="0" w:line="378" w:lineRule="auto"/>
        <w:tabs>
          <w:tab w:leader="none" w:pos="32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Accounts Receivable, Net</w:t>
      </w: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19"/>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536,078</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rollforward of our allowance for credit losses for the nine months ended October 31, 2024 and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w:t>
            </w:r>
          </w:p>
        </w:tc>
        <w:tc>
          <w:tcPr>
            <w:tcW w:w="512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25,916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6"/>
              </w:rPr>
              <w:t>24,900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19,505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6"/>
              </w:rPr>
              <w:t>39,397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4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rPr>
              <w:t>(30,968)</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w:t>
            </w:r>
          </w:p>
        </w:tc>
        <w:tc>
          <w:tcPr>
            <w:tcW w:w="414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20,171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6"/>
              </w:rPr>
              <w:t>33,329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14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219,182</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530,021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(236,317)</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293,704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$28.9 million and $23.5 million for the three months ended October 31, 2024 and 2023, respectively, and $77.9 million and $68.1 million for the nine months ended October 31, 2024 and 2023, respectively.</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3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noncurrent</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noncurrent</w:t>
            </w:r>
          </w:p>
        </w:tc>
        <w:tc>
          <w:tcPr>
            <w:tcW w:w="3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500,164</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2024, we had outstanding non-cancelable purchase obligations with a term of 12 months or longer of approximately $75.4 million in addition to the amount disclosed in our Annual Report on Form 10-K for the year ended January 31, 2024 filed with the SEC on March 4, 2024, mainly related to third-party software services.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reputational harm. During the three months ended October 31, 2024, we recorded an $18.0 million accrual with respect to a tentative settlement offer for the SEC matter that remains subject to SEC approval. We do not know when these matters will be completed, including the SEC matter, which facts we will ultimately discover as a result of the investigations, or what actions the government may or may not take. We are unable to predict the ultimate outcome of these matters and are unable to reasonably estimate any range of possible loss beyond the $18.0 million settlement offer for the SEC matter.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October 18, 2023, defendants filed their motion to dismiss the amended complaint. On December 22, 2023, plaintiff filed her opposition to the motion to dismiss, and on January 26, 2024, defendants filed their reply in support of the motion to dismiss.</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vigorously defending ourselves against these lawsuits. Given the uncertainty of litigation and the legal standards that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was held on June 13, 2024. As a result of the settlement, we made net payments of $60.0 million ($150.0 million for the settlement net of $90.0 million covered by insurance) during the fiscal year ended January 31, 2024, of which $7.5 million had been accrued during the year ended January 31, 2023 and $52.5 million was recorded as a general and administrative expense in our consolidated statement of operations for the fiscal year ended January 31, 2024.</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2024, we repurchased and subsequently retired 4,377,296 and 11,606,691 shares of our Class A common stock, respectively, for an aggregate amount of $301.6 million and $739.3 million, respectively. As of October 31, 2024, $760.7 million of the February 2024 repurchase authorization remained available.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two equity incentive plans: the 2011 Global Share Plan (“2011 Plan”) and the 2019 Equity Incentive Plan (“2019 Plan”). All shares that remain available for future grants are under the 2019 Plan.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3,314,228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189,921</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October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2,822,907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2024, all options have vested and there is no unrecognized stock-based compensation expense remaining.</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RSU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6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7860" w:type="dxa"/>
            <w:vAlign w:val="bottom"/>
          </w:tcPr>
          <w:p>
            <w:pPr>
              <w:spacing w:after="0"/>
              <w:rPr>
                <w:sz w:val="11"/>
                <w:szCs w:val="11"/>
                <w:color w:val="auto"/>
              </w:rPr>
            </w:pPr>
          </w:p>
        </w:tc>
        <w:tc>
          <w:tcPr>
            <w:tcW w:w="16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2024</w:t>
            </w:r>
          </w:p>
        </w:tc>
        <w:tc>
          <w:tcPr>
            <w:tcW w:w="16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26,040,557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11,373,214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(9,521,433)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(2,968,603)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October 31, 2024</w:t>
            </w:r>
          </w:p>
        </w:tc>
        <w:tc>
          <w:tcPr>
            <w:tcW w:w="16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24,923,735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2024, unrecognized stock-based compensation expense related to RSUs was $1,584.8 million, which is expected to be recognized over a weighted-average period of 2.5 years.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31, 2024, we granted 1.7 million RSUs that contain both service and performance vesting criteria. The ultimate number of shares eligible to vest pursuant to these RSUs range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April 2019, we adopted the 2019 ESPP. As of October 31, 2024, unrecognized stock-based compensation expense related to the ESPP was $38.6 million, which is expected to be recognized over a weighted-average period of 1.4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4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40" w:type="dxa"/>
            <w:vAlign w:val="bottom"/>
          </w:tcPr>
          <w:p>
            <w:pPr>
              <w:spacing w:after="0"/>
              <w:rPr>
                <w:sz w:val="16"/>
                <w:szCs w:val="16"/>
                <w:color w:val="auto"/>
              </w:rPr>
            </w:pPr>
          </w:p>
        </w:tc>
        <w:tc>
          <w:tcPr>
            <w:tcW w:w="28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35"/>
        </w:trPr>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250,165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293,104</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802,788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(147,089)</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stock-based compensation expense recorded to net</w:t>
            </w:r>
          </w:p>
        </w:tc>
        <w:tc>
          <w:tcPr>
            <w:tcW w:w="980" w:type="dxa"/>
            <w:vAlign w:val="bottom"/>
            <w:vMerge w:val="restart"/>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196,716</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210,288</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576,875</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655,699</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Restructuring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7, 2023, we announced a restructuring plan (the “Plan”) intended to reduce operating costs and continue advancing our ongoing commitment to profitable growth. The Plan included a reduction of our then-current workforce by approximately 15%. The execution of the Plan was completed as of July 31, 2023, and therefore no restructuring expense was recorded for the nine months ended October 31, 2024 or the three months ended October 31, 2023.</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nine months ended October 31, 2023, we recorded net restructuring costs of $73.0 million, which consisted of $54.4 million related to employee transition, severance payments, and employee benefits; $17.3 million related to stock-based compensation awards; and $1.3 million for other related expenses.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expenses that were recorded as an operating expense in the condensed consolidated statement of operations for the nine months ended October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9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196"/>
        </w:trPr>
        <w:tc>
          <w:tcPr>
            <w:tcW w:w="9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19,629</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restructuring liability as of October 31, 2024 or January 31, 2024.</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provision for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0" w:type="dxa"/>
            <w:vAlign w:val="bottom"/>
          </w:tcPr>
          <w:p>
            <w:pPr>
              <w:spacing w:after="0"/>
              <w:rPr>
                <w:sz w:val="16"/>
                <w:szCs w:val="16"/>
                <w:color w:val="auto"/>
              </w:rPr>
            </w:pPr>
          </w:p>
        </w:tc>
        <w:tc>
          <w:tcPr>
            <w:tcW w:w="31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280,412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185,826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865,265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479,429</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44,614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222,892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140,799</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year-over-year change in effective tax rate for the three and nine months ended October 31, 2024 was due primarily to the changes in income before taxes and a decrease in net tax shortfalls and windfalls on stock-based compensation. For both the three and nine months ended October 31, 2024 and October 31, 2023, the effective tax rate differed from the U.S. federal statutory rate due primarily to the foreign-derived intangible income deduction and research credits offset by tax shortfalls on stock-based compensation, state income taxes, and other compensation-related permanent differences.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4"/>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12"/>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544,814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52,852</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Reallocation of net income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541,068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261,741,448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45,788,248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255,832,539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46,660,643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261,599,394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46,844,499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252,365,545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46,672,454</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per share, basic</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265,777,344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48,413,925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260,488,614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49,901,291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264,913,871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49,600,373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256,573,508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50,278,682</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per share, diluted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Net income per share,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9"/>
                <w:szCs w:val="9"/>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for the periods presented, because including them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13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2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4,807,914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10,000,405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rights committed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1,267,606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1,573,013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1,581,479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1,996,477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6,171,686</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9,544,793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11,680,354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11,453,915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405,156 shares of issued Class A common stock held by us as of October 31, 2024 and 2023 that are reserved for the sole purpose of being transferred to nonprofit organizations.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from the balance sheet date through November 26, 2024, the date at which the condensed consolidated financial statements were available to be issued.</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authorization is in addition to the amount remaining under the prior authorization for the share repurchase program. As of November 26, 2024, approximately $2.0 billion of the total repurchase authorizations remained available.</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November 25, 2024, we changed our corporate name from Zoom Video Communications, Inc. to Zoom Communications, Inc.</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mission is to provide an AI-first work platform for human connection. Our culture of delivering happiness drives our mission and values and is fundamental to everything we do at Zoom.</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Zoom Workplace with AI Companion, which includes collaboration solutions such as meetings, team chat, phone, scheduler, docs, whiteboard, spaces, Workvivo, and more, empowers teams to work happy. Together with Zoom Workplace, Zoom’s Business Services for sales, marketing, and customer care teams, including Zoom Contact Center, strengthen customer relationships throughout the customer lifecycle. Trust is a cornerstone of the Zoom platform. We equip users with a comprehensive set of tools to make their interactions safe, secure, and private. We believe that strong security should never compromise a great user experience.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AI has been core to Zoom’s product DNA for many years, grounded in our conviction that AI can strengthen collaboration, productivity, and inclusivity. We continue to invest in AI and focus on three key areas regarding AI innovation: supporting individual productivity, powering better collaboration, and helping customer-facing teams delight their customers. We launched Zoom AI Companion, our generative AI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into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face-to-face communications build greater empathy and trust. We strive to live up to the trust our customers place in us by delivering a communications solution while prioritizing their privacy and security. Our 32 co-located data centers worldwide and the public cloud, in conjunction with our proprietary adaptive rate codec, enable us to provide both high-quality and high-definition real-time video to our customers, even in low-bandwidth environments.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generate revenue from the sale of subscriptions to Zoom Workplace and Zoom Business Services. Subscription revenue is driven primarily by the number of customers, as well as purchases of additional products, including Zoom Phone, Zoom Spaces, Zoom Scheduler, Zoom Events, Zoom Sessions, Zoom Webinars, Zoom Contact Center, and Zoom Revenue Accelerator. We define a customer as a separate and distinct buying entity, which can be a single paid user or an organization of any size (including a distinct unit of an organization) that has multiple users. Our Zoom Workplace Basic offering is free and gives users access to Zoom Meetings with core features but with the limitation that meetings time-out at 40 minutes. Our core paid offerings are available with our Zoom Workplace bundles: Zoom Workplace Pro, Business, Business Plus, Enterprise, Enterprise Plus, and Enterprise Premier. The Zoom Workplace bundles are designed for different business needs and are composed of Zoom Meetings, Zoom Team Chat, Zoom Whiteboard, Zoom Mail and Calendar, Zoom Clips, Workflow Automation, Zoom Docs, and soon Zoom Tasks, as well as Zoom Phone, Zoom Webinars and Zoom Rooms for our Enterprise plans. We also offer vertical-specific plans for Education, Healthcare, Government, and Frontline Workers which provide incremental features and functionality, such as different participant limits, administrative controls, and reporting.</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five specific markets (Australia/New Zealand, Japan, United Kingdom/Ireland, and United States/Canada and recently announced Zoom Phone service with native India phone numbers in the Maharashtra Telecom Circle). In addition, we offer a Global Select plan that allows customers to select from local numbers and domestic calling in more than 45 countries and territories where Zoom has local public switched telephone network (“PSTN”) coverage.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$1,177.5 million and $1,136.7 million for the three months ended October 31, 2024 and 2023, respectively, representing period-over-period growth of 3.6%. We had net income of $207.1 million and $141.2 million for the three months ended October 31, 2024 and 2023, respectively. Our revenue was $3,481.3 million and $3,380.8 million for the nine months ended October 31, 2024 and 2023, respectively, representing period-over-period growth of 3.0%. We had net income of $642.4 million and $338.6 million for the nine months ended October 31, 2024 and 2023, respectively. Net cash provided by operating activities was $1,520.7 million and $1,247.6 million for the nine months ended October 31,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Macroeconomic factors, including geopolitical conflicts, global economic slowdown, high inflation, high interest rates, and the responses by central banking authorities, and fluctuations in foreign currency exchange rates, have introduced uncertainty to our business. For the three and nine months ended October 31, 2024, compared to the three and nine months ended October 31, 2023, we continued to experience growth in total revenue and revenue from Enterprise customers. However, macroeconomic conditions have impacted and may continue to impact the future demand for subscriptions to our unified communications and collaboration platform. For example, we have been experiencing elongated sales cycles as well as a decrease in customers’ overall corporate spending and increased scrutiny on IT spending, in particular, from existing and potential customers. Many factors have and may contribute to declines in our growth rate as compared to prior fiscal years, including, among other things, higher market penetration, increased competition, slowing demand for our platform, a slower than anticipated capitalization on growth opportunities, and the maturation of our business.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Refer to “Part II—Other Information, Item 1A. Risk Factors” of this Quarterly Report on Form 10-Q for further discussions of the potential impacts of the current macroeconomic conditions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Enterprise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Historically, customers have increased the size of their subscriptions as they have expanded their use of our platform across their operations. Despite recent macroeconomic headwinds that have impacted the rate of expansion and have caused our net dollar expansion rate for Enterprise customers to drop below one hundred percent,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Spaces, Scheduler, Contact Center, Revenue Accelerator, Events, Sessions, Webinars, and our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59.4% and 58.1% of total revenue for the three months ended October 31, 2024 and 2023, respectively, and 58.8% and 57.7% of total revenue for the nine months ended October 31, 2024 and 2023, respectively. Our net dollar expansion rate includes the increase in user adoption within our Enterprise customers, as our subscription revenue is primarily driven by the number of paid users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October 31, 2024 and 2023 was 98% and 105%, respectively.</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Retention of Online Customers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Enterprise customers, we also have a significant number of customers that subscribe to our services directly through our website (“Online customers” or “Online business”). Online customers represent a diverse customer base, ranging from individual users to small and medium size businesses. We continue to focus on acquisition and retention of our Online customers through various strategies to improve the features and functionalities of our products and services. Revenue from Online customers represented 40.6% and 41.9% of total revenue for the three months ended October 31, 2024 and 2023, respectively, and 41.2% and 42.3% of total revenue for the nine months ended October 31, 2024 and 2023, respectively. Our ability to retain these Online customers will have an impact on our future revenue. The online monthly average churn for our Online customers was 2.7% and 3.0% per month for the three months ended October 31, 2024 and 2023, respectively, and 3.0% and 3.1% of total revenue for the nine months ended October 31, 2024 and 2023, respectively. One of the dynamics in the Online business is the MRR contribution from customers that have retained Zoom services for a certain portion of time as these customers tend to maintain their subscriptions and contribute meaningfully to the Online business. As of October 31, 2024 and 2023, the percentage of total Online MRR from Online customers with a continual term of service of at least 16 months was 74.1% and 73.2%, respectively.</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divided that amount by three to calculate the Online average monthly churn for the applicable quarter.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Zoom Workplace and Zoom Business Services. For example, we have introduced a number of new products and enhancements, including Zoom AI Companion, Zoom Docs, new features for Zoom Contact Center, Zoom Notes, the integration of Workvivo into the Zoom desktop client, and ongoing enhancements for Zoom Phone, Meetings, Zoom Rooms, Sessions, Webinars, and Events. We also deliver Zoom Phone calling plans in more than 45 countries and territories as of October 31, 2024.</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recently announced several upcoming products, including the launch of an enhanced version of AI Companion designed to handle complex tasks across our platform using information from multiple sources, including third-party applications.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 end-to-end encryption (“E2EE”) option is available to free and paid Zoom customers globally who host meetings with up to 1,000 participants as well as on Zoom Phone for one-on-one calls on the same Zoom account. Zoom’s E2EE uses the same 256-bit AES-GCM encryption to encrypt real-time media in meetings during transit that supports standard Zoom Meetings, but with Zoom’s E2EE, the feature is designed so that the device of the meeting host, or originating caller in the case of Zoom Phone, as opposed to Zoom's servers, generates encryption keys and uses public key cryptography to distribute these keys to the other meeting participants or call recipient. Additionally, Zoom recently announced that post-quantum E2EE is now globally available for Zoom Workplace, specifically for Zoom Meetings and Zoom Phone, with support for Zoom Rooms coming soon. We believe that the launch of the new security enhancement makes Zoom the first UCaaS company to offer a post-quantum E2EE solution for video conferencing.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Opportunity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addresses the communications and collaboration needs of users worldwide, and we see international expansion as a major opportunity. Our revenue from the rest of the world (APAC and EMEA) represented 28.1% and 28.4% of our total revenue for the three months ended October 31, 2024 and 2023, respectively, and 28.2% and 28.8% of our total revenue for the nine months ended October 31, 2024 and 2023,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Number of Enterprise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revenue from Enterprise customers to represent a larger share of our business. As of October 31, 2024 and 2023, we had approximately 192,400 and 219,700 Enterprise customers, respectively. During the three months ended April 30, 2024, in order to enhance customer experience and improve efficiency, we transitioned approximately 26,800 Enterprise customers with lower MRR away from working with direct sales teams, resellers, or strategic partners. These customers are now considered Online customers and no longer included in our Enterprise customer total as of October 31, 2024. The impact of this transition did not have a material impact on the percent of revenue from Enterprise and Online customers, net dollar expansion rate, or Online average monthly churn.</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30.8% and 29.0% of total revenue for the three months ended October 31, 2024 and 2023, respectively, and 30.7% and 29.0% of total revenue for the nine months ended October 31, 2024 and 2023, respectively. As of October 31, 2024 and 2023, we had 3,995 and 3,731 customers, respectively, that contributed more than $100,000 of trailing 12 months revenue, demonstrating our increasing penetration of larger organizations, including enterprises. These customers are a subset of Enterprise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is a non-GAAP financial measure that is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1,247,611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(108,413)</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1,392,516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1,139,198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(1,101,138)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(864,406)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Strategic Investments,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Gains (losses) on strategic investments, net consist primarily of remeasurement gains on our equity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net accretion on our marketable securities and effect of changes in foreign currency exchange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40" w:type="dxa"/>
            <w:vAlign w:val="bottom"/>
          </w:tcPr>
          <w:p>
            <w:pPr>
              <w:spacing w:after="0"/>
              <w:rPr>
                <w:sz w:val="16"/>
                <w:szCs w:val="16"/>
                <w:color w:val="auto"/>
              </w:rPr>
            </w:pPr>
          </w:p>
        </w:tc>
        <w:tc>
          <w:tcPr>
            <w:tcW w:w="28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1,136,727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3,380,767</w:t>
            </w:r>
          </w:p>
        </w:tc>
      </w:tr>
      <w:tr>
        <w:trPr>
          <w:trHeight w:val="229"/>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801,494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2,579,273</w:t>
            </w: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597,905</w:t>
            </w:r>
          </w:p>
        </w:tc>
      </w:tr>
      <w:tr>
        <w:trPr>
          <w:trHeight w:val="229"/>
        </w:trPr>
        <w:tc>
          <w:tcPr>
            <w:tcW w:w="44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374,378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1,170,255</w:t>
            </w: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454,364</w:t>
            </w:r>
          </w:p>
        </w:tc>
      </w:tr>
      <w:tr>
        <w:trPr>
          <w:trHeight w:val="223"/>
        </w:trPr>
        <w:tc>
          <w:tcPr>
            <w:tcW w:w="4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696,350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2,222,524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114,206</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479,429</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140,799</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207,050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141,212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338,630</w:t>
            </w:r>
          </w:p>
        </w:tc>
      </w:tr>
      <w:tr>
        <w:trPr>
          <w:trHeight w:val="21"/>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30,439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35,514</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93,313</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111,138</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89,836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250,165</w:t>
            </w:r>
          </w:p>
        </w:tc>
      </w:tr>
      <w:tr>
        <w:trPr>
          <w:trHeight w:val="230"/>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80,738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86,593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242,197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293,104</w:t>
            </w:r>
          </w:p>
        </w:tc>
      </w:tr>
      <w:tr>
        <w:trPr>
          <w:trHeight w:val="229"/>
        </w:trPr>
        <w:tc>
          <w:tcPr>
            <w:tcW w:w="44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39,982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50,165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148,381</w:t>
            </w:r>
          </w:p>
        </w:tc>
      </w:tr>
      <w:tr>
        <w:trPr>
          <w:trHeight w:val="248"/>
        </w:trPr>
        <w:tc>
          <w:tcPr>
            <w:tcW w:w="44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240,995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258,934</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708,370</w:t>
            </w: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802,788</w:t>
            </w: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gridSpan w:val="2"/>
          </w:tcPr>
          <w:p>
            <w:pPr>
              <w:spacing w:after="0" w:line="20" w:lineRule="exact"/>
              <w:rPr>
                <w:sz w:val="1"/>
                <w:szCs w:val="1"/>
                <w:color w:val="auto"/>
              </w:rPr>
            </w:pPr>
          </w:p>
        </w:tc>
      </w:tr>
      <w:tr>
        <w:trPr>
          <w:trHeight w:val="598"/>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10"/>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60" w:type="dxa"/>
            <w:vAlign w:val="bottom"/>
          </w:tcPr>
          <w:p>
            <w:pPr>
              <w:spacing w:after="0"/>
              <w:rPr>
                <w:sz w:val="24"/>
                <w:szCs w:val="24"/>
                <w:color w:val="auto"/>
              </w:rPr>
            </w:pPr>
          </w:p>
        </w:tc>
        <w:tc>
          <w:tcPr>
            <w:tcW w:w="3020" w:type="dxa"/>
            <w:vAlign w:val="bottom"/>
            <w:gridSpan w:val="6"/>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76.3</w:t>
            </w: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4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65.7</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1,177,541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1,136,727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for the three months ended October 31, 2024, increased by $40.8 million, or 3.6%, compared to the three months ended October 31, 2023. The </w:t>
      </w:r>
      <w:r>
        <w:rPr>
          <w:rFonts w:ascii="Times New Roman" w:cs="Times New Roman" w:eastAsia="Times New Roman" w:hAnsi="Times New Roman"/>
          <w:sz w:val="18"/>
          <w:szCs w:val="18"/>
          <w:color w:val="000000"/>
        </w:rPr>
        <w:t>increase was driven by a 5.8% increase in revenue from Enterprise customers, of which 46.7% and 53.3% were from existing and new customers,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 Revenue from Online customers remained flat year over year.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4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w:t>
            </w:r>
          </w:p>
        </w:tc>
        <w:tc>
          <w:tcPr>
            <w:tcW w:w="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270,988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865,739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Cost of revenue for the three months ended October 31, 2024, increased by $12.9 million, or 4.8%, compared to the three months ended October 31, 2023. The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$17.5 million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in hosting and infrastructure costs, partially offset by a $5.1 million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31F20"/>
        </w:rPr>
        <w:t xml:space="preserve"> in stock-based compensation. The increase in hosting costs was due to the increased use of AI functionality along with investments to upgrade our data center backbone.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75.9% for the three months ended </w:t>
      </w:r>
      <w:r>
        <w:rPr>
          <w:rFonts w:ascii="Times New Roman" w:cs="Times New Roman" w:eastAsia="Times New Roman" w:hAnsi="Times New Roman"/>
          <w:sz w:val="18"/>
          <w:szCs w:val="18"/>
          <w:color w:val="231F20"/>
        </w:rPr>
        <w:t>October 31, 2024, from</w:t>
      </w:r>
      <w:r>
        <w:rPr>
          <w:rFonts w:ascii="Times New Roman" w:cs="Times New Roman" w:eastAsia="Times New Roman" w:hAnsi="Times New Roman"/>
          <w:sz w:val="18"/>
          <w:szCs w:val="18"/>
          <w:color w:val="auto"/>
        </w:rPr>
        <w:t xml:space="preserve"> 76.2% for the three months ended </w:t>
      </w:r>
      <w:r>
        <w:rPr>
          <w:rFonts w:ascii="Times New Roman" w:cs="Times New Roman" w:eastAsia="Times New Roman" w:hAnsi="Times New Roman"/>
          <w:sz w:val="18"/>
          <w:szCs w:val="18"/>
          <w:color w:val="231F20"/>
        </w:rPr>
        <w:t>October 31, 2023.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decrease in gross margin was mainly due to costs associated with the </w:t>
      </w:r>
      <w:r>
        <w:rPr>
          <w:rFonts w:ascii="Times New Roman" w:cs="Times New Roman" w:eastAsia="Times New Roman" w:hAnsi="Times New Roman"/>
          <w:sz w:val="18"/>
          <w:szCs w:val="18"/>
          <w:color w:val="000000"/>
        </w:rPr>
        <w:t>increased use of</w:t>
      </w:r>
      <w:r>
        <w:rPr>
          <w:rFonts w:ascii="Times New Roman" w:cs="Times New Roman" w:eastAsia="Times New Roman" w:hAnsi="Times New Roman"/>
          <w:sz w:val="18"/>
          <w:szCs w:val="18"/>
          <w:color w:val="231F20"/>
        </w:rPr>
        <w:t xml:space="preserve"> AI functionality along with investments to upgrade our data center backbone.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222,980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October 31, 2024 increased by $26.1 million, or 13.3%, compared to the three months ended October 31, 2023. The increase was primarily driven by our continued investments in AI-first innovation, which includes a $16.5 million </w:t>
      </w:r>
      <w:r>
        <w:rPr>
          <w:rFonts w:ascii="Times New Roman" w:cs="Times New Roman" w:eastAsia="Times New Roman" w:hAnsi="Times New Roman"/>
          <w:sz w:val="18"/>
          <w:szCs w:val="18"/>
          <w:color w:val="000000"/>
        </w:rPr>
        <w:t xml:space="preserve">increase </w:t>
      </w:r>
      <w:r>
        <w:rPr>
          <w:rFonts w:ascii="Times New Roman" w:cs="Times New Roman" w:eastAsia="Times New Roman" w:hAnsi="Times New Roman"/>
          <w:sz w:val="18"/>
          <w:szCs w:val="18"/>
          <w:color w:val="231F20"/>
        </w:rPr>
        <w:t>in personnel-related expenses as a result of increased headcount. The remaining increase was due to costs from AI-related software and facilities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used in development.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361,703</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374,378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October 31, 2024, decreased by $12.7 million, or 3.4%, compared to the three months ended October 31, 2023. The decrease was primarily due to a </w:t>
      </w:r>
      <w:r>
        <w:rPr>
          <w:rFonts w:ascii="Times New Roman" w:cs="Times New Roman" w:eastAsia="Times New Roman" w:hAnsi="Times New Roman"/>
          <w:sz w:val="18"/>
          <w:szCs w:val="18"/>
          <w:color w:val="000000"/>
        </w:rPr>
        <w:t>$13.2 million decrease in marketing spend.</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126,137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October 31, 2024, increased by $1.0 million, or 0.8%, compared to the three months ended October 31, 2023. The increase was primarily due to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$18.3 million </w:t>
      </w:r>
      <w:r>
        <w:rPr>
          <w:rFonts w:ascii="Times New Roman" w:cs="Times New Roman" w:eastAsia="Times New Roman" w:hAnsi="Times New Roman"/>
          <w:sz w:val="18"/>
          <w:szCs w:val="18"/>
          <w:color w:val="000000"/>
        </w:rPr>
        <w:t>increase in litigation settlements, partially offset by</w:t>
      </w:r>
      <w:r>
        <w:rPr>
          <w:rFonts w:ascii="Times New Roman" w:cs="Times New Roman" w:eastAsia="Times New Roman" w:hAnsi="Times New Roman"/>
          <w:sz w:val="18"/>
          <w:szCs w:val="18"/>
          <w:color w:val="231F20"/>
        </w:rPr>
        <w:t xml:space="preserve"> a $13.4 million decrease in personnel-related expenses, including a $10.2 million decrease in stock-based compe</w:t>
      </w:r>
      <w:r>
        <w:rPr>
          <w:rFonts w:ascii="Times New Roman" w:cs="Times New Roman" w:eastAsia="Times New Roman" w:hAnsi="Times New Roman"/>
          <w:sz w:val="18"/>
          <w:szCs w:val="18"/>
          <w:color w:val="000000"/>
        </w:rPr>
        <w:t>nsation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Gains on strategic investments, net for the three months ended October 31, 2024 was driven by changes in the valuations of our publicly and privately held securities, while losses on strategic investments, net, for the three months ended October 31, 2023 was mainly driven by unrealized losses recognized on our publicly held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6"/>
              </w:rPr>
              <w:t>91,248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Other income, net for the three months ended October 31, 2024, increased by $49.3 million, or 117.7%, compared to the three months ended October 31, 2023. The increase was due to a $29.3 million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in investment yield from cash and marketable securities and a $20.3 million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from </w:t>
      </w:r>
      <w:r>
        <w:rPr>
          <w:rFonts w:ascii="Times New Roman" w:cs="Times New Roman" w:eastAsia="Times New Roman" w:hAnsi="Times New Roman"/>
          <w:sz w:val="18"/>
          <w:szCs w:val="18"/>
          <w:color w:val="000000"/>
        </w:rPr>
        <w:t>changes in foreign currency exchange rates.</w:t>
      </w: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2"/>
              </w:rPr>
              <w:t>73,362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64.4 %</w:t>
            </w: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for the three months ended October 31, 2024 increased by $28.7 million, or 64.4%, compared to the three months ended October 31, 2023. The year-over-year change was primarily due to the increase in income before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3,481,295</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3,380,767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for the nine months ended October 31, 2024, increased by $100.5 million, or 3.0%, compared to the nine months ended October 31, 2023. The </w:t>
      </w:r>
      <w:r>
        <w:rPr>
          <w:rFonts w:ascii="Times New Roman" w:cs="Times New Roman" w:eastAsia="Times New Roman" w:hAnsi="Times New Roman"/>
          <w:sz w:val="18"/>
          <w:szCs w:val="18"/>
          <w:color w:val="000000"/>
        </w:rPr>
        <w:t>increase in revenue was due to a 5.0% increase in revenue from subscription services provided to Enterprise customers, of which</w:t>
      </w:r>
      <w:r>
        <w:rPr>
          <w:rFonts w:ascii="Times New Roman" w:cs="Times New Roman" w:eastAsia="Times New Roman" w:hAnsi="Times New Roman"/>
          <w:sz w:val="18"/>
          <w:szCs w:val="18"/>
          <w:color w:val="231F20"/>
        </w:rPr>
        <w:t xml:space="preserve"> 58.4%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41.6% </w:t>
      </w:r>
      <w:r>
        <w:rPr>
          <w:rFonts w:ascii="Times New Roman" w:cs="Times New Roman" w:eastAsia="Times New Roman" w:hAnsi="Times New Roman"/>
          <w:sz w:val="18"/>
          <w:szCs w:val="18"/>
          <w:color w:val="000000"/>
        </w:rPr>
        <w:t>were from existing and new customers, respectively. Revenue from Online customers remained flat year over year.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8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842,272</w:t>
            </w:r>
          </w:p>
        </w:tc>
        <w:tc>
          <w:tcPr>
            <w:tcW w:w="7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801,494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2,639,023</w:t>
            </w: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2,579,273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Cost of revenue for the nine months ended October 31, 2024, increased by $40.8 million, or 5.1%, compared to the nine months ended October 31, 2023. The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$63.4 million </w:t>
      </w:r>
      <w:r>
        <w:rPr>
          <w:rFonts w:ascii="Times New Roman" w:cs="Times New Roman" w:eastAsia="Times New Roman" w:hAnsi="Times New Roman"/>
          <w:sz w:val="18"/>
          <w:szCs w:val="18"/>
          <w:color w:val="000000"/>
        </w:rPr>
        <w:t>increase in hosting and infrastructure costs partially offset by a</w:t>
      </w:r>
      <w:r>
        <w:rPr>
          <w:rFonts w:ascii="Times New Roman" w:cs="Times New Roman" w:eastAsia="Times New Roman" w:hAnsi="Times New Roman"/>
          <w:sz w:val="18"/>
          <w:szCs w:val="18"/>
          <w:color w:val="231F20"/>
        </w:rPr>
        <w:t xml:space="preserve"> $16.0 million </w:t>
      </w:r>
      <w:r>
        <w:rPr>
          <w:rFonts w:ascii="Times New Roman" w:cs="Times New Roman" w:eastAsia="Times New Roman" w:hAnsi="Times New Roman"/>
          <w:sz w:val="18"/>
          <w:szCs w:val="18"/>
          <w:color w:val="000000"/>
        </w:rPr>
        <w:t xml:space="preserve">decrease in stock-based compensation and </w:t>
      </w:r>
      <w:r>
        <w:rPr>
          <w:rFonts w:ascii="Times New Roman" w:cs="Times New Roman" w:eastAsia="Times New Roman" w:hAnsi="Times New Roman"/>
          <w:sz w:val="18"/>
          <w:szCs w:val="18"/>
          <w:color w:val="231F20"/>
        </w:rPr>
        <w:t>$7.1 million</w:t>
      </w:r>
      <w:r>
        <w:rPr>
          <w:rFonts w:ascii="Times New Roman" w:cs="Times New Roman" w:eastAsia="Times New Roman" w:hAnsi="Times New Roman"/>
          <w:sz w:val="18"/>
          <w:szCs w:val="18"/>
          <w:color w:val="000000"/>
        </w:rPr>
        <w:t xml:space="preserve"> decrease in restructuring costs as a result of the prior year restructuring plan. </w:t>
      </w:r>
      <w:r>
        <w:rPr>
          <w:rFonts w:ascii="Times New Roman" w:cs="Times New Roman" w:eastAsia="Times New Roman" w:hAnsi="Times New Roman"/>
          <w:sz w:val="18"/>
          <w:szCs w:val="18"/>
          <w:color w:val="231F20"/>
        </w:rPr>
        <w:t>The increase in hosting costs was due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increased use of AI functionality along with investments to upgrade our data center backbone.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75.8% for the nine months ended </w:t>
      </w:r>
      <w:r>
        <w:rPr>
          <w:rFonts w:ascii="Times New Roman" w:cs="Times New Roman" w:eastAsia="Times New Roman" w:hAnsi="Times New Roman"/>
          <w:sz w:val="18"/>
          <w:szCs w:val="18"/>
          <w:color w:val="231F20"/>
        </w:rPr>
        <w:t>October 31, 2024,</w:t>
      </w:r>
      <w:r>
        <w:rPr>
          <w:rFonts w:ascii="Times New Roman" w:cs="Times New Roman" w:eastAsia="Times New Roman" w:hAnsi="Times New Roman"/>
          <w:sz w:val="18"/>
          <w:szCs w:val="18"/>
          <w:color w:val="auto"/>
        </w:rPr>
        <w:t xml:space="preserve"> from 76.3% for the nine months ended </w:t>
      </w:r>
      <w:r>
        <w:rPr>
          <w:rFonts w:ascii="Times New Roman" w:cs="Times New Roman" w:eastAsia="Times New Roman" w:hAnsi="Times New Roman"/>
          <w:sz w:val="18"/>
          <w:szCs w:val="18"/>
          <w:color w:val="231F20"/>
        </w:rPr>
        <w:t>October 31, 2023</w:t>
      </w:r>
      <w:r>
        <w:rPr>
          <w:rFonts w:ascii="Times New Roman" w:cs="Times New Roman" w:eastAsia="Times New Roman" w:hAnsi="Times New Roman"/>
          <w:sz w:val="18"/>
          <w:szCs w:val="18"/>
          <w:color w:val="auto"/>
        </w:rPr>
        <w:t xml:space="preserve">. The decrease in gross margin was mainly due to increased costs associated with the use of </w:t>
      </w:r>
      <w:r>
        <w:rPr>
          <w:rFonts w:ascii="Times New Roman" w:cs="Times New Roman" w:eastAsia="Times New Roman" w:hAnsi="Times New Roman"/>
          <w:sz w:val="18"/>
          <w:szCs w:val="18"/>
          <w:color w:val="231F20"/>
        </w:rPr>
        <w:t>AI functionality along with investments to upgrade our data center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backbone.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635,294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597,905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nine months ended October 31, 2024, increased by $37.4 million, or 6.3%, compared to the nine months ended October 31, 2023. </w:t>
      </w:r>
      <w:r>
        <w:rPr>
          <w:rFonts w:ascii="Times New Roman" w:cs="Times New Roman" w:eastAsia="Times New Roman" w:hAnsi="Times New Roman"/>
          <w:sz w:val="18"/>
          <w:szCs w:val="18"/>
          <w:color w:val="000000"/>
        </w:rPr>
        <w:t>The increase was</w:t>
      </w:r>
      <w:r>
        <w:rPr>
          <w:rFonts w:ascii="Times New Roman" w:cs="Times New Roman" w:eastAsia="Times New Roman" w:hAnsi="Times New Roman"/>
          <w:sz w:val="18"/>
          <w:szCs w:val="18"/>
          <w:color w:val="231F20"/>
        </w:rPr>
        <w:t xml:space="preserve"> driven by our continued investments in AI-first innovation, </w:t>
      </w:r>
      <w:r>
        <w:rPr>
          <w:rFonts w:ascii="Times New Roman" w:cs="Times New Roman" w:eastAsia="Times New Roman" w:hAnsi="Times New Roman"/>
          <w:sz w:val="18"/>
          <w:szCs w:val="18"/>
          <w:color w:val="000000"/>
        </w:rPr>
        <w:t>which consisted of a</w:t>
      </w:r>
      <w:r>
        <w:rPr>
          <w:rFonts w:ascii="Times New Roman" w:cs="Times New Roman" w:eastAsia="Times New Roman" w:hAnsi="Times New Roman"/>
          <w:sz w:val="18"/>
          <w:szCs w:val="18"/>
          <w:color w:val="231F20"/>
        </w:rPr>
        <w:t xml:space="preserve"> $18.1 million </w:t>
      </w:r>
      <w:r>
        <w:rPr>
          <w:rFonts w:ascii="Times New Roman" w:cs="Times New Roman" w:eastAsia="Times New Roman" w:hAnsi="Times New Roman"/>
          <w:sz w:val="18"/>
          <w:szCs w:val="18"/>
          <w:color w:val="000000"/>
        </w:rPr>
        <w:t>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personnel related expenses, including a </w:t>
      </w:r>
      <w:r>
        <w:rPr>
          <w:rFonts w:ascii="Times New Roman" w:cs="Times New Roman" w:eastAsia="Times New Roman" w:hAnsi="Times New Roman"/>
          <w:sz w:val="18"/>
          <w:szCs w:val="18"/>
          <w:color w:val="231F20"/>
        </w:rPr>
        <w:t>$29.6 million</w:t>
      </w:r>
      <w:r>
        <w:rPr>
          <w:rFonts w:ascii="Times New Roman" w:cs="Times New Roman" w:eastAsia="Times New Roman" w:hAnsi="Times New Roman"/>
          <w:sz w:val="18"/>
          <w:szCs w:val="18"/>
          <w:color w:val="000000"/>
        </w:rPr>
        <w:t xml:space="preserve"> increase </w:t>
      </w:r>
      <w:r>
        <w:rPr>
          <w:rFonts w:ascii="Times New Roman" w:cs="Times New Roman" w:eastAsia="Times New Roman" w:hAnsi="Times New Roman"/>
          <w:sz w:val="18"/>
          <w:szCs w:val="18"/>
          <w:color w:val="231F20"/>
        </w:rPr>
        <w:t>in salaries, payroll taxes and benefits and a $8.1 million</w:t>
      </w:r>
      <w:r>
        <w:rPr>
          <w:rFonts w:ascii="Times New Roman" w:cs="Times New Roman" w:eastAsia="Times New Roman" w:hAnsi="Times New Roman"/>
          <w:sz w:val="18"/>
          <w:szCs w:val="18"/>
          <w:color w:val="000000"/>
        </w:rPr>
        <w:t xml:space="preserve"> increase </w:t>
      </w:r>
      <w:r>
        <w:rPr>
          <w:rFonts w:ascii="Times New Roman" w:cs="Times New Roman" w:eastAsia="Times New Roman" w:hAnsi="Times New Roman"/>
          <w:sz w:val="18"/>
          <w:szCs w:val="18"/>
          <w:color w:val="231F20"/>
        </w:rPr>
        <w:t>in stock-based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compensation as a result of increased headcount, partially offset by $19.6 million </w:t>
      </w:r>
      <w:r>
        <w:rPr>
          <w:rFonts w:ascii="Times New Roman" w:cs="Times New Roman" w:eastAsia="Times New Roman" w:hAnsi="Times New Roman"/>
          <w:sz w:val="18"/>
          <w:szCs w:val="18"/>
          <w:color w:val="000000"/>
        </w:rPr>
        <w:t>decrease in restructuring costs as a result of the prior year restructuring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plan. T</w:t>
      </w:r>
      <w:r>
        <w:rPr>
          <w:rFonts w:ascii="Times New Roman" w:cs="Times New Roman" w:eastAsia="Times New Roman" w:hAnsi="Times New Roman"/>
          <w:sz w:val="18"/>
          <w:szCs w:val="18"/>
          <w:color w:val="231F20"/>
        </w:rPr>
        <w:t>he remaining increase is due to costs from AI-related software and facilities used in development.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90"/>
        </w:trPr>
        <w:tc>
          <w:tcPr>
            <w:tcW w:w="35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6"/>
                <w:szCs w:val="16"/>
                <w:color w:val="auto"/>
              </w:rPr>
            </w:pPr>
          </w:p>
        </w:tc>
      </w:tr>
      <w:tr>
        <w:trPr>
          <w:trHeight w:val="219"/>
        </w:trPr>
        <w:tc>
          <w:tcPr>
            <w:tcW w:w="3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
        </w:trPr>
        <w:tc>
          <w:tcPr>
            <w:tcW w:w="3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1,068,481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1,170,255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864"/>
        </w:trPr>
        <w:tc>
          <w:tcPr>
            <w:tcW w:w="3500" w:type="dxa"/>
            <w:vAlign w:val="bottom"/>
          </w:tcPr>
          <w:p>
            <w:pPr>
              <w:spacing w:after="0"/>
              <w:rPr>
                <w:sz w:val="24"/>
                <w:szCs w:val="24"/>
                <w:color w:val="auto"/>
              </w:rPr>
            </w:pPr>
          </w:p>
        </w:tc>
        <w:tc>
          <w:tcPr>
            <w:tcW w:w="3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Sales and marketing expense for the nine months ended October 31, 2024, decreased by $101.8 million, or 8.7%, compared to the nine months ended October 31, 2023. The decrease in sales and marketing expense was primarily due to a $68.9 million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31F20"/>
        </w:rPr>
        <w:t xml:space="preserve"> in personnel-related expenses, which includes a $42.7 million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31F20"/>
        </w:rPr>
        <w:t xml:space="preserve"> in stock-based compensation expense and a $32.9 million decrease in restructuring costs as a result of the prior year restructuring plan; a $23.1 million decrease in marketing spend; and a $4.1 million </w:t>
      </w:r>
      <w:r>
        <w:rPr>
          <w:rFonts w:ascii="Times New Roman" w:cs="Times New Roman" w:eastAsia="Times New Roman" w:hAnsi="Times New Roman"/>
          <w:sz w:val="18"/>
          <w:szCs w:val="18"/>
          <w:color w:val="000000"/>
        </w:rPr>
        <w:t>decrease in commissions expense, which includes both internal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external costs.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347,016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454,364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nine months ended October 31, 2024 decreased by $107.3 million, or 23.6%, compared to the nine months ended October 31, 2023. The decrease in general and administrative expenses was primarily due to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$35.3 million </w:t>
      </w:r>
      <w:r>
        <w:rPr>
          <w:rFonts w:ascii="Times New Roman" w:cs="Times New Roman" w:eastAsia="Times New Roman" w:hAnsi="Times New Roman"/>
          <w:sz w:val="18"/>
          <w:szCs w:val="18"/>
          <w:color w:val="000000"/>
        </w:rPr>
        <w:t>decrease in litigation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settlements; a </w:t>
      </w:r>
      <w:r>
        <w:rPr>
          <w:rFonts w:ascii="Times New Roman" w:cs="Times New Roman" w:eastAsia="Times New Roman" w:hAnsi="Times New Roman"/>
          <w:sz w:val="18"/>
          <w:szCs w:val="18"/>
          <w:color w:val="231F20"/>
        </w:rPr>
        <w:t>$39.5 million</w:t>
      </w:r>
      <w:r>
        <w:rPr>
          <w:rFonts w:ascii="Times New Roman" w:cs="Times New Roman" w:eastAsia="Times New Roman" w:hAnsi="Times New Roman"/>
          <w:sz w:val="18"/>
          <w:szCs w:val="18"/>
          <w:color w:val="000000"/>
        </w:rPr>
        <w:t xml:space="preserve"> decrease in personnel-related expenses, </w:t>
      </w:r>
      <w:r>
        <w:rPr>
          <w:rFonts w:ascii="Times New Roman" w:cs="Times New Roman" w:eastAsia="Times New Roman" w:hAnsi="Times New Roman"/>
          <w:sz w:val="18"/>
          <w:szCs w:val="18"/>
          <w:color w:val="231F20"/>
        </w:rPr>
        <w:t>which includes a $26.5 million</w:t>
      </w:r>
      <w:r>
        <w:rPr>
          <w:rFonts w:ascii="Times New Roman" w:cs="Times New Roman" w:eastAsia="Times New Roman" w:hAnsi="Times New Roman"/>
          <w:sz w:val="18"/>
          <w:szCs w:val="18"/>
          <w:color w:val="000000"/>
        </w:rPr>
        <w:t xml:space="preserve"> decrease in stock-based compensation expense and </w:t>
      </w:r>
      <w:r>
        <w:rPr>
          <w:rFonts w:ascii="Times New Roman" w:cs="Times New Roman" w:eastAsia="Times New Roman" w:hAnsi="Times New Roman"/>
          <w:sz w:val="18"/>
          <w:szCs w:val="18"/>
          <w:color w:val="231F20"/>
        </w:rPr>
        <w:t xml:space="preserve">$13.3 million </w:t>
      </w:r>
      <w:r>
        <w:rPr>
          <w:rFonts w:ascii="Times New Roman" w:cs="Times New Roman" w:eastAsia="Times New Roman" w:hAnsi="Times New Roman"/>
          <w:sz w:val="18"/>
          <w:szCs w:val="18"/>
          <w:color w:val="000000"/>
        </w:rPr>
        <w:t>decrease in restructuring costs as a result of the prior restructuring plan; a</w:t>
      </w:r>
      <w:r>
        <w:rPr>
          <w:rFonts w:ascii="Times New Roman" w:cs="Times New Roman" w:eastAsia="Times New Roman" w:hAnsi="Times New Roman"/>
          <w:sz w:val="18"/>
          <w:szCs w:val="18"/>
          <w:color w:val="231F20"/>
        </w:rPr>
        <w:t xml:space="preserve"> $12.0 million </w:t>
      </w:r>
      <w:r>
        <w:rPr>
          <w:rFonts w:ascii="Times New Roman" w:cs="Times New Roman" w:eastAsia="Times New Roman" w:hAnsi="Times New Roman"/>
          <w:sz w:val="18"/>
          <w:szCs w:val="18"/>
          <w:color w:val="000000"/>
        </w:rPr>
        <w:t>decrease in bad debt expense; and a</w:t>
      </w:r>
      <w:r>
        <w:rPr>
          <w:rFonts w:ascii="Times New Roman" w:cs="Times New Roman" w:eastAsia="Times New Roman" w:hAnsi="Times New Roman"/>
          <w:sz w:val="18"/>
          <w:szCs w:val="18"/>
          <w:color w:val="231F20"/>
        </w:rPr>
        <w:t xml:space="preserve"> $6.7 million </w:t>
      </w:r>
      <w:r>
        <w:rPr>
          <w:rFonts w:ascii="Times New Roman" w:cs="Times New Roman" w:eastAsia="Times New Roman" w:hAnsi="Times New Roman"/>
          <w:sz w:val="18"/>
          <w:szCs w:val="18"/>
          <w:color w:val="000000"/>
        </w:rPr>
        <w:t>decrease in other legal related expenses.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6"/>
              </w:rPr>
              <w:t>26,785</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216.1 %</w:t>
            </w: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Gains on strategic investments, net for the nine months ended October 31, 2024, </w:t>
      </w:r>
      <w:r>
        <w:rPr>
          <w:rFonts w:ascii="Times New Roman" w:cs="Times New Roman" w:eastAsia="Times New Roman" w:hAnsi="Times New Roman"/>
          <w:sz w:val="18"/>
          <w:szCs w:val="18"/>
          <w:color w:val="000000"/>
        </w:rPr>
        <w:t>increased by</w:t>
      </w:r>
      <w:r>
        <w:rPr>
          <w:rFonts w:ascii="Times New Roman" w:cs="Times New Roman" w:eastAsia="Times New Roman" w:hAnsi="Times New Roman"/>
          <w:sz w:val="18"/>
          <w:szCs w:val="18"/>
          <w:color w:val="231F20"/>
        </w:rPr>
        <w:t xml:space="preserve"> $18.3 million, or </w:t>
      </w:r>
      <w:r>
        <w:rPr>
          <w:rFonts w:ascii="Times New Roman" w:cs="Times New Roman" w:eastAsia="Times New Roman" w:hAnsi="Times New Roman"/>
          <w:sz w:val="18"/>
          <w:szCs w:val="18"/>
          <w:color w:val="000000"/>
        </w:rPr>
        <w:t>216.1%, compared to the</w:t>
      </w:r>
      <w:r>
        <w:rPr>
          <w:rFonts w:ascii="Times New Roman" w:cs="Times New Roman" w:eastAsia="Times New Roman" w:hAnsi="Times New Roman"/>
          <w:sz w:val="18"/>
          <w:szCs w:val="18"/>
          <w:color w:val="231F20"/>
        </w:rPr>
        <w:t xml:space="preserve"> nine months ended October 31, 2023. The increase was mainly due to changes in the valuations of our publicly and privately held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250,248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114,206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Other income, net for the nine months ended October 31, 2024, increased by $136.0 million, or 119.1%, compared to the nine months ended October 31, 2023. The increase was due to a $117.7 million increase in investment yield from cash and marketable securities and a $19.0 million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from </w:t>
      </w:r>
      <w:r>
        <w:rPr>
          <w:rFonts w:ascii="Times New Roman" w:cs="Times New Roman" w:eastAsia="Times New Roman" w:hAnsi="Times New Roman"/>
          <w:sz w:val="18"/>
          <w:szCs w:val="18"/>
          <w:color w:val="000000"/>
        </w:rPr>
        <w:t>changes in foreign currency exchange rates.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222,892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140,799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Provision for income taxes for the nine months ended October 31, 2024 increased by $82.1 million, or 58.3%, compared to the nine months ended October 31, 2023. </w:t>
      </w:r>
      <w:r>
        <w:rPr>
          <w:rFonts w:ascii="Times New Roman" w:cs="Times New Roman" w:eastAsia="Times New Roman" w:hAnsi="Times New Roman"/>
          <w:sz w:val="18"/>
          <w:szCs w:val="18"/>
          <w:color w:val="000000"/>
        </w:rPr>
        <w:t>The year-over-year change was</w:t>
      </w:r>
      <w:r>
        <w:rPr>
          <w:rFonts w:ascii="Times New Roman" w:cs="Times New Roman" w:eastAsia="Times New Roman" w:hAnsi="Times New Roman"/>
          <w:sz w:val="18"/>
          <w:szCs w:val="18"/>
          <w:color w:val="231F20"/>
        </w:rPr>
        <w:t xml:space="preserve"> due </w:t>
      </w:r>
      <w:r>
        <w:rPr>
          <w:rFonts w:ascii="Times New Roman" w:cs="Times New Roman" w:eastAsia="Times New Roman" w:hAnsi="Times New Roman"/>
          <w:sz w:val="18"/>
          <w:szCs w:val="18"/>
          <w:color w:val="000000"/>
        </w:rPr>
        <w:t>primarily to the increase in income before taxes offset by a decrease in tax shortfalls on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2024, our principal sources of liquidity were cash, cash equivalents, and marketable securities of $7.7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financed our operations primarily through income from operations and sales of equity securities. Cash from operations could also be affected by various risks and uncertainties, including, but not limited to, the recent macroeconomic shifts, such as high inflation, elevated interest rates, and the responses by central banking authorities, potential recessionary environments, and the fluctuations in foreign currency exchange rates. These 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material cash requirements from known contractual and other obligations from those disclosed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filed with the SEC on March 4, 2024.</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7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1,247,611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(1,101,138)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(864,406)</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35,952</w:t>
            </w:r>
          </w:p>
        </w:tc>
      </w:tr>
    </w:tbl>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$1,520.7 million for the nine months ended October 31, 2024, compared to $1,247.6 million for the nine months ended October 31, 2023. The increase in operating cash flow was primarily due to higher net income.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$1,101.1 million for the nine months ended October 31, 2024 was due to net purchases of marketable securities of $964.3 million, purchases of property and equipment of $128.2 million, and purchases of strategic investments of $13.5 million, partially offset by proceeds from strategic investments of $4.9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$864.4 million for the nine months ended October 31, 2023 was due to net purchases of marketable securities of $605.5 million, cash paid for acquisition, net of cash acquired, of $204.9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property and equipment of $108.4 million, and purchases of strategic investments of $52.8 million, partially offset by proceeds from strategic investments of $107.2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$699.1 million for the nine months ended October 31, 2024 was due to cash paid for repurchases of common stock of $739.3 million, partially offset by proceeds from issuance of common stock under our ESPP of $34.3 million, proceeds from the exercise of stock options of $3.8 million, and proceeds from employee equity transactions to be remitted to employees and tax authorities, net, of $2.2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$36.0 million for the nine months ended October 31, 2023 was primarily due to proceeds from issuance of common stock under our ESPP of $32.5 million and proceeds from the exercise of stock options of $8.3 million.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October 31, 2024, we repurchased and subsequently retired 4,377,296 and 11,606,691 shares of our Class A common stock, respectively, for an aggregate amount of $301.6 million and $739.3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described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filed with the SEC on March 4, 2024.</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QUALITATIVE AND QUANTITATIVE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nine months ended </w:t>
      </w:r>
      <w:r>
        <w:rPr>
          <w:rFonts w:ascii="Times New Roman" w:cs="Times New Roman" w:eastAsia="Times New Roman" w:hAnsi="Times New Roman"/>
          <w:sz w:val="18"/>
          <w:szCs w:val="18"/>
          <w:color w:val="231F20"/>
        </w:rPr>
        <w:t>October 31, 2024</w:t>
      </w:r>
      <w:r>
        <w:rPr>
          <w:rFonts w:ascii="Times New Roman" w:cs="Times New Roman" w:eastAsia="Times New Roman" w:hAnsi="Times New Roman"/>
          <w:sz w:val="18"/>
          <w:szCs w:val="18"/>
          <w:color w:val="auto"/>
        </w:rPr>
        <w:t xml:space="preserve"> and 2023, 19.3% and 19.3% of our revenue, respectively and 15.1% and 13.5%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nine months ended October 31, 2024 and 2023.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$1,273.8 million and marketable securities of $6,428.2 million as of October 31, 2024. Cash and cash equivalents consist of bank deposits, money market funds, and high-grade commercial paper, and agency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2024 and 2023.</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 w:cs="Times New Roman" w:eastAsia="Times New Roman" w:hAnsi="Times New Roman"/>
          <w:sz w:val="18"/>
          <w:szCs w:val="18"/>
          <w:color w:val="231F20"/>
        </w:rPr>
        <w:t>October 31, 2024</w:t>
      </w:r>
      <w:r>
        <w:rPr>
          <w:rFonts w:ascii="Times New Roman" w:cs="Times New Roman" w:eastAsia="Times New Roman" w:hAnsi="Times New Roman"/>
          <w:sz w:val="18"/>
          <w:szCs w:val="18"/>
          <w:color w:val="000000"/>
        </w:rPr>
        <w:t>, our disclosure controls and procedures were effective at a reasonable assurance level.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8"/>
          <w:szCs w:val="18"/>
          <w:color w:val="231F20"/>
        </w:rPr>
        <w:t>October 31, 2024</w:t>
      </w:r>
      <w:r>
        <w:rPr>
          <w:rFonts w:ascii="Times New Roman" w:cs="Times New Roman" w:eastAsia="Times New Roman" w:hAnsi="Times New Roman"/>
          <w:sz w:val="18"/>
          <w:szCs w:val="18"/>
          <w:color w:val="auto"/>
        </w:rPr>
        <w:t xml:space="preserve"> that has materially affected, or is reasonably likely to materially affect, our internal control over financial reporting.</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has fluctuated in prior periods, and may continue to decline in future periods.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growth has fluctuated in prior periods. You should not rely on the revenue growth of any prior quarterly or annual period as an indication of our future performance. There are no assurances we will be able to sustain or increase our revenue growth in future periods, and our revenue growth rate may continue to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among others. Our growth rate could adversely affect investors’ perceptions of our business and the trading price of our Class A common stock could be adversely affected.</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and existing and new market entrants, particularly established companies with greater resources than we have,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video functionality, including Microsoft Teams and Google G Suite and Meet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GoTo;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February 2022, we launched Zoom Contact Center, an omnichannel contact center solution that is optimized for video, which competes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fluctuated and may in the future fluctuate significantly and may not fully reflect the underlying performance of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 in our results may negatively impact the value of our securities. Factors that may cause fluctuations in our results of operations include, without limitation, those listed below:</w:t>
      </w:r>
    </w:p>
    <w:p>
      <w:pPr>
        <w:spacing w:after="0" w:line="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upgrade free users to one of our paid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changes in the economy, including any resulting effect on consumer or business spending.</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global impacts, including the Russian invasion of Ukraine, the conflict in Israel and the surrounding area and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19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have and could continue to lengthen, and we could experience greater deployment challenges.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our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there are no assurances we will be able to maintain or increase profitability in the future.</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9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generative AI processes and algorithms, including by deploying generative AI features in our products and services, which may result in adverse effects to our operations, legal liability, reputation and competitive risks. The use of generative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w:t>
      </w:r>
    </w:p>
    <w:p>
      <w:pPr>
        <w:spacing w:after="0" w:line="19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The rules were stayed pending completion of an appeal by an order of the U.S. Court of Appeals for the Sixth Circuit on August 1, 2024. We cannot predict the impact of the new rules on our operations or business.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 but the new rules, if they go into effect, are intended to limit the ability of broadband internet access providers to engage in such behavior.</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resulted and may result in unauthorized access to, loss or unauthorized disclosure of, or inadvertent disclosure of confidential, proprietary, and sensitive information.</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 parties could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and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Increased usage of our services, novel uses of our services, and additional awareness of Zoom and our brand has led and could in the future lead to greater public scrutiny of, press related to, or a negative perception of our information security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financial condition and results of operations may be harmed.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employee headcount both in the United States and internationally has generally increased over time, we have undertaken, and may undertake from time to time in the future, restructuring actions to better align our financial model and. For example, in February 2023, we commenced certain restructuring actions, designed to reduce operating costs and continue advancing our ongoing commitment to profitable growth.</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continue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customers and make it more difficult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practices, company culture, and career development opportunities. If we fail to attract new personnel or to retain our current personnel, our business would be harmed.</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addresses the communications and collaboration needs of users worldwide, and we see international expansion as a major opportunity. Our revenue from APAC and EMEA collectively represented 28.2% and 28.8% of our revenue for the nine months ended October 31, 2024 and 2023,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increases risks that we currently face, including risks associated with:</w:t>
      </w:r>
    </w:p>
    <w:p>
      <w:pPr>
        <w:spacing w:after="0" w:line="117"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foreign jurisdictions where the government may impede or interrupt our ability to provide our services or develop new products, features, and functionality;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the United States and the practical enforcement of such intellectual property rights outside of the United States;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other political tensions between countries in which we do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continuing deterioration in diplomatic relations between the United States and China, the conflict in Israel and the surrounding area, and the continuing war between Russia and Ukraine;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7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 between the United States and China, or between other countries, such as Taiwan, and China, may intensify and lead to increased scrutiny of our business operations in China.</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plan must be recognized over the applicable subscription term.</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users may harm our relationships with our customers and users and, consequently,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nine months ended October 31, 2024 and 2023, 19.3% and 19.3% of our revenue, respectively, and 15.1% and 13.5%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quarter ended October 31, 2024, our total revenue was lower than anticipated in part due to the strengthening of the U.S. dollar. We do not currently maintain a program to hedge exposures to non-U.S. dollar currencies.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and other government contractors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72"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has been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ending January 31, 2025, and the remaining rules becoming effective for our fiscal year ending January 31, 2026, or in later periods. At this point in time, we do not expect material tax impacts associated with Pillar Two rules in the countries where we operate for the fiscal year ending January 31, 2025.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8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continually seeking to improve our ability to measure our key business metrics, and regularly review our processes to assess potential improvements.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our reputation and business and subject us to significant fines and liability.</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in the United States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processing practices may be challenged under wiretapping laws when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Outside of the United States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70"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8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 particularly in relation to our transfer of personal information to, or processing of personal information of residents of, high risk or sanctioned jurisdictions.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Artificial Intelligence</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development and use of AI and machine learning (“ML”)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AI/ML. For example, the EU's AI Act enters into force this year and will have a direct effect across all EU jurisdictions. The EU AI Act and other similar laws, if implemented and if applicable, could impose onerous obligations related to the use of AI-related systems. Obligations on AI/ML may make it harder for us to conduct our business using, or build products incorporating, AI/ML, require us to change our business practices, require us to retrain our algorithms, or prevent or limit our use of AI/ML. For example, the FTC has required other companies to turn over (or disgorge) valuable insights or trainings generated through the use of AI/ML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users do not widely adopt our new product AI/ML experiences, features, and capabilities, or they do not perform as expected, we may not be able to realize a return on our investment.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Relating to Minors</w:t>
      </w:r>
    </w:p>
    <w:p>
      <w:pPr>
        <w:spacing w:after="0" w:line="1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or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Consumer Preferences and Protection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Industry Standards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privacy, data protection and information security laws, we are contractually subject to industry standards adopted by industry groups and may become subject to such obligations in the future. We may also have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and other statements, such as compliance with certain certifications or self-regulatory principles, regarding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Government Inquiries and Investigations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material reputational harm, a loss of customer and user confidence and business, additional expenses, and other harm to our business. As of the date hereof, in regard to the SEC matter, a tentative settlement offer is now outstanding and remains subject to SEC approval. We do not know when these matters will be completed, including the SEC matter, which facts we will ultimately discover as a result of the investigations, or what actions the government may or may not take.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Consents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Public Perception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Failure to Comply with our Obligations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For example, the Trump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Biden administration or future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liabilities on past sales for taxes, surcharges, and fees.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Section 230 in certain circumstances, but future cases may not yield the same results and 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The district court in Florida set a trial date in its case for June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 immunized the company under Section 230. We cannot predict whether any such state legislation will be adopted, enforced, modified, overturned, or vacated.</w:t>
      </w:r>
    </w:p>
    <w:p>
      <w:pPr>
        <w:spacing w:after="0" w:line="8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9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described above, the FCC has reinstated its prior network neutrality regulations.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modify our service offerings to comply with regulatory requirements. The failure to comply with such regulation could result in substantial fines and penalties and other sanctions.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We cannot predict the impact of the new rules on our operations or business or whether they will be overturned in court</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25 order permits it to preempt any state-level network neutrality requirements that go beyond the requirements adopted in that order, but specifically held that the California law would not be preempted. The FCC order was stayed on August 1, 2024, pending resolution of an appeal.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our foreign markets, including effects of increased interest rates and inflationary pressures.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October 31, 2024, the holders of our outstanding Class B common stock held 63.6% of the voting power of our outstanding capital stock, with our directors, executive officers and 5% stockholders and their respective affiliates holding 57.6% of such voting power in the aggregate. As of October 31, 2024, our founder, President and Chief Executive Officer, Eric S. Yuan, together with his affiliates, held approximately 7.4% of our outstanding capital stock but controlled approximately 31.4%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restrictions that apply to affiliates, the shares issued upon exercise of outstanding stock options or upon settlement of outstanding restricted stock unit (“RSU”) awards are available for immediate resale in the United States in the open market.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is an increasing focus from regulators, investors, customers and other stakeholders concerning environmental, social and governance matters (“ESG”). Regulators are driving legislation to bring consistency and transparency to ESG disclosures. Some investors may use these ESG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voluntary ESG and climate disclosures, as well as our reporting under related disclosure regulations, or a failure to meet evolving stakeholder expectations for ESG reporting and practices, may potentially harm our reputation and customer relationships or expose us to liability. Due to new regulatory standards and market standards, certain new or existing customers may impose stricter ESG guidelines or contractual language for, and may scrutinize relationships more closely with, their counterparties, including us, which may lengthen sales cycles or increase our costs.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impact on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Class A common stock during the three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80"/>
        <w:spacing w:after="0" w:line="310" w:lineRule="auto"/>
        <w:rPr>
          <w:sz w:val="20"/>
          <w:szCs w:val="20"/>
          <w:color w:val="auto"/>
        </w:rPr>
      </w:pPr>
      <w:r>
        <w:rPr>
          <w:rFonts w:ascii="Times New Roman" w:cs="Times New Roman" w:eastAsia="Times New Roman" w:hAnsi="Times New Roman"/>
          <w:sz w:val="16"/>
          <w:szCs w:val="16"/>
          <w:color w:val="auto"/>
        </w:rPr>
        <w:t>August 1 – 31, 2024 September 1 – 30, 2024 October 1 – 31, 2024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162"/>
        </w:trPr>
        <w:tc>
          <w:tcPr>
            <w:tcW w:w="2220" w:type="dxa"/>
            <w:vAlign w:val="bottom"/>
          </w:tcPr>
          <w:p>
            <w:pPr>
              <w:jc w:val="right"/>
              <w:ind w:right="641"/>
              <w:spacing w:after="0" w:line="163"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2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that May Yet Be</w:t>
            </w: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5"/>
                <w:szCs w:val="15"/>
                <w:color w:val="auto"/>
              </w:rPr>
              <w:t>Announced Program</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Purchased Under Publicly</w:t>
            </w:r>
          </w:p>
        </w:tc>
      </w:tr>
      <w:tr>
        <w:trPr>
          <w:trHeight w:val="176"/>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Announced Program (in</w:t>
            </w:r>
          </w:p>
        </w:tc>
      </w:tr>
      <w:tr>
        <w:trPr>
          <w:trHeight w:val="243"/>
        </w:trPr>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1"/>
                <w:szCs w:val="21"/>
                <w:color w:val="auto"/>
                <w:w w:val="95"/>
                <w:vertAlign w:val="superscript"/>
              </w:rPr>
              <w:t>(1)</w:t>
            </w:r>
          </w:p>
        </w:tc>
      </w:tr>
      <w:tr>
        <w:trPr>
          <w:trHeight w:val="21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1,013,926</w:t>
            </w:r>
          </w:p>
        </w:tc>
      </w:tr>
      <w:tr>
        <w:trPr>
          <w:trHeight w:val="23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1,763,151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1,763,151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894,185</w:t>
            </w:r>
          </w:p>
        </w:tc>
      </w:tr>
      <w:tr>
        <w:trPr>
          <w:trHeight w:val="23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1,893,392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1,893,392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760,689</w:t>
            </w:r>
          </w:p>
        </w:tc>
      </w:tr>
      <w:tr>
        <w:trPr>
          <w:trHeight w:val="212"/>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4,377,296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4,377,296</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
        </w:trPr>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-616585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-325120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880"/>
          </w:cols>
          <w:pgMar w:left="320" w:top="121" w:right="339" w:bottom="1440" w:gutter="0" w:footer="0" w:header="0"/>
        </w:sectPr>
      </w:pPr>
    </w:p>
    <w:p>
      <w:pPr>
        <w:spacing w:after="0" w:line="106" w:lineRule="exact"/>
        <w:rPr>
          <w:sz w:val="20"/>
          <w:szCs w:val="20"/>
          <w:color w:val="auto"/>
        </w:rPr>
      </w:pPr>
    </w:p>
    <w:p>
      <w:pPr>
        <w:jc w:val="both"/>
        <w:ind w:firstLine="8"/>
        <w:spacing w:after="0" w:line="229" w:lineRule="auto"/>
        <w:tabs>
          <w:tab w:leader="none" w:pos="185"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8 "Stockholders’ Equity and Equity Incentive Plans" of this Quarterly Report on Form 10-Q for additional information related to share repurchases.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06"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During the Company’s last fiscal quarter, none of the Company’s directors and officers (as defined in Rule 16a-1(f) under the Exchange Act) adopted, modified, or terminated any contracts, instructions or written plans for the purchase or sale of the Company’s securities.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380" w:type="dxa"/>
            <w:vAlign w:val="bottom"/>
            <w:gridSpan w:val="16"/>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4380" w:type="dxa"/>
            <w:vAlign w:val="bottom"/>
            <w:gridSpan w:val="16"/>
            <w:vMerge w:val="continue"/>
          </w:tcPr>
          <w:p>
            <w:pPr>
              <w:spacing w:after="0"/>
              <w:rPr>
                <w:sz w:val="16"/>
                <w:szCs w:val="16"/>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800" w:type="dxa"/>
            <w:vAlign w:val="bottom"/>
            <w:gridSpan w:val="17"/>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Certificate of Incorporation of Zoom</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2019</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800" w:type="dxa"/>
            <w:vAlign w:val="bottom"/>
            <w:gridSpan w:val="1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Certificate of Amendment to Certificate of Incorporation of</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25, 2024</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Zoom Communications, Inc.</w:t>
              </w:r>
            </w:hyperlink>
          </w:p>
        </w:tc>
        <w:tc>
          <w:tcPr>
            <w:tcW w:w="2240" w:type="dxa"/>
            <w:vAlign w:val="bottom"/>
            <w:tcBorders>
              <w:top w:val="single" w:sz="8" w:color="0000FF"/>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9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Bylaws of Zoom</w:t>
              </w:r>
            </w:hyperlink>
          </w:p>
        </w:tc>
        <w:tc>
          <w:tcPr>
            <w:tcW w:w="1580" w:type="dxa"/>
            <w:vAlign w:val="bottom"/>
            <w:tcBorders>
              <w:bottom w:val="single" w:sz="8" w:color="0000FF"/>
            </w:tcBorders>
            <w:gridSpan w:val="12"/>
          </w:tcPr>
          <w:p>
            <w:pPr>
              <w:jc w:val="right"/>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Communications, Inc.</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25, 2024</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800" w:type="dxa"/>
            <w:vAlign w:val="bottom"/>
            <w:gridSpan w:val="17"/>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Transition and Separation Agreement between Zoom Video</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21, 2024</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Communications, Inc. and Kelly Steckelberg, dated August</w:t>
              </w:r>
            </w:hyperlink>
          </w:p>
        </w:tc>
        <w:tc>
          <w:tcPr>
            <w:tcW w:w="340" w:type="dxa"/>
            <w:vAlign w:val="bottom"/>
            <w:gridSpan w:val="8"/>
          </w:tcPr>
          <w:p>
            <w:pPr>
              <w:jc w:val="right"/>
              <w:ind w:right="8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21,</w:t>
              </w:r>
            </w:hyperlink>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2024.</w:t>
              </w:r>
            </w:hyperlink>
          </w:p>
        </w:tc>
        <w:tc>
          <w:tcPr>
            <w:tcW w:w="16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Offer Letter between Zoom Video Communications, Inc. and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1, 2024</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1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Michelle Chang, dated September 25, 2024.</w:t>
              </w:r>
            </w:hyperlink>
          </w:p>
        </w:tc>
        <w:tc>
          <w:tcPr>
            <w:tcW w:w="1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2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5"/>
          </w:tcPr>
          <w:p>
            <w:pPr>
              <w:spacing w:after="0"/>
              <w:rPr>
                <w:sz w:val="14"/>
                <w:szCs w:val="14"/>
                <w:color w:val="auto"/>
              </w:rPr>
            </w:pPr>
          </w:p>
        </w:tc>
        <w:tc>
          <w:tcPr>
            <w:tcW w:w="22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w:t>
            </w:r>
          </w:p>
        </w:tc>
        <w:tc>
          <w:tcPr>
            <w:tcW w:w="38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80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EXBRL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80" w:right="5640" w:hanging="1154"/>
        <w:spacing w:after="0" w:line="244" w:lineRule="auto"/>
        <w:tabs>
          <w:tab w:leader="none" w:pos="11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Registrant’s Quarterly Report on Form 10-Q for the quarter ended October 31, 2023, has been formatted in Inline XBRL)</w:t>
      </w:r>
    </w:p>
    <w:p>
      <w:pPr>
        <w:spacing w:after="0" w:line="18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360" w:lineRule="exact"/>
        <w:rPr>
          <w:sz w:val="20"/>
          <w:szCs w:val="20"/>
          <w:color w:val="auto"/>
        </w:rPr>
      </w:pPr>
    </w:p>
    <w:p>
      <w:pPr>
        <w:ind w:left="660" w:hanging="652"/>
        <w:spacing w:after="0" w:line="266" w:lineRule="auto"/>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0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ZOOM COMMUNICATIONS, INC.</w:t>
            </w:r>
          </w:p>
        </w:tc>
      </w:tr>
      <w:tr>
        <w:trPr>
          <w:trHeight w:val="48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29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Chang</w:t>
            </w:r>
          </w:p>
        </w:tc>
      </w:tr>
      <w:tr>
        <w:trPr>
          <w:trHeight w:val="218"/>
        </w:trPr>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Michelle Chang</w:t>
            </w:r>
          </w:p>
        </w:tc>
      </w:tr>
      <w:tr>
        <w:trPr>
          <w:trHeight w:val="228"/>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211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78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7"/>
          <w:szCs w:val="17"/>
          <w:color w:val="auto"/>
        </w:rPr>
        <w:t>Eric S. Yuan</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Chang, certify that:</w:t>
      </w:r>
    </w:p>
    <w:p>
      <w:pPr>
        <w:spacing w:after="0" w:line="18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22117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8"/>
          <w:szCs w:val="18"/>
          <w:color w:val="auto"/>
        </w:rPr>
        <w:t>Michelle Chang</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6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Communications, Inc. for the fiscal quarter ended October 31, 2024 fully complies with the requirements of Section 13(a) or 15(d) of the Exchange Act and that information contained in such Quarterly Report on Form 10-Q fairly presents, in all material respects, the financial condition and results of operations of Zoom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Eric S. Yuan</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I, Michelle Chang, certify, pursuant to the requirement set forth in Rule 13a-14(b) of the Exchange Act and 18 U.S.C. Section 1350, as adopted pursuant to Section 906 of the Sarbanes-Oxley Act of 2002, that to the best of my knowledge, the Quarterly Report on Form 10-Q of Zoom Communications, Inc. for the fiscal quarter ended October 31, 2024 fully complies with the requirements of Section 13(a) or 15(d) of the Exchange Act and that information contained in such Quarterly Report on Form 10-Q fairly presents, in all material respects, the financial condition and results of operations of Zoom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8"/>
          <w:szCs w:val="18"/>
          <w:color w:val="auto"/>
        </w:rPr>
        <w:t>By:</w:t>
        <w:tab/>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Michelle Chang</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96" Type="http://schemas.openxmlformats.org/officeDocument/2006/relationships/hyperlink" Target="https://www.sec.gov/Archives/edgar/data/1585521/000119312519115111/d736915dex31.htm" TargetMode="External"/><Relationship Id="rId97" Type="http://schemas.openxmlformats.org/officeDocument/2006/relationships/hyperlink" Target="https://www.sec.gov/Archives/edgar/data/1585521/000158552124000257/certificateofamendmenttoce.htm" TargetMode="External"/><Relationship Id="rId98" Type="http://schemas.openxmlformats.org/officeDocument/2006/relationships/hyperlink" Target="https://www.sec.gov/Archives/edgar/data/1585521/000158552124000257/amendedandrestatedbylaws.htm" TargetMode="External"/><Relationship Id="rId99" Type="http://schemas.openxmlformats.org/officeDocument/2006/relationships/hyperlink" Target="https://www.sec.gov/Archives/edgar/data/1585521/000158552124000178/zm-20240821ex101.htm" TargetMode="External"/><Relationship Id="rId100" Type="http://schemas.openxmlformats.org/officeDocument/2006/relationships/hyperlink" Target="https://www.sec.gov/Archives/edgar/data/1585521/000119312524229587/d8778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2024-11-26T17:59:00Z</dcterms:created>
  <dcterms:modified xsi:type="dcterms:W3CDTF">2024-11-26T17:59:00Z</dcterms:modified>
</cp:coreProperties>
</file>